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KINSHASA MOSOLO — Document maître unique</w:t>
      </w:r>
    </w:p>
    <w:p>
      <w:pPr>
        <w:pStyle w:val="Subtitle"/>
      </w:pPr>
      <w:r>
        <w:t xml:space="preserve">Système d'exploitation souverain de maximisation des recettes de la Ville Province de Kinshasa</w:t>
      </w:r>
    </w:p>
    <w:sdt>
      <w:sdtPr>
        <w:docPartObj>
          <w:docPartGallery w:val="Table of Contents"/>
          <w:docPartUnique/>
        </w:docPartObj>
      </w:sdtPr>
      <w:sdtContent>
        <w:p>
          <w:pPr>
            <w:pStyle w:val="TOCHeading"/>
          </w:pPr>
          <w:r>
            <w:t xml:space="preserve">Table des matières</w:t>
          </w:r>
        </w:p>
        <w:p>
          <w:r>
            <w:fldChar w:fldCharType="begin" w:dirty="true"/>
            <w:instrText xml:space="preserve">TOC \o "1-2" \h \z \u</w:instrText>
            <w:fldChar w:fldCharType="separate"/>
            <w:fldChar w:fldCharType="end"/>
          </w:r>
        </w:p>
      </w:sdtContent>
    </w:sdt>
    <w:bookmarkStart w:id="14" w:name="kinshasa-mosolo"/>
    <w:p>
      <w:pPr>
        <w:pStyle w:val="Heading1"/>
      </w:pPr>
      <w:r>
        <w:t xml:space="preserve">KINSHASA MOSOLO</w:t>
      </w:r>
    </w:p>
    <w:p>
      <w:pPr>
        <w:pStyle w:val="CaptionedFigure"/>
      </w:pPr>
      <w:r>
        <w:drawing>
          <wp:inline>
            <wp:extent cx="6108700" cy="4072466"/>
            <wp:effectExtent b="0" l="0" r="0" t="0"/>
            <wp:docPr descr="Ville de Kinshasa" title="" id="10" name="Picture"/>
            <a:graphic>
              <a:graphicData uri="http://schemas.openxmlformats.org/drawingml/2006/picture">
                <pic:pic>
                  <pic:nvPicPr>
                    <pic:cNvPr descr="../assets/couverture-ville-de-kinshasa.png" id="11" name="Picture"/>
                    <pic:cNvPicPr>
                      <a:picLocks noChangeArrowheads="1" noChangeAspect="1"/>
                    </pic:cNvPicPr>
                  </pic:nvPicPr>
                  <pic:blipFill>
                    <a:blip r:embed="rId9"/>
                    <a:stretch>
                      <a:fillRect/>
                    </a:stretch>
                  </pic:blipFill>
                  <pic:spPr bwMode="auto">
                    <a:xfrm>
                      <a:off x="0" y="0"/>
                      <a:ext cx="6108700" cy="4072466"/>
                    </a:xfrm>
                    <a:prstGeom prst="rect">
                      <a:avLst/>
                    </a:prstGeom>
                    <a:noFill/>
                    <a:ln w="9525">
                      <a:noFill/>
                      <a:headEnd/>
                      <a:tailEnd/>
                    </a:ln>
                  </pic:spPr>
                </pic:pic>
              </a:graphicData>
            </a:graphic>
          </wp:inline>
        </w:drawing>
      </w:r>
    </w:p>
    <w:p>
      <w:pPr>
        <w:pStyle w:val="ImageCaption"/>
      </w:pPr>
      <w:r>
        <w:t xml:space="preserve">Ville de Kinshasa</w:t>
      </w:r>
    </w:p>
    <w:p>
      <w:pPr>
        <w:pStyle w:val="BodyText"/>
      </w:pPr>
      <w:r>
        <w:rPr>
          <w:b/>
          <w:bCs/>
        </w:rPr>
        <w:t xml:space="preserve">Sovereign Revenue Maximisation Operating System for the City Province of Kinshasa</w:t>
      </w:r>
    </w:p>
    <w:p>
      <w:pPr>
        <w:pStyle w:val="BodyText"/>
      </w:pPr>
      <w:r>
        <w:rPr>
          <w:i/>
          <w:iCs/>
        </w:rPr>
        <w:t xml:space="preserve">Plateforme unique de recensement, de géolocalisation, de gestion, de paiement, de contrôle et de maximisation des recettes de la Ville Province de Kinshasa</w:t>
      </w:r>
    </w:p>
    <w:p>
      <w:pPr>
        <w:pStyle w:val="BlockText"/>
      </w:pPr>
      <w:r>
        <w:t xml:space="preserve">« Une ville, un contribuable, une donnée, une quittance. »</w:t>
      </w:r>
    </w:p>
    <w:p>
      <w:pPr>
        <w:pStyle w:val="FirstParagraph"/>
      </w:pPr>
      <w:r>
        <w:rPr>
          <w:b/>
          <w:bCs/>
        </w:rPr>
        <w:t xml:space="preserve">RECENSER → IDENTIFIER → GÉOLOCALISER → QUALIFIER → CALCULER → NOTIFIER → PAYER → RAPPROCHER → QUITTANCER → CONTRÔLER → RECOUVRER → AUDITER → PLANIFIER</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Rubrique</w:t>
            </w:r>
          </w:p>
        </w:tc>
        <w:tc>
          <w:tcPr>
            <w:shd w:val="clear" w:color="auto" w:fill="232C6B"/>
          </w:tcPr>
          <w:p>
            <w:pPr>
              <w:pStyle w:val="Compact"/>
            </w:pPr>
            <w:r>
              <w:rPr>
                <w:b/>
                <w:color w:val="FFFFFF"/>
                <w:sz w:val="17"/>
              </w:rPr>
              <w:t xml:space="preserve">Contenu</w:t>
            </w:r>
          </w:p>
        </w:tc>
      </w:tr>
      <w:tr>
        <w:tc>
          <w:tcPr/>
          <w:p>
            <w:pPr>
              <w:pStyle w:val="Compact"/>
            </w:pPr>
            <w:r>
              <w:rPr>
                <w:sz w:val="17"/>
              </w:rPr>
              <w:t xml:space="preserve">Document</w:t>
            </w:r>
          </w:p>
        </w:tc>
        <w:tc>
          <w:tcPr/>
          <w:p>
            <w:pPr>
              <w:pStyle w:val="Compact"/>
            </w:pPr>
            <w:r>
              <w:rPr>
                <w:sz w:val="17"/>
              </w:rPr>
              <w:t xml:space="preserve">Document maître unique — conception, exigences produit, architecture, gouvernance, financement et mise en œuvre (47 chapitres, conclusion stratégique et annexes)</w:t>
            </w:r>
          </w:p>
        </w:tc>
      </w:tr>
      <w:tr>
        <w:tc>
          <w:tcPr>
            <w:shd w:val="clear" w:color="auto" w:fill="F5F7FB"/>
          </w:tcPr>
          <w:p>
            <w:pPr>
              <w:pStyle w:val="Compact"/>
            </w:pPr>
            <w:r>
              <w:rPr>
                <w:sz w:val="17"/>
              </w:rPr>
              <w:t xml:space="preserve">Version</w:t>
            </w:r>
          </w:p>
        </w:tc>
        <w:tc>
          <w:tcPr>
            <w:shd w:val="clear" w:color="auto" w:fill="F5F7FB"/>
          </w:tcPr>
          <w:p>
            <w:pPr>
              <w:pStyle w:val="Compact"/>
            </w:pPr>
            <w:r>
              <w:rPr>
                <w:sz w:val="17"/>
              </w:rPr>
              <w:t xml:space="preserve">3.0 — 26 septembre 2026</w:t>
            </w:r>
          </w:p>
        </w:tc>
      </w:tr>
      <w:tr>
        <w:tc>
          <w:tcPr/>
          <w:p>
            <w:pPr>
              <w:pStyle w:val="Compact"/>
            </w:pPr>
            <w:r>
              <w:rPr>
                <w:sz w:val="17"/>
              </w:rPr>
              <w:t xml:space="preserve">Statut</w:t>
            </w:r>
          </w:p>
        </w:tc>
        <w:tc>
          <w:tcPr/>
          <w:p>
            <w:pPr>
              <w:pStyle w:val="Compact"/>
            </w:pPr>
            <w:r>
              <w:rPr>
                <w:sz w:val="17"/>
              </w:rPr>
              <w:t xml:space="preserve">Document de travail soumis à validation juridique provinciale.</w:t>
            </w:r>
            <w:r>
              <w:rPr>
                <w:sz w:val="17"/>
              </w:rPr>
              <w:t xml:space="preserve"> </w:t>
            </w:r>
            <w:r>
              <w:rPr>
                <w:b/>
                <w:bCs/>
                <w:sz w:val="17"/>
              </w:rPr>
              <w:t xml:space="preserve">Aucune règle, aucun taux, aucune pénalité et aucune projection financière contenus dans ce document ne peuvent entrer en production avant certification par les services juridiques compétents et approbation par l’autorité compétente.</w:t>
            </w:r>
          </w:p>
        </w:tc>
      </w:tr>
      <w:tr>
        <w:tc>
          <w:tcPr>
            <w:shd w:val="clear" w:color="auto" w:fill="F5F7FB"/>
          </w:tcPr>
          <w:p>
            <w:pPr>
              <w:pStyle w:val="Compact"/>
            </w:pPr>
            <w:r>
              <w:rPr>
                <w:sz w:val="17"/>
              </w:rPr>
              <w:t xml:space="preserve">Bénéficiaires institutionnels</w:t>
            </w:r>
          </w:p>
        </w:tc>
        <w:tc>
          <w:tcPr>
            <w:shd w:val="clear" w:color="auto" w:fill="F5F7FB"/>
          </w:tcPr>
          <w:p>
            <w:pPr>
              <w:pStyle w:val="Compact"/>
            </w:pPr>
            <w:r>
              <w:rPr>
                <w:sz w:val="17"/>
              </w:rPr>
              <w:t xml:space="preserve">Gouvernement provincial de Kinshasa ; Direction générale des impôts provinciaux de Kinshasa (DGIPK) ; Direction générale des recettes de Kinshasa (DGRK) ; ministères et services provinciaux légalement responsables de recettes spécifiques ; communes et autres entités publiques autorisées, lorsque la loi le prévoit</w:t>
            </w:r>
          </w:p>
        </w:tc>
      </w:tr>
      <w:tr>
        <w:tc>
          <w:tcPr/>
          <w:p>
            <w:pPr>
              <w:pStyle w:val="Compact"/>
            </w:pPr>
            <w:r>
              <w:rPr>
                <w:sz w:val="17"/>
              </w:rPr>
              <w:t xml:space="preserve">Destinataires</w:t>
            </w:r>
          </w:p>
        </w:tc>
        <w:tc>
          <w:tcPr/>
          <w:p>
            <w:pPr>
              <w:pStyle w:val="Compact"/>
            </w:pPr>
            <w:r>
              <w:rPr>
                <w:sz w:val="17"/>
              </w:rPr>
              <w:t xml:space="preserve">Gouverneur et Gouvernement provincial ; régies financières ; services juridiques ; Trésor et finances ; audit et inspection ; partenaires de mise en œuvre ; architectes, développeurs, testeurs</w:t>
            </w:r>
          </w:p>
        </w:tc>
      </w:tr>
      <w:tr>
        <w:tc>
          <w:tcPr>
            <w:shd w:val="clear" w:color="auto" w:fill="F5F7FB"/>
          </w:tcPr>
          <w:p>
            <w:pPr>
              <w:pStyle w:val="Compact"/>
            </w:pPr>
            <w:r>
              <w:rPr>
                <w:sz w:val="17"/>
              </w:rPr>
              <w:t xml:space="preserve">Documents compagnons</w:t>
            </w:r>
          </w:p>
        </w:tc>
        <w:tc>
          <w:tcPr>
            <w:shd w:val="clear" w:color="auto" w:fill="F5F7FB"/>
          </w:tcPr>
          <w:p>
            <w:pPr>
              <w:pStyle w:val="Compact"/>
            </w:pPr>
            <w:r>
              <w:rPr>
                <w:sz w:val="17"/>
              </w:rPr>
              <w:t xml:space="preserve">Cahier des exigences consolidé v2.9 (24 septembre 2026) ; Spécification fonctionnelle des 81 modules et 16 verticales v1.2 ; Dossier Gouverneur v1.0 ; Note exécutive au Gouverneur (24 septembre 2026).</w:t>
            </w:r>
            <w:r>
              <w:rPr>
                <w:sz w:val="17"/>
              </w:rPr>
              <w:t xml:space="preserve"> </w:t>
            </w:r>
            <w:r>
              <w:rPr>
                <w:b/>
                <w:bCs/>
                <w:sz w:val="17"/>
              </w:rPr>
              <w:t xml:space="preserve">En cas de divergence, le présent document prévaut</w:t>
            </w:r>
            <w:r>
              <w:rPr>
                <w:sz w:val="17"/>
              </w:rPr>
              <w:t xml:space="preserve"> </w:t>
            </w:r>
            <w:r>
              <w:rPr>
                <w:sz w:val="17"/>
              </w:rPr>
              <w:t xml:space="preserve">(Annexe D).</w:t>
            </w:r>
          </w:p>
        </w:tc>
      </w:tr>
      <w:tr>
        <w:tc>
          <w:tcPr/>
          <w:p>
            <w:pPr>
              <w:pStyle w:val="Compact"/>
            </w:pPr>
            <w:r>
              <w:rPr>
                <w:sz w:val="17"/>
              </w:rPr>
              <w:t xml:space="preserve">Identité visuelle</w:t>
            </w:r>
          </w:p>
        </w:tc>
        <w:tc>
          <w:tcPr/>
          <w:p>
            <w:pPr>
              <w:pStyle w:val="Compact"/>
            </w:pPr>
            <w:r>
              <w:rPr>
                <w:sz w:val="17"/>
              </w:rPr>
              <w:t xml:space="preserve">Visuel de couverture officiel de la Ville de Kinshasa (logo, liseré tricolore, silhouette de la ville), reproduit sans modification ; couleurs de la charte de la Ville</w:t>
            </w:r>
          </w:p>
        </w:tc>
      </w:tr>
      <w:tr>
        <w:tc>
          <w:tcPr>
            <w:shd w:val="clear" w:color="auto" w:fill="F5F7FB"/>
          </w:tcPr>
          <w:p>
            <w:pPr>
              <w:pStyle w:val="Compact"/>
            </w:pPr>
            <w:r>
              <w:rPr>
                <w:sz w:val="17"/>
              </w:rPr>
              <w:t xml:space="preserve">Préparé par</w:t>
            </w:r>
          </w:p>
        </w:tc>
        <w:tc>
          <w:tcPr>
            <w:shd w:val="clear" w:color="auto" w:fill="F5F7FB"/>
          </w:tcPr>
          <w:p>
            <w:pPr>
              <w:pStyle w:val="Compact"/>
            </w:pPr>
            <w:r>
              <w:rPr>
                <w:sz w:val="17"/>
              </w:rPr>
              <w:t xml:space="preserve">Groupe Nseya Digital / JNN Global Ltd, pour le compte du programme KINSHASA MOSOLO</w:t>
            </w:r>
          </w:p>
        </w:tc>
      </w:tr>
    </w:tbl>
    <w:bookmarkStart w:id="12" w:name="conventions-de-lecture"/>
    <w:p>
      <w:pPr>
        <w:pStyle w:val="Heading2"/>
      </w:pPr>
      <w:r>
        <w:t xml:space="preserve">Conventions de lecture</w:t>
      </w:r>
    </w:p>
    <w:p>
      <w:pPr>
        <w:pStyle w:val="FirstParagraph"/>
      </w:pPr>
      <w:r>
        <w:rPr>
          <w:b/>
          <w:bCs/>
        </w:rPr>
        <w:t xml:space="preserve">Marqueurs de statut juridique.</w:t>
      </w:r>
      <w:r>
        <w:t xml:space="preserve"> </w:t>
      </w:r>
      <w:r>
        <w:t xml:space="preserve">Toute affirmation de droit ou de chiffre porte l’un des marqueurs suivants :</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Marqueur</w:t>
            </w:r>
          </w:p>
        </w:tc>
        <w:tc>
          <w:tcPr>
            <w:shd w:val="clear" w:color="auto" w:fill="232C6B"/>
          </w:tcPr>
          <w:p>
            <w:pPr>
              <w:pStyle w:val="Compact"/>
            </w:pPr>
            <w:r>
              <w:rPr>
                <w:b/>
                <w:color w:val="FFFFFF"/>
                <w:sz w:val="17"/>
              </w:rPr>
              <w:t xml:space="preserve">Signification</w:t>
            </w:r>
          </w:p>
        </w:tc>
        <w:tc>
          <w:tcPr>
            <w:shd w:val="clear" w:color="auto" w:fill="232C6B"/>
          </w:tcPr>
          <w:p>
            <w:pPr>
              <w:pStyle w:val="Compact"/>
            </w:pPr>
            <w:r>
              <w:rPr>
                <w:b/>
                <w:color w:val="FFFFFF"/>
                <w:sz w:val="17"/>
              </w:rPr>
              <w:t xml:space="preserve">Effet dans la plateforme</w:t>
            </w:r>
          </w:p>
        </w:tc>
      </w:tr>
      <w:tr>
        <w:tc>
          <w:tcPr/>
          <w:p>
            <w:pPr>
              <w:pStyle w:val="Compact"/>
            </w:pPr>
            <w:r>
              <w:rPr>
                <w:b/>
                <w:bCs/>
                <w:sz w:val="17"/>
              </w:rPr>
              <w:t xml:space="preserve">[CONFIRMÉ]</w:t>
            </w:r>
          </w:p>
        </w:tc>
        <w:tc>
          <w:tcPr/>
          <w:p>
            <w:pPr>
              <w:pStyle w:val="Compact"/>
            </w:pPr>
            <w:r>
              <w:rPr>
                <w:sz w:val="17"/>
              </w:rPr>
              <w:t xml:space="preserve">Vérifié sur une source publique identifiée (texte publié, site officiel, rapport institutionnel), référencée à l’Annexe A</w:t>
            </w:r>
          </w:p>
        </w:tc>
        <w:tc>
          <w:tcPr/>
          <w:p>
            <w:pPr>
              <w:pStyle w:val="Compact"/>
            </w:pPr>
            <w:r>
              <w:rPr>
                <w:sz w:val="17"/>
              </w:rPr>
              <w:t xml:space="preserve">Peut alimenter une fiche de règle, qui reste soumise à la certification juridique formelle avant activation</w:t>
            </w:r>
          </w:p>
        </w:tc>
      </w:tr>
      <w:tr>
        <w:tc>
          <w:tcPr>
            <w:shd w:val="clear" w:color="auto" w:fill="F5F7FB"/>
          </w:tcPr>
          <w:p>
            <w:pPr>
              <w:pStyle w:val="Compact"/>
            </w:pPr>
            <w:r>
              <w:rPr>
                <w:b/>
                <w:bCs/>
                <w:sz w:val="17"/>
              </w:rPr>
              <w:t xml:space="preserve">[À VÉRIFIER]</w:t>
            </w:r>
          </w:p>
        </w:tc>
        <w:tc>
          <w:tcPr>
            <w:shd w:val="clear" w:color="auto" w:fill="F5F7FB"/>
          </w:tcPr>
          <w:p>
            <w:pPr>
              <w:pStyle w:val="Compact"/>
            </w:pPr>
            <w:r>
              <w:rPr>
                <w:sz w:val="17"/>
              </w:rPr>
              <w:t xml:space="preserve">Information plausible, issue d’une source secondaire ou des documents de travail, non confirmée sur le texte officiel</w:t>
            </w:r>
          </w:p>
        </w:tc>
        <w:tc>
          <w:tcPr>
            <w:shd w:val="clear" w:color="auto" w:fill="F5F7FB"/>
          </w:tcPr>
          <w:p>
            <w:pPr>
              <w:pStyle w:val="Compact"/>
            </w:pPr>
            <w:r>
              <w:rPr>
                <w:sz w:val="17"/>
              </w:rPr>
              <w:t xml:space="preserve">Reste en statut</w:t>
            </w:r>
            <w:r>
              <w:rPr>
                <w:sz w:val="17"/>
              </w:rPr>
              <w:t xml:space="preserve"> </w:t>
            </w:r>
            <w:r>
              <w:rPr>
                <w:rStyle w:val="VerbatimChar"/>
                <w:sz w:val="17"/>
              </w:rPr>
              <w:t xml:space="preserve">A_VERIFIER</w:t>
            </w:r>
            <w:r>
              <w:rPr>
                <w:sz w:val="17"/>
              </w:rPr>
              <w:t xml:space="preserve"> </w:t>
            </w:r>
            <w:r>
              <w:rPr>
                <w:sz w:val="17"/>
              </w:rPr>
              <w:t xml:space="preserve">dans le registre juridique :</w:t>
            </w:r>
            <w:r>
              <w:rPr>
                <w:sz w:val="17"/>
              </w:rPr>
              <w:t xml:space="preserve"> </w:t>
            </w:r>
            <w:r>
              <w:rPr>
                <w:b/>
                <w:bCs/>
                <w:sz w:val="17"/>
              </w:rPr>
              <w:t xml:space="preserve">aucun effet financier possible</w:t>
            </w:r>
          </w:p>
        </w:tc>
      </w:tr>
      <w:tr>
        <w:tc>
          <w:tcPr/>
          <w:p>
            <w:pPr>
              <w:pStyle w:val="Compact"/>
            </w:pPr>
            <w:r>
              <w:rPr>
                <w:b/>
                <w:bCs/>
                <w:sz w:val="17"/>
              </w:rPr>
              <w:t xml:space="preserve">[ACTE REQUIS]</w:t>
            </w:r>
          </w:p>
        </w:tc>
        <w:tc>
          <w:tcPr/>
          <w:p>
            <w:pPr>
              <w:pStyle w:val="Compact"/>
            </w:pPr>
            <w:r>
              <w:rPr>
                <w:sz w:val="17"/>
              </w:rPr>
              <w:t xml:space="preserve">Mesure qui n’a pas de base légale suffisante aujourd’hui et exige un édit, un arrêté, une convention ou une loi</w:t>
            </w:r>
          </w:p>
        </w:tc>
        <w:tc>
          <w:tcPr/>
          <w:p>
            <w:pPr>
              <w:pStyle w:val="Compact"/>
            </w:pPr>
            <w:r>
              <w:rPr>
                <w:sz w:val="17"/>
              </w:rPr>
              <w:t xml:space="preserve">Modélisée et simulable,</w:t>
            </w:r>
            <w:r>
              <w:rPr>
                <w:sz w:val="17"/>
              </w:rPr>
              <w:t xml:space="preserve"> </w:t>
            </w:r>
            <w:r>
              <w:rPr>
                <w:b/>
                <w:bCs/>
                <w:sz w:val="17"/>
              </w:rPr>
              <w:t xml:space="preserve">non activable</w:t>
            </w:r>
          </w:p>
        </w:tc>
      </w:tr>
      <w:tr>
        <w:tc>
          <w:tcPr>
            <w:shd w:val="clear" w:color="auto" w:fill="F5F7FB"/>
          </w:tcPr>
          <w:p>
            <w:pPr>
              <w:pStyle w:val="Compact"/>
            </w:pPr>
            <w:r>
              <w:rPr>
                <w:b/>
                <w:bCs/>
                <w:sz w:val="17"/>
              </w:rPr>
              <w:t xml:space="preserve">[EXEMPLE]</w:t>
            </w:r>
          </w:p>
        </w:tc>
        <w:tc>
          <w:tcPr>
            <w:shd w:val="clear" w:color="auto" w:fill="F5F7FB"/>
          </w:tcPr>
          <w:p>
            <w:pPr>
              <w:pStyle w:val="Compact"/>
            </w:pPr>
            <w:r>
              <w:rPr>
                <w:sz w:val="17"/>
              </w:rPr>
              <w:t xml:space="preserve">Valeur illustrative destinée à montrer une mécanique de calcul</w:t>
            </w:r>
          </w:p>
        </w:tc>
        <w:tc>
          <w:tcPr>
            <w:shd w:val="clear" w:color="auto" w:fill="F5F7FB"/>
          </w:tcPr>
          <w:p>
            <w:pPr>
              <w:pStyle w:val="Compact"/>
            </w:pPr>
            <w:r>
              <w:rPr>
                <w:sz w:val="17"/>
              </w:rPr>
              <w:t xml:space="preserve">Interdite en production ; bloquée par les tests d’acceptation</w:t>
            </w:r>
          </w:p>
        </w:tc>
      </w:tr>
    </w:tbl>
    <w:p>
      <w:pPr>
        <w:pStyle w:val="BodyText"/>
      </w:pPr>
      <w:r>
        <w:rPr>
          <w:b/>
          <w:bCs/>
        </w:rPr>
        <w:t xml:space="preserve">Règle de prudence appliquée partout.</w:t>
      </w:r>
      <w:r>
        <w:t xml:space="preserve"> </w:t>
      </w:r>
      <w:r>
        <w:t xml:space="preserve">Lorsque l’information manque, le document (1) dit ce qui est inconnu, (2) précise ce qui doit être vérifié, (3) désigne l’autorité responsable, (4) définit les données requises, (5) propose une hypothèse de conception sûre pour l’intérim, et (6) décrit le verrou technique qui empêche cette hypothèse d’entrer en production.</w:t>
      </w:r>
    </w:p>
    <w:p>
      <w:pPr>
        <w:pStyle w:val="BodyText"/>
      </w:pPr>
      <w:r>
        <w:rPr>
          <w:b/>
          <w:bCs/>
        </w:rPr>
        <w:t xml:space="preserve">Vocabulaire.</w:t>
      </w:r>
      <w:r>
        <w:t xml:space="preserve"> </w:t>
      </w:r>
      <w:r>
        <w:t xml:space="preserve">« Régie » désigne la DGIPK, la DGRK ou toute administration légalement chargée d’une recette ; l’administration compétente est une</w:t>
      </w:r>
      <w:r>
        <w:t xml:space="preserve"> </w:t>
      </w:r>
      <w:r>
        <w:rPr>
          <w:b/>
          <w:bCs/>
        </w:rPr>
        <w:t xml:space="preserve">donnée de configuration</w:t>
      </w:r>
      <w:r>
        <w:t xml:space="preserve"> </w:t>
      </w:r>
      <w:r>
        <w:t xml:space="preserve">de chaque règle, jamais une constante du code, parce que la répartition des compétences entre régies provinciales est en cours de réforme. « Settlement » est traduit par</w:t>
      </w:r>
      <w:r>
        <w:t xml:space="preserve"> </w:t>
      </w:r>
      <w:r>
        <w:rPr>
          <w:b/>
          <w:bCs/>
        </w:rPr>
        <w:t xml:space="preserve">règlement en compte public</w:t>
      </w:r>
      <w:r>
        <w:t xml:space="preserve">. Le français est la langue de référence ; les termes techniques anglais sont conservés entre parenthèses et définis au glossaire (Annexe C).</w:t>
      </w:r>
    </w:p>
    <w:p>
      <w:pPr>
        <w:pStyle w:val="BodyText"/>
      </w:pPr>
      <w:r>
        <w:rPr>
          <w:b/>
          <w:bCs/>
        </w:rPr>
        <w:t xml:space="preserve">Conventions des diagrammes et graphiques.</w:t>
      </w:r>
      <w:r>
        <w:t xml:space="preserve"> </w:t>
      </w:r>
      <w:r>
        <w:t xml:space="preserve">Les diagrammes sont écrits en Mermaid dans la source Markdown (rendus automatiquement sur la forge Git et convertis en images dans la version Word). Les graphiques sont générés par</w:t>
      </w:r>
      <w:r>
        <w:t xml:space="preserve"> </w:t>
      </w:r>
      <w:r>
        <w:rPr>
          <w:rStyle w:val="VerbatimChar"/>
        </w:rPr>
        <w:t xml:space="preserve">tools/gen_graphiques.py</w:t>
      </w:r>
      <w:r>
        <w:t xml:space="preserve"> </w:t>
      </w:r>
      <w:r>
        <w:t xml:space="preserve">dans la charte de la Ville de Kinshasa (marine de l’écu</w:t>
      </w:r>
      <w:r>
        <w:t xml:space="preserve"> </w:t>
      </w:r>
      <w:r>
        <w:rPr>
          <w:rStyle w:val="VerbatimChar"/>
        </w:rPr>
        <w:t xml:space="preserve">#232C6B</w:t>
      </w:r>
      <w:r>
        <w:t xml:space="preserve">, liseré tricolore bleu</w:t>
      </w:r>
      <w:r>
        <w:t xml:space="preserve"> </w:t>
      </w:r>
      <w:r>
        <w:rPr>
          <w:rStyle w:val="VerbatimChar"/>
        </w:rPr>
        <w:t xml:space="preserve">#1E9BD7</w:t>
      </w:r>
      <w:r>
        <w:t xml:space="preserve">, jaune</w:t>
      </w:r>
      <w:r>
        <w:t xml:space="preserve"> </w:t>
      </w:r>
      <w:r>
        <w:rPr>
          <w:rStyle w:val="VerbatimChar"/>
        </w:rPr>
        <w:t xml:space="preserve">#F7D618</w:t>
      </w:r>
      <w:r>
        <w:t xml:space="preserve">, rouge</w:t>
      </w:r>
      <w:r>
        <w:t xml:space="preserve"> </w:t>
      </w:r>
      <w:r>
        <w:rPr>
          <w:rStyle w:val="VerbatimChar"/>
        </w:rPr>
        <w:t xml:space="preserve">#D7141A</w:t>
      </w:r>
      <w:r>
        <w:t xml:space="preserve">, or</w:t>
      </w:r>
      <w:r>
        <w:t xml:space="preserve"> </w:t>
      </w:r>
      <w:r>
        <w:rPr>
          <w:rStyle w:val="VerbatimChar"/>
        </w:rPr>
        <w:t xml:space="preserve">#E0A526</w:t>
      </w:r>
      <w:r>
        <w:t xml:space="preserve">, vert</w:t>
      </w:r>
      <w:r>
        <w:t xml:space="preserve"> </w:t>
      </w:r>
      <w:r>
        <w:rPr>
          <w:rStyle w:val="VerbatimChar"/>
        </w:rPr>
        <w:t xml:space="preserve">#1E8C3A</w:t>
      </w:r>
      <w:r>
        <w:t xml:space="preserve">) avec une palette catégorielle contrôlée pour les daltonismes ; ceux qui reposent sur des valeurs illustratives portent la mention « EXEMPLE — non opposable ».</w:t>
      </w:r>
    </w:p>
    <w:p>
      <w:pPr>
        <w:pStyle w:val="BodyText"/>
      </w:pPr>
      <w:r>
        <w:rPr>
          <w:b/>
          <w:bCs/>
        </w:rPr>
        <w:t xml:space="preserve">Monnaies et langues.</w:t>
      </w:r>
      <w:r>
        <w:t xml:space="preserve"> </w:t>
      </w:r>
      <w:r>
        <w:t xml:space="preserve">Le franc congolais (🇨🇩 CDF) est la devise principale ; chaque devise est affichée avec le drapeau de son pays émetteur (§ 11.6). La plateforme est multilingue : français (référence), lingala, kiswahili, kikongo, tshiluba, anglais (§ 11.5).</w:t>
      </w:r>
    </w:p>
    <w:bookmarkEnd w:id="12"/>
    <w:bookmarkStart w:id="13" w:name="sommaire"/>
    <w:p>
      <w:pPr>
        <w:pStyle w:val="Heading2"/>
      </w:pPr>
      <w:r>
        <w:t xml:space="preserve">Sommaire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Partie</w:t>
            </w:r>
          </w:p>
        </w:tc>
        <w:tc>
          <w:tcPr>
            <w:shd w:val="clear" w:color="auto" w:fill="232C6B"/>
          </w:tcPr>
          <w:p>
            <w:pPr>
              <w:pStyle w:val="Compact"/>
            </w:pPr>
            <w:r>
              <w:rPr>
                <w:b/>
                <w:color w:val="FFFFFF"/>
                <w:sz w:val="17"/>
              </w:rPr>
              <w:t xml:space="preserve">Chapitres</w:t>
            </w:r>
          </w:p>
        </w:tc>
      </w:tr>
      <w:tr>
        <w:tc>
          <w:tcPr/>
          <w:p>
            <w:pPr>
              <w:pStyle w:val="Compact"/>
            </w:pPr>
            <w:r>
              <w:rPr>
                <w:sz w:val="17"/>
              </w:rPr>
              <w:t xml:space="preserve">I — Décider</w:t>
            </w:r>
          </w:p>
        </w:tc>
        <w:tc>
          <w:tcPr/>
          <w:p>
            <w:pPr>
              <w:pStyle w:val="Compact"/>
            </w:pPr>
            <w:r>
              <w:rPr>
                <w:sz w:val="17"/>
              </w:rPr>
              <w:t xml:space="preserve">1 Résumé exécutif · 2 Argumentaire politique et économique · 3 Vision · 4 Énoncé du problème · 5 Objectifs stratégiques</w:t>
            </w:r>
          </w:p>
        </w:tc>
      </w:tr>
      <w:tr>
        <w:tc>
          <w:tcPr>
            <w:shd w:val="clear" w:color="auto" w:fill="F5F7FB"/>
          </w:tcPr>
          <w:p>
            <w:pPr>
              <w:pStyle w:val="Compact"/>
            </w:pPr>
            <w:r>
              <w:rPr>
                <w:sz w:val="17"/>
              </w:rPr>
              <w:t xml:space="preserve">II — Le droit et l’argent</w:t>
            </w:r>
          </w:p>
        </w:tc>
        <w:tc>
          <w:tcPr>
            <w:shd w:val="clear" w:color="auto" w:fill="F5F7FB"/>
          </w:tcPr>
          <w:p>
            <w:pPr>
              <w:pStyle w:val="Compact"/>
            </w:pPr>
            <w:r>
              <w:rPr>
                <w:sz w:val="17"/>
              </w:rPr>
              <w:t xml:space="preserve">6 Analyse juridique et réglementaire · 7 Paysage des recettes · 8 Nouvelles opportunités de recettes</w:t>
            </w:r>
          </w:p>
        </w:tc>
      </w:tr>
      <w:tr>
        <w:tc>
          <w:tcPr/>
          <w:p>
            <w:pPr>
              <w:pStyle w:val="Compact"/>
            </w:pPr>
            <w:r>
              <w:rPr>
                <w:sz w:val="17"/>
              </w:rPr>
              <w:t xml:space="preserve">III — Le produit</w:t>
            </w:r>
          </w:p>
        </w:tc>
        <w:tc>
          <w:tcPr/>
          <w:p>
            <w:pPr>
              <w:pStyle w:val="Compact"/>
            </w:pPr>
            <w:r>
              <w:rPr>
                <w:sz w:val="17"/>
              </w:rPr>
              <w:t xml:space="preserve">9 Un utilisateur, un compte · 10 Architecture fonctionnelle · 11 Catalogue des modules · 12 Rôles et matrice d’habilitations · 13 Parcours contribuables · 14 Parcours gouvernementaux · 15 Parcours de l’agent de terrain · 16 Foncier et intelligence locative · 17 Cadastre fiscal géospatial</w:t>
            </w:r>
          </w:p>
        </w:tc>
      </w:tr>
      <w:tr>
        <w:tc>
          <w:tcPr>
            <w:shd w:val="clear" w:color="auto" w:fill="F5F7FB"/>
          </w:tcPr>
          <w:p>
            <w:pPr>
              <w:pStyle w:val="Compact"/>
            </w:pPr>
            <w:r>
              <w:rPr>
                <w:sz w:val="17"/>
              </w:rPr>
              <w:t xml:space="preserve">IV — La chaîne financière</w:t>
            </w:r>
          </w:p>
        </w:tc>
        <w:tc>
          <w:tcPr>
            <w:shd w:val="clear" w:color="auto" w:fill="F5F7FB"/>
          </w:tcPr>
          <w:p>
            <w:pPr>
              <w:pStyle w:val="Compact"/>
            </w:pPr>
            <w:r>
              <w:rPr>
                <w:sz w:val="17"/>
              </w:rPr>
              <w:t xml:space="preserve">18 Paiement et règlement · 19 Quittance électronique · 20 Rapprochement · 21 Recouvrement et exécution · 22 Recours et droits du contribuable</w:t>
            </w:r>
          </w:p>
        </w:tc>
      </w:tr>
      <w:tr>
        <w:tc>
          <w:tcPr/>
          <w:p>
            <w:pPr>
              <w:pStyle w:val="Compact"/>
            </w:pPr>
            <w:r>
              <w:rPr>
                <w:sz w:val="17"/>
              </w:rPr>
              <w:t xml:space="preserve">V — Intelligence et intégrité</w:t>
            </w:r>
          </w:p>
        </w:tc>
        <w:tc>
          <w:tcPr/>
          <w:p>
            <w:pPr>
              <w:pStyle w:val="Compact"/>
            </w:pPr>
            <w:r>
              <w:rPr>
                <w:sz w:val="17"/>
              </w:rPr>
              <w:t xml:space="preserve">23 Agents d’IA · 24 Apprentissage et environnement de travail · 25 Fraude et déperdition · 26 Tableaux de bord · 27 Affectation des fonds publics</w:t>
            </w:r>
          </w:p>
        </w:tc>
      </w:tr>
      <w:tr>
        <w:tc>
          <w:tcPr>
            <w:shd w:val="clear" w:color="auto" w:fill="F5F7FB"/>
          </w:tcPr>
          <w:p>
            <w:pPr>
              <w:pStyle w:val="Compact"/>
            </w:pPr>
            <w:r>
              <w:rPr>
                <w:sz w:val="17"/>
              </w:rPr>
              <w:t xml:space="preserve">VI — La technique</w:t>
            </w:r>
          </w:p>
        </w:tc>
        <w:tc>
          <w:tcPr>
            <w:shd w:val="clear" w:color="auto" w:fill="F5F7FB"/>
          </w:tcPr>
          <w:p>
            <w:pPr>
              <w:pStyle w:val="Compact"/>
            </w:pPr>
            <w:r>
              <w:rPr>
                <w:sz w:val="17"/>
              </w:rPr>
              <w:t xml:space="preserve">28 Architecture technique · 29 Modèle de données · 30 Catalogue des API · 31 Sécurité · 32 Gouvernance des données · 33 Hébergement et souveraineté</w:t>
            </w:r>
          </w:p>
        </w:tc>
      </w:tr>
      <w:tr>
        <w:tc>
          <w:tcPr/>
          <w:p>
            <w:pPr>
              <w:pStyle w:val="Compact"/>
            </w:pPr>
            <w:r>
              <w:rPr>
                <w:sz w:val="17"/>
              </w:rPr>
              <w:t xml:space="preserve">VII — Mettre en œuvre</w:t>
            </w:r>
          </w:p>
        </w:tc>
        <w:tc>
          <w:tcPr/>
          <w:p>
            <w:pPr>
              <w:pStyle w:val="Compact"/>
            </w:pPr>
            <w:r>
              <w:rPr>
                <w:sz w:val="17"/>
              </w:rPr>
              <w:t xml:space="preserve">34 Feuille de route · 35 Modèle opérationnel · 36 Gouvernance · 37 Passation et modèle commercial · 38 Modèle financier · 39 Indicateurs · 40 Registre des risques · 41 Critères d’acceptation · 42 Carnet de développement · 43 Plan de livraison · 44 Stratégie de tests · 45 Plan pilote · 46 Plan des 100 premiers jours · 47 Décisions immédiates</w:t>
            </w:r>
          </w:p>
        </w:tc>
      </w:tr>
      <w:tr>
        <w:tc>
          <w:tcPr>
            <w:shd w:val="clear" w:color="auto" w:fill="F5F7FB"/>
          </w:tcPr>
          <w:p>
            <w:pPr>
              <w:pStyle w:val="Compact"/>
            </w:pPr>
            <w:r>
              <w:rPr>
                <w:sz w:val="17"/>
              </w:rPr>
              <w:t xml:space="preserve">VIII — Conclusion stratégique</w:t>
            </w:r>
          </w:p>
        </w:tc>
        <w:tc>
          <w:tcPr>
            <w:shd w:val="clear" w:color="auto" w:fill="F5F7FB"/>
          </w:tcPr>
          <w:p>
            <w:pPr>
              <w:pStyle w:val="Compact"/>
            </w:pPr>
            <w:r>
              <w:rPr>
                <w:sz w:val="17"/>
              </w:rPr>
              <w:t xml:space="preserve">Dix décisions · pilote de 180 jours · gouvernance · budget initial · gisements prioritaires · contrôles anti-fraude · validations juridiques critiques · prochaine action</w:t>
            </w:r>
          </w:p>
        </w:tc>
      </w:tr>
      <w:tr>
        <w:tc>
          <w:tcPr/>
          <w:p>
            <w:pPr>
              <w:pStyle w:val="Compact"/>
            </w:pPr>
            <w:r>
              <w:rPr>
                <w:sz w:val="17"/>
              </w:rPr>
              <w:t xml:space="preserve">Annexes</w:t>
            </w:r>
          </w:p>
        </w:tc>
        <w:tc>
          <w:tcPr/>
          <w:p>
            <w:pPr>
              <w:pStyle w:val="Compact"/>
            </w:pPr>
            <w:r>
              <w:rPr>
                <w:sz w:val="17"/>
              </w:rPr>
              <w:t xml:space="preserve">A Registre de vérification juridique et sources · B Fiches de règles modèles · C Glossaire · D Arbitrages avec les documents antérieurs et traçabilité · E Socle logiciel livré (backend, frontend, shared) · H Intégration exhaustive des exigences des documents sources (1 792 exigences, verticales, modules 1–81, arbitrages, traçabilité) · G Catalogue des événements de communication · I Modules construits et couverture des exigences (3 793 exigences auditées, 14 modules, 555 routes, 70 écrans)</w:t>
            </w:r>
          </w:p>
        </w:tc>
      </w:tr>
    </w:tbl>
    <w:bookmarkEnd w:id="13"/>
    <w:bookmarkEnd w:id="14"/>
    <w:bookmarkStart w:id="15" w:name="résumé-exécutif"/>
    <w:p>
      <w:pPr>
        <w:pStyle w:val="Heading1"/>
      </w:pPr>
      <w:r>
        <w:t xml:space="preserve">1. Résumé exécutif</w:t>
      </w:r>
    </w:p>
    <w:p>
      <w:pPr>
        <w:pStyle w:val="FirstParagraph"/>
      </w:pPr>
      <w:r>
        <w:rPr>
          <w:b/>
          <w:bCs/>
        </w:rPr>
        <w:t xml:space="preserve">Le problème.</w:t>
      </w:r>
      <w:r>
        <w:t xml:space="preserve"> </w:t>
      </w:r>
      <w:r>
        <w:t xml:space="preserve">Kinshasa, avec entre 17 et 20 millions d’habitants selon les estimations, finance ses services publics avec un budget provincial de l’ordre de 1,1 milliard de dollars pour 2026 [À VÉRIFIER sur l’édit promulgué], soit environ 60 dollars par habitant et par an. Le principal frein n’est pas le niveau des taux :</w:t>
      </w:r>
      <w:r>
        <w:t xml:space="preserve"> </w:t>
      </w:r>
      <w:r>
        <w:rPr>
          <w:b/>
          <w:bCs/>
        </w:rPr>
        <w:t xml:space="preserve">la Ville ne voit pas son assiette</w:t>
      </w:r>
      <w:r>
        <w:t xml:space="preserve">. Une large part des parcelles, logements loués, commerces, véhicules, panneaux et occupations du domaine public n’existe dans aucune base numérique géolocalisée. Ce qui n’est pas vu n’est pas liquidé ; ce qui est encaissé en espèces n’est pas toujours rapproché. L’évaluation TADAT de la régie provinciale, restituée en septembre 2025, a confirmé les faiblesses du registre, du télépaiement, du contrôle interne et de l’audit.</w:t>
      </w:r>
    </w:p>
    <w:p>
      <w:pPr>
        <w:pStyle w:val="BodyText"/>
      </w:pPr>
      <w:r>
        <w:rPr>
          <w:b/>
          <w:bCs/>
        </w:rPr>
        <w:t xml:space="preserve">La proposition.</w:t>
      </w:r>
      <w:r>
        <w:t xml:space="preserve"> </w:t>
      </w:r>
      <w:r>
        <w:t xml:space="preserve">KINSHASA MOSOLO est le</w:t>
      </w:r>
      <w:r>
        <w:t xml:space="preserve"> </w:t>
      </w:r>
      <w:r>
        <w:rPr>
          <w:b/>
          <w:bCs/>
        </w:rPr>
        <w:t xml:space="preserve">système d’exploitation souverain des recettes</w:t>
      </w:r>
      <w:r>
        <w:t xml:space="preserve"> </w:t>
      </w:r>
      <w:r>
        <w:t xml:space="preserve">de la Ville Province. Il relie, dans une chaîne unique et auditable, l’identité du contribuable, l’objet imposable et sa localisation, la règle juridique certifiée, l’obligation, le paiement vers un compte public, le rapprochement, la quittance vérifiable, le contrôle, le recouvrement, l’audit et la planification de l’emploi des fonds :</w:t>
      </w:r>
    </w:p>
    <w:p>
      <w:pPr>
        <w:pStyle w:val="BodyText"/>
      </w:pPr>
      <w:r>
        <w:rPr>
          <w:b/>
          <w:bCs/>
        </w:rPr>
        <w:t xml:space="preserve">RECENSER → IDENTIFIER → GÉOLOCALISER → QUALIFIER → CALCULER → NOTIFIER → PAYER → RAPPROCHER → QUITTANCER → CONTRÔLER → RECOUVRER → AUDITER → PLANIFIER</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Ce que MOSOLO fait</w:t>
            </w:r>
          </w:p>
        </w:tc>
        <w:tc>
          <w:tcPr>
            <w:shd w:val="clear" w:color="auto" w:fill="232C6B"/>
          </w:tcPr>
          <w:p>
            <w:pPr>
              <w:pStyle w:val="Compact"/>
            </w:pPr>
            <w:r>
              <w:rPr>
                <w:b/>
                <w:color w:val="FFFFFF"/>
                <w:sz w:val="17"/>
              </w:rPr>
              <w:t xml:space="preserve">Ce que MOSOLO ne fait jamais</w:t>
            </w:r>
          </w:p>
        </w:tc>
      </w:tr>
      <w:tr>
        <w:tc>
          <w:tcPr/>
          <w:p>
            <w:pPr>
              <w:pStyle w:val="Compact"/>
            </w:pPr>
            <w:r>
              <w:rPr>
                <w:sz w:val="17"/>
              </w:rPr>
              <w:t xml:space="preserve">Un compte unique par personne ou organisation, relié à tous ses biens, activités et rôles</w:t>
            </w:r>
          </w:p>
        </w:tc>
        <w:tc>
          <w:tcPr/>
          <w:p>
            <w:pPr>
              <w:pStyle w:val="Compact"/>
            </w:pPr>
            <w:r>
              <w:rPr>
                <w:sz w:val="17"/>
              </w:rPr>
              <w:t xml:space="preserve">Créer un impôt, un taux ou une pénalité</w:t>
            </w:r>
          </w:p>
        </w:tc>
      </w:tr>
      <w:tr>
        <w:tc>
          <w:tcPr>
            <w:shd w:val="clear" w:color="auto" w:fill="F5F7FB"/>
          </w:tcPr>
          <w:p>
            <w:pPr>
              <w:pStyle w:val="Compact"/>
            </w:pPr>
            <w:r>
              <w:rPr>
                <w:sz w:val="17"/>
              </w:rPr>
              <w:t xml:space="preserve">Un identifiant géofiscal et une plaque à QR pour chaque objet imposable</w:t>
            </w:r>
          </w:p>
        </w:tc>
        <w:tc>
          <w:tcPr>
            <w:shd w:val="clear" w:color="auto" w:fill="F5F7FB"/>
          </w:tcPr>
          <w:p>
            <w:pPr>
              <w:pStyle w:val="Compact"/>
            </w:pPr>
            <w:r>
              <w:rPr>
                <w:sz w:val="17"/>
              </w:rPr>
              <w:t xml:space="preserve">Encaisser sur un compte privé</w:t>
            </w:r>
          </w:p>
        </w:tc>
      </w:tr>
      <w:tr>
        <w:tc>
          <w:tcPr/>
          <w:p>
            <w:pPr>
              <w:pStyle w:val="Compact"/>
            </w:pPr>
            <w:r>
              <w:rPr>
                <w:sz w:val="17"/>
              </w:rPr>
              <w:t xml:space="preserve">Des obligations calculées uniquement à partir de règles certifiées, versionnées et expliquées</w:t>
            </w:r>
          </w:p>
        </w:tc>
        <w:tc>
          <w:tcPr/>
          <w:p>
            <w:pPr>
              <w:pStyle w:val="Compact"/>
            </w:pPr>
            <w:r>
              <w:rPr>
                <w:sz w:val="17"/>
              </w:rPr>
              <w:t xml:space="preserve">Transformer un signal statistique en dette</w:t>
            </w:r>
          </w:p>
        </w:tc>
      </w:tr>
      <w:tr>
        <w:tc>
          <w:tcPr>
            <w:shd w:val="clear" w:color="auto" w:fill="F5F7FB"/>
          </w:tcPr>
          <w:p>
            <w:pPr>
              <w:pStyle w:val="Compact"/>
            </w:pPr>
            <w:r>
              <w:rPr>
                <w:sz w:val="17"/>
              </w:rPr>
              <w:t xml:space="preserve">Le paiement mobile, bancaire ou assisté vers les comptes publics désignés</w:t>
            </w:r>
          </w:p>
        </w:tc>
        <w:tc>
          <w:tcPr>
            <w:shd w:val="clear" w:color="auto" w:fill="F5F7FB"/>
          </w:tcPr>
          <w:p>
            <w:pPr>
              <w:pStyle w:val="Compact"/>
            </w:pPr>
            <w:r>
              <w:rPr>
                <w:sz w:val="17"/>
              </w:rPr>
              <w:t xml:space="preserve">Permettre à une seule personne — Gouverneur, ministre, directeur, administrateur, prestataire — de modifier seule une dette, un paiement, un compte bénéficiaire ou une trace</w:t>
            </w:r>
          </w:p>
        </w:tc>
      </w:tr>
      <w:tr>
        <w:tc>
          <w:tcPr/>
          <w:p>
            <w:pPr>
              <w:pStyle w:val="Compact"/>
            </w:pPr>
            <w:r>
              <w:rPr>
                <w:sz w:val="17"/>
              </w:rPr>
              <w:t xml:space="preserve">Une quittance signée vérifiable par simple scan</w:t>
            </w:r>
          </w:p>
        </w:tc>
        <w:tc>
          <w:tcPr/>
          <w:p>
            <w:pPr>
              <w:pStyle w:val="Compact"/>
            </w:pPr>
            <w:r>
              <w:rPr>
                <w:sz w:val="17"/>
              </w:rPr>
              <w:t xml:space="preserve">Sanctionner automatiquement</w:t>
            </w:r>
          </w:p>
        </w:tc>
      </w:tr>
      <w:tr>
        <w:tc>
          <w:tcPr>
            <w:shd w:val="clear" w:color="auto" w:fill="F5F7FB"/>
          </w:tcPr>
          <w:p>
            <w:pPr>
              <w:pStyle w:val="Compact"/>
            </w:pPr>
            <w:r>
              <w:rPr>
                <w:sz w:val="17"/>
              </w:rPr>
              <w:t xml:space="preserve">Un rapprochement quotidien automatisé et un grand livre en partie double</w:t>
            </w:r>
          </w:p>
        </w:tc>
        <w:tc>
          <w:tcPr>
            <w:shd w:val="clear" w:color="auto" w:fill="F5F7FB"/>
          </w:tcPr>
          <w:p>
            <w:pPr>
              <w:pStyle w:val="Compact"/>
            </w:pPr>
            <w:r>
              <w:rPr>
                <w:sz w:val="17"/>
              </w:rPr>
              <w:t xml:space="preserve">Exposer publiquement la situation fiscale d’une personne</w:t>
            </w:r>
          </w:p>
        </w:tc>
      </w:tr>
      <w:tr>
        <w:tc>
          <w:tcPr/>
          <w:p>
            <w:pPr>
              <w:pStyle w:val="Compact"/>
            </w:pPr>
            <w:r>
              <w:rPr>
                <w:sz w:val="17"/>
              </w:rPr>
              <w:t xml:space="preserve">Un centre de commandement exécutif distinguant potentiel, liquidé, payé, réglé et rapproché</w:t>
            </w:r>
          </w:p>
        </w:tc>
        <w:tc>
          <w:tcPr/>
          <w:p>
            <w:pPr>
              <w:pStyle w:val="Compact"/>
            </w:pPr>
            <w:r>
              <w:rPr>
                <w:sz w:val="17"/>
              </w:rPr>
              <w:t xml:space="preserve">Supprimer une écriture ou un événement d’audit</w:t>
            </w:r>
          </w:p>
        </w:tc>
      </w:tr>
      <w:tr>
        <w:tc>
          <w:tcPr>
            <w:shd w:val="clear" w:color="auto" w:fill="F5F7FB"/>
          </w:tcPr>
          <w:p>
            <w:pPr>
              <w:pStyle w:val="Compact"/>
            </w:pPr>
            <w:r>
              <w:rPr>
                <w:sz w:val="17"/>
              </w:rPr>
              <w:t xml:space="preserve">Des agents d’IA qui détectent, expliquent, prévoient et recommandent</w:t>
            </w:r>
          </w:p>
        </w:tc>
        <w:tc>
          <w:tcPr>
            <w:shd w:val="clear" w:color="auto" w:fill="F5F7FB"/>
          </w:tcPr>
          <w:p>
            <w:pPr>
              <w:pStyle w:val="Compact"/>
            </w:pPr>
            <w:r>
              <w:rPr>
                <w:sz w:val="17"/>
              </w:rPr>
              <w:t xml:space="preserve">Laisser l’IA décider d’un acte juridique ou financier</w:t>
            </w:r>
          </w:p>
        </w:tc>
      </w:tr>
    </w:tbl>
    <w:p>
      <w:pPr>
        <w:pStyle w:val="BodyText"/>
      </w:pPr>
      <w:r>
        <w:rPr>
          <w:b/>
          <w:bCs/>
        </w:rPr>
        <w:t xml:space="preserve">Quatre alertes à traiter avant toute ligne de production.</w:t>
      </w:r>
    </w:p>
    <w:p>
      <w:pPr>
        <w:pStyle w:val="Compact"/>
        <w:numPr>
          <w:ilvl w:val="0"/>
          <w:numId w:val="1001"/>
        </w:numPr>
      </w:pPr>
      <w:r>
        <w:rPr>
          <w:b/>
          <w:bCs/>
        </w:rPr>
        <w:t xml:space="preserve">Référentiel juridique.</w:t>
      </w:r>
      <w:r>
        <w:t xml:space="preserve"> </w:t>
      </w:r>
      <w:r>
        <w:t xml:space="preserve">Le projet d’origine s’appuyait sur l’Ordonnance-loi n° 13/001 de 2013,</w:t>
      </w:r>
      <w:r>
        <w:t xml:space="preserve"> </w:t>
      </w:r>
      <w:r>
        <w:rPr>
          <w:b/>
          <w:bCs/>
        </w:rPr>
        <w:t xml:space="preserve">abrogée</w:t>
      </w:r>
      <w:r>
        <w:t xml:space="preserve"> </w:t>
      </w:r>
      <w:r>
        <w:t xml:space="preserve">par l’Ordonnance-loi n° 18/004 du 13 mars 2018. La « Loi n° 18/014 du 9 juillet 2018 » citée comme référence</w:t>
      </w:r>
      <w:r>
        <w:t xml:space="preserve"> </w:t>
      </w:r>
      <w:r>
        <w:rPr>
          <w:b/>
          <w:bCs/>
        </w:rPr>
        <w:t xml:space="preserve">n’a pas pu être identifiée</w:t>
      </w:r>
      <w:r>
        <w:t xml:space="preserve"> </w:t>
      </w:r>
      <w:r>
        <w:t xml:space="preserve">; son objet doit être vérifié au Journal officiel. La procédure provinciale repose sur l’Édit n° 005/2021, dont le contenu doit être certifié.</w:t>
      </w:r>
    </w:p>
    <w:p>
      <w:pPr>
        <w:pStyle w:val="Compact"/>
        <w:numPr>
          <w:ilvl w:val="0"/>
          <w:numId w:val="1001"/>
        </w:numPr>
      </w:pPr>
      <w:r>
        <w:rPr>
          <w:b/>
          <w:bCs/>
        </w:rPr>
        <w:t xml:space="preserve">Taux de l’IRL.</w:t>
      </w:r>
      <w:r>
        <w:t xml:space="preserve"> </w:t>
      </w:r>
      <w:r>
        <w:t xml:space="preserve">Le chiffre de 20 % n’est</w:t>
      </w:r>
      <w:r>
        <w:t xml:space="preserve"> </w:t>
      </w:r>
      <w:r>
        <w:rPr>
          <w:b/>
          <w:bCs/>
        </w:rPr>
        <w:t xml:space="preserve">pas</w:t>
      </w:r>
      <w:r>
        <w:t xml:space="preserve"> </w:t>
      </w:r>
      <w:r>
        <w:t xml:space="preserve">le taux de l’impôt : c’est la retenue du locataire au 1er rang. Les taux rapportés pour Kinshasa sont de</w:t>
      </w:r>
      <w:r>
        <w:t xml:space="preserve"> </w:t>
      </w:r>
      <w:r>
        <w:rPr>
          <w:b/>
          <w:bCs/>
        </w:rPr>
        <w:t xml:space="preserve">22 % au 1er rang et 17 % aux autres rangs</w:t>
      </w:r>
      <w:r>
        <w:t xml:space="preserve"> </w:t>
      </w:r>
      <w:r>
        <w:t xml:space="preserve">(retenues de 20 % et 15 %) ; l’arrêté de référence doit être certifié.</w:t>
      </w:r>
    </w:p>
    <w:p>
      <w:pPr>
        <w:pStyle w:val="Compact"/>
        <w:numPr>
          <w:ilvl w:val="0"/>
          <w:numId w:val="1001"/>
        </w:numPr>
      </w:pPr>
      <w:r>
        <w:rPr>
          <w:b/>
          <w:bCs/>
        </w:rPr>
        <w:t xml:space="preserve">Réforme des régies en cours.</w:t>
      </w:r>
      <w:r>
        <w:t xml:space="preserve"> </w:t>
      </w:r>
      <w:r>
        <w:t xml:space="preserve">La DGRK est remplacée par la DGIPK (impôts) et une direction des droits, taxes et redevances ; une plateforme de déclaration en ligne existe déjà depuis mars 2026.</w:t>
      </w:r>
      <w:r>
        <w:t xml:space="preserve"> </w:t>
      </w:r>
      <w:r>
        <w:rPr>
          <w:b/>
          <w:bCs/>
        </w:rPr>
        <w:t xml:space="preserve">MOSOLO doit l’intégrer, pas la dupliquer.</w:t>
      </w:r>
    </w:p>
    <w:p>
      <w:pPr>
        <w:pStyle w:val="Compact"/>
        <w:numPr>
          <w:ilvl w:val="0"/>
          <w:numId w:val="1001"/>
        </w:numPr>
      </w:pPr>
      <w:r>
        <w:rPr>
          <w:b/>
          <w:bCs/>
        </w:rPr>
        <w:t xml:space="preserve">Modèle de rémunération.</w:t>
      </w:r>
      <w:r>
        <w:t xml:space="preserve"> </w:t>
      </w:r>
      <w:r>
        <w:t xml:space="preserve">Le prélèvement automatique de 10 % de toutes les recettes pendant 30 ans au profit du prestataire, proposé dans le Cahier v2.9, est</w:t>
      </w:r>
      <w:r>
        <w:t xml:space="preserve"> </w:t>
      </w:r>
      <w:r>
        <w:rPr>
          <w:b/>
          <w:bCs/>
        </w:rPr>
        <w:t xml:space="preserve">déconseillé</w:t>
      </w:r>
      <w:r>
        <w:t xml:space="preserve"> </w:t>
      </w:r>
      <w:r>
        <w:t xml:space="preserve">: assiette non additionnelle, durée, absence de plafond, conflit avec l’unité de caisse. Le document recommande un</w:t>
      </w:r>
      <w:r>
        <w:t xml:space="preserve"> </w:t>
      </w:r>
      <w:r>
        <w:rPr>
          <w:b/>
          <w:bCs/>
        </w:rPr>
        <w:t xml:space="preserve">modèle hybride</w:t>
      </w:r>
      <w:r>
        <w:t xml:space="preserve"> </w:t>
      </w:r>
      <w:r>
        <w:t xml:space="preserve">: forfaits, plus une prime plafonnée sur la seule recette additionnelle nette vérifiée, payée sur crédit budgétaire (§ 37).</w:t>
      </w:r>
    </w:p>
    <w:p>
      <w:pPr>
        <w:pStyle w:val="FirstParagraph"/>
      </w:pPr>
      <w:r>
        <w:rPr>
          <w:b/>
          <w:bCs/>
        </w:rPr>
        <w:t xml:space="preserve">Les gisements prioritaires</w:t>
      </w:r>
      <w:r>
        <w:t xml:space="preserve">, tous activables à droit constant : recensement locatif et foncier ; quitus fiscal numérique ; retenue IRL par les employeurs ; cellule des grands redevables ; rapprochement automatisé contre les fausses quittances ; contrôle des exonérations et annulations ; véhicules ; publicité ; antennes ; marchés sans espèces. Les prélèvements nouveaux (contribution plastique, captation de plus-value, péages urbains) exigent des actes et des études d’impact. Aucun chiffre de recettes n’est promis avant la mesure d’une base de référence indépendante.</w:t>
      </w:r>
    </w:p>
    <w:p>
      <w:pPr>
        <w:pStyle w:val="BodyText"/>
      </w:pPr>
      <w:r>
        <w:rPr>
          <w:b/>
          <w:bCs/>
        </w:rPr>
        <w:t xml:space="preserve">Le pilote.</w:t>
      </w:r>
      <w:r>
        <w:t xml:space="preserve"> </w:t>
      </w:r>
      <w:r>
        <w:t xml:space="preserve">180 jours dans quatre communes représentatives —</w:t>
      </w:r>
      <w:r>
        <w:t xml:space="preserve"> </w:t>
      </w:r>
      <w:r>
        <w:rPr>
          <w:b/>
          <w:bCs/>
        </w:rPr>
        <w:t xml:space="preserve">Gombe, Limete, Kalamu, Ngaliema</w:t>
      </w:r>
      <w:r>
        <w:t xml:space="preserve"> </w:t>
      </w:r>
      <w:r>
        <w:t xml:space="preserve">— avec des quartiers de comparaison. Le recensement démarre dès décembre 2026 (version R0), la campagne foncière et locative de février 2027 sert de test partiel, et la chaîne financière complète (R1) entre en service en avril 2027. La généralisation est décidée sur rapport d’un évaluateur indépendant.</w:t>
      </w:r>
    </w:p>
    <w:p>
      <w:pPr>
        <w:pStyle w:val="BodyText"/>
      </w:pPr>
      <w:r>
        <w:rPr>
          <w:b/>
          <w:bCs/>
        </w:rPr>
        <w:t xml:space="preserve">Ce qui est livré avec ce document.</w:t>
      </w:r>
      <w:r>
        <w:t xml:space="preserve"> </w:t>
      </w:r>
      <w:r>
        <w:t xml:space="preserve">Au-delà du document maître : un catalogue de 255 événements de communication couvrant tous les canaux ; un référentiel multidevise dont le franc congolais est la devise principale, chaque devise étant affichée avec le drapeau de son pays ; un prompt système de la couche d’intelligence ; et un</w:t>
      </w:r>
      <w:r>
        <w:t xml:space="preserve"> </w:t>
      </w:r>
      <w:r>
        <w:rPr>
          <w:b/>
          <w:bCs/>
        </w:rPr>
        <w:t xml:space="preserve">socle logiciel</w:t>
      </w:r>
      <w:r>
        <w:t xml:space="preserve"> </w:t>
      </w:r>
      <w:r>
        <w:t xml:space="preserve">organisé en trois parties —</w:t>
      </w:r>
      <w:r>
        <w:t xml:space="preserve"> </w:t>
      </w:r>
      <w:r>
        <w:rPr>
          <w:rStyle w:val="VerbatimChar"/>
        </w:rPr>
        <w:t xml:space="preserve">shared</w:t>
      </w:r>
      <w:r>
        <w:t xml:space="preserve"> </w:t>
      </w:r>
      <w:r>
        <w:t xml:space="preserve">(types, règles et référentiels communs),</w:t>
      </w:r>
      <w:r>
        <w:t xml:space="preserve"> </w:t>
      </w:r>
      <w:r>
        <w:rPr>
          <w:rStyle w:val="VerbatimChar"/>
        </w:rPr>
        <w:t xml:space="preserve">backend</w:t>
      </w:r>
      <w:r>
        <w:t xml:space="preserve"> </w:t>
      </w:r>
      <w:r>
        <w:t xml:space="preserve">(API) et</w:t>
      </w:r>
      <w:r>
        <w:t xml:space="preserve"> </w:t>
      </w:r>
      <w:r>
        <w:rPr>
          <w:rStyle w:val="VerbatimChar"/>
        </w:rPr>
        <w:t xml:space="preserve">frontend</w:t>
      </w:r>
      <w:r>
        <w:t xml:space="preserve"> </w:t>
      </w:r>
      <w:r>
        <w:t xml:space="preserve">(portails) — qui met en œuvre les garde-fous essentiels (Annexe E).</w:t>
      </w:r>
    </w:p>
    <w:p>
      <w:pPr>
        <w:pStyle w:val="BodyText"/>
      </w:pPr>
      <w:r>
        <w:rPr>
          <w:b/>
          <w:bCs/>
        </w:rPr>
        <w:t xml:space="preserve">Décision demandée.</w:t>
      </w:r>
      <w:r>
        <w:t xml:space="preserve"> </w:t>
      </w:r>
      <w:r>
        <w:t xml:space="preserve">Approuver KINSHASA MOSOLO comme architecture faîtière, installer le comité de pilotage sous quinze jours, ordonner le relevé juridique certifié et la mesure de la base de référence, approuver les communes pilotes, adopter la Constitution financière et retenir le modèle commercial hybride (les dix décisions du chapitre 47).</w:t>
      </w:r>
    </w:p>
    <w:p>
      <w:pPr>
        <w:pStyle w:val="BlockText"/>
      </w:pPr>
      <w:r>
        <w:rPr>
          <w:b/>
          <w:bCs/>
        </w:rPr>
        <w:t xml:space="preserve">KINSHASA MOSOLO — chaque contribuable identifié, chaque activité localisée, chaque obligation légalement calculée, chaque paiement vérifiable et chaque franc public traçable.</w:t>
      </w:r>
    </w:p>
    <w:bookmarkEnd w:id="15"/>
    <w:bookmarkStart w:id="24" w:name="argumentaire-politique-et-économique"/>
    <w:p>
      <w:pPr>
        <w:pStyle w:val="Heading1"/>
      </w:pPr>
      <w:r>
        <w:t xml:space="preserve">2. Argumentaire politique et économique</w:t>
      </w:r>
    </w:p>
    <w:bookmarkStart w:id="19" w:name="X7fa70819e689bf904c84d1c4c9e8c50a5c1a80e"/>
    <w:p>
      <w:pPr>
        <w:pStyle w:val="Heading2"/>
      </w:pPr>
      <w:r>
        <w:t xml:space="preserve">2.1 La question posée au Gouvernement provincial</w:t>
      </w:r>
    </w:p>
    <w:p>
      <w:pPr>
        <w:pStyle w:val="FirstParagraph"/>
      </w:pPr>
      <w:r>
        <w:t xml:space="preserve">La question n’est pas de savoir s’il faut « numériser la fiscalité ». Elle est de savoir comment une agglomération d’environ vingt millions d’habitants [À VÉRIFIER — estimations démographiques non issues d’un recensement] finance sa voirie, son drainage, son assainissement, son éclairage, ses marchés, ses écoles, ses centres de santé et sa sécurité, alors que ses ressources propres croissent moins vite que ses besoins. Le budget provincial 2026 est rapporté par la presse à environ 3 000 à 3 200 milliards de francs congolais, soit de l’ordre de 1,1 milliard de dollars américains, en baisse par rapport à 2025 [À VÉRIFIER : deux montants circulent, 3 023 et 3 223 milliards CDF ; seul l’édit budgétaire promulgué fait foi]. Rapporté à une population estimée entre 17 et 20 millions d’habitants, cela représente de l’ordre de 55 à 65 dollars par habitant et par an, toutes dépenses confondues.</w:t>
      </w:r>
    </w:p>
    <w:p>
      <w:pPr>
        <w:pStyle w:val="CaptionedFigure"/>
      </w:pPr>
      <w:r>
        <w:drawing>
          <wp:inline>
            <wp:extent cx="6108700" cy="3260310"/>
            <wp:effectExtent b="0" l="0" r="0" t="0"/>
            <wp:docPr descr="Budget de la Ville Province" title="" id="17" name="Picture"/>
            <a:graphic>
              <a:graphicData uri="http://schemas.openxmlformats.org/drawingml/2006/picture">
                <pic:pic>
                  <pic:nvPicPr>
                    <pic:cNvPr descr="figures/fig-budget-kinshasa.png" id="18" name="Picture"/>
                    <pic:cNvPicPr>
                      <a:picLocks noChangeArrowheads="1" noChangeAspect="1"/>
                    </pic:cNvPicPr>
                  </pic:nvPicPr>
                  <pic:blipFill>
                    <a:blip r:embed="rId16"/>
                    <a:stretch>
                      <a:fillRect/>
                    </a:stretch>
                  </pic:blipFill>
                  <pic:spPr bwMode="auto">
                    <a:xfrm>
                      <a:off x="0" y="0"/>
                      <a:ext cx="6108700" cy="3260310"/>
                    </a:xfrm>
                    <a:prstGeom prst="rect">
                      <a:avLst/>
                    </a:prstGeom>
                    <a:noFill/>
                    <a:ln w="9525">
                      <a:noFill/>
                      <a:headEnd/>
                      <a:tailEnd/>
                    </a:ln>
                  </pic:spPr>
                </pic:pic>
              </a:graphicData>
            </a:graphic>
          </wp:inline>
        </w:drawing>
      </w:r>
    </w:p>
    <w:p>
      <w:pPr>
        <w:pStyle w:val="ImageCaption"/>
      </w:pPr>
      <w:r>
        <w:t xml:space="preserve">Budget de la Ville Province</w:t>
      </w:r>
    </w:p>
    <w:p>
      <w:pPr>
        <w:pStyle w:val="BodyText"/>
      </w:pPr>
      <w:r>
        <w:t xml:space="preserve">L’écart entre ce que la Ville pourrait légalement mobiliser et ce qu’elle encaisse effectivement ne s’explique pas principalement par les taux. Il s’explique par cinq ruptures cumulatives, qui sont toutes des ruptures d’information :</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Rupture</w:t>
            </w:r>
          </w:p>
        </w:tc>
        <w:tc>
          <w:tcPr>
            <w:shd w:val="clear" w:color="auto" w:fill="232C6B"/>
          </w:tcPr>
          <w:p>
            <w:pPr>
              <w:pStyle w:val="Compact"/>
            </w:pPr>
            <w:r>
              <w:rPr>
                <w:b/>
                <w:color w:val="FFFFFF"/>
                <w:sz w:val="17"/>
              </w:rPr>
              <w:t xml:space="preserve">Manifestation à Kinshasa</w:t>
            </w:r>
          </w:p>
        </w:tc>
        <w:tc>
          <w:tcPr>
            <w:shd w:val="clear" w:color="auto" w:fill="232C6B"/>
          </w:tcPr>
          <w:p>
            <w:pPr>
              <w:pStyle w:val="Compact"/>
            </w:pPr>
            <w:r>
              <w:rPr>
                <w:b/>
                <w:color w:val="FFFFFF"/>
                <w:sz w:val="17"/>
              </w:rPr>
              <w:t xml:space="preserve">Conséquence financière</w:t>
            </w:r>
          </w:p>
        </w:tc>
      </w:tr>
      <w:tr>
        <w:tc>
          <w:tcPr/>
          <w:p>
            <w:pPr>
              <w:pStyle w:val="Compact"/>
            </w:pPr>
            <w:r>
              <w:rPr>
                <w:b/>
                <w:bCs/>
                <w:sz w:val="17"/>
              </w:rPr>
              <w:t xml:space="preserve">Recensement partiel</w:t>
            </w:r>
          </w:p>
        </w:tc>
        <w:tc>
          <w:tcPr/>
          <w:p>
            <w:pPr>
              <w:pStyle w:val="Compact"/>
            </w:pPr>
            <w:r>
              <w:rPr>
                <w:sz w:val="17"/>
              </w:rPr>
              <w:t xml:space="preserve">Une large part des parcelles, unités louées, commerces, véhicules, panneaux et occupations du domaine public n’existe dans aucune base numérique géolocalisée et à jour</w:t>
            </w:r>
          </w:p>
        </w:tc>
        <w:tc>
          <w:tcPr/>
          <w:p>
            <w:pPr>
              <w:pStyle w:val="Compact"/>
            </w:pPr>
            <w:r>
              <w:rPr>
                <w:sz w:val="17"/>
              </w:rPr>
              <w:t xml:space="preserve">Ce qui n’est pas vu n’est pas liquidé</w:t>
            </w:r>
          </w:p>
        </w:tc>
      </w:tr>
      <w:tr>
        <w:tc>
          <w:tcPr>
            <w:shd w:val="clear" w:color="auto" w:fill="F5F7FB"/>
          </w:tcPr>
          <w:p>
            <w:pPr>
              <w:pStyle w:val="Compact"/>
            </w:pPr>
            <w:r>
              <w:rPr>
                <w:b/>
                <w:bCs/>
                <w:sz w:val="17"/>
              </w:rPr>
              <w:t xml:space="preserve">Identification faible</w:t>
            </w:r>
          </w:p>
        </w:tc>
        <w:tc>
          <w:tcPr>
            <w:shd w:val="clear" w:color="auto" w:fill="F5F7FB"/>
          </w:tcPr>
          <w:p>
            <w:pPr>
              <w:pStyle w:val="Compact"/>
            </w:pPr>
            <w:r>
              <w:rPr>
                <w:sz w:val="17"/>
              </w:rPr>
              <w:t xml:space="preserve">L’administration connaît parfois un bien sans pouvoir relier de façon fiable personne → bien → lieu → obligation → paiement</w:t>
            </w:r>
          </w:p>
        </w:tc>
        <w:tc>
          <w:tcPr>
            <w:shd w:val="clear" w:color="auto" w:fill="F5F7FB"/>
          </w:tcPr>
          <w:p>
            <w:pPr>
              <w:pStyle w:val="Compact"/>
            </w:pPr>
            <w:r>
              <w:rPr>
                <w:sz w:val="17"/>
              </w:rPr>
              <w:t xml:space="preserve">Avis non délivrables, contestations, prescriptions</w:t>
            </w:r>
          </w:p>
        </w:tc>
      </w:tr>
      <w:tr>
        <w:tc>
          <w:tcPr/>
          <w:p>
            <w:pPr>
              <w:pStyle w:val="Compact"/>
            </w:pPr>
            <w:r>
              <w:rPr>
                <w:b/>
                <w:bCs/>
                <w:sz w:val="17"/>
              </w:rPr>
              <w:t xml:space="preserve">Dispersion</w:t>
            </w:r>
          </w:p>
        </w:tc>
        <w:tc>
          <w:tcPr/>
          <w:p>
            <w:pPr>
              <w:pStyle w:val="Compact"/>
            </w:pPr>
            <w:r>
              <w:rPr>
                <w:sz w:val="17"/>
              </w:rPr>
              <w:t xml:space="preserve">Bases parallèles entre régies, ministères, communes et supports papier</w:t>
            </w:r>
          </w:p>
        </w:tc>
        <w:tc>
          <w:tcPr/>
          <w:p>
            <w:pPr>
              <w:pStyle w:val="Compact"/>
            </w:pPr>
            <w:r>
              <w:rPr>
                <w:sz w:val="17"/>
              </w:rPr>
              <w:t xml:space="preserve">Double sollicitation de certains contribuables, angles morts pour d’autres</w:t>
            </w:r>
          </w:p>
        </w:tc>
      </w:tr>
      <w:tr>
        <w:tc>
          <w:tcPr>
            <w:shd w:val="clear" w:color="auto" w:fill="F5F7FB"/>
          </w:tcPr>
          <w:p>
            <w:pPr>
              <w:pStyle w:val="Compact"/>
            </w:pPr>
            <w:r>
              <w:rPr>
                <w:b/>
                <w:bCs/>
                <w:sz w:val="17"/>
              </w:rPr>
              <w:t xml:space="preserve">Friction</w:t>
            </w:r>
          </w:p>
        </w:tc>
        <w:tc>
          <w:tcPr>
            <w:shd w:val="clear" w:color="auto" w:fill="F5F7FB"/>
          </w:tcPr>
          <w:p>
            <w:pPr>
              <w:pStyle w:val="Compact"/>
            </w:pPr>
            <w:r>
              <w:rPr>
                <w:sz w:val="17"/>
              </w:rPr>
              <w:t xml:space="preserve">Le contribuable ne sait pas toujours ce qu’il doit, à qui, combien, quand et comment payer</w:t>
            </w:r>
          </w:p>
        </w:tc>
        <w:tc>
          <w:tcPr>
            <w:shd w:val="clear" w:color="auto" w:fill="F5F7FB"/>
          </w:tcPr>
          <w:p>
            <w:pPr>
              <w:pStyle w:val="Compact"/>
            </w:pPr>
            <w:r>
              <w:rPr>
                <w:sz w:val="17"/>
              </w:rPr>
              <w:t xml:space="preserve">Non-paiement par friction plutôt que par refus</w:t>
            </w:r>
          </w:p>
        </w:tc>
      </w:tr>
      <w:tr>
        <w:tc>
          <w:tcPr/>
          <w:p>
            <w:pPr>
              <w:pStyle w:val="Compact"/>
            </w:pPr>
            <w:r>
              <w:rPr>
                <w:b/>
                <w:bCs/>
                <w:sz w:val="17"/>
              </w:rPr>
              <w:t xml:space="preserve">Déperdition en bout de chaîne</w:t>
            </w:r>
          </w:p>
        </w:tc>
        <w:tc>
          <w:tcPr/>
          <w:p>
            <w:pPr>
              <w:pStyle w:val="Compact"/>
            </w:pPr>
            <w:r>
              <w:rPr>
                <w:sz w:val="17"/>
              </w:rPr>
              <w:t xml:space="preserve">Encaissements physiques, quittances non standardisées, rapprochement tardif, annulations peu tracées</w:t>
            </w:r>
          </w:p>
        </w:tc>
        <w:tc>
          <w:tcPr/>
          <w:p>
            <w:pPr>
              <w:pStyle w:val="Compact"/>
            </w:pPr>
            <w:r>
              <w:rPr>
                <w:sz w:val="17"/>
              </w:rPr>
              <w:t xml:space="preserve">Fuites difficiles à mesurer et plus difficiles encore à prouver</w:t>
            </w:r>
          </w:p>
        </w:tc>
      </w:tr>
    </w:tbl>
    <w:bookmarkEnd w:id="19"/>
    <w:bookmarkStart w:id="20" w:name="des-faits-déjà-établis"/>
    <w:p>
      <w:pPr>
        <w:pStyle w:val="Heading2"/>
      </w:pPr>
      <w:r>
        <w:t xml:space="preserve">2.2 Des faits déjà établis</w:t>
      </w:r>
    </w:p>
    <w:p>
      <w:pPr>
        <w:pStyle w:val="FirstParagraph"/>
      </w:pPr>
      <w:r>
        <w:t xml:space="preserve">Les documents de travail du programme rapportent trois constats qui orientent la conception. Ils sont repris ici avec leur statut de vérification ; ils devront être confirmés sur pièces par la cellule de base de référence (chapitre 38) avant toute communication publique.</w:t>
      </w:r>
    </w:p>
    <w:p>
      <w:pPr>
        <w:pStyle w:val="Compact"/>
        <w:numPr>
          <w:ilvl w:val="0"/>
          <w:numId w:val="1002"/>
        </w:numPr>
      </w:pPr>
      <w:r>
        <w:rPr>
          <w:b/>
          <w:bCs/>
        </w:rPr>
        <w:t xml:space="preserve">Évaluation TADAT de la régie provinciale de Kinshasa, restituée le 5 septembre 2025</w:t>
      </w:r>
      <w:r>
        <w:t xml:space="preserve"> </w:t>
      </w:r>
      <w:r>
        <w:t xml:space="preserve">[CONFIRMÉ pour le fait de l’évaluation] — selon les documents de travail : registre des contribuables incomplet et peu fiable, télépaiement non opérationnel, contrôle interne insuffisant, audit interne non fonctionnel, faible capacité de prévision ; recommandations publiques : système intégré de gestion et de suivi des recettes, renforcement des capacités, reporting public [À VÉRIFIER : scores par indicateur ; rapport à obtenir auprès du ministère provincial des Finances]. Au niveau national, la réévaluation TADAT de 2023 plaçait la RDC en note D sur 26 des 32 indicateurs [À VÉRIFIER sur le rapport FMI].</w:t>
      </w:r>
    </w:p>
    <w:p>
      <w:pPr>
        <w:pStyle w:val="Compact"/>
        <w:numPr>
          <w:ilvl w:val="0"/>
          <w:numId w:val="1002"/>
        </w:numPr>
      </w:pPr>
      <w:r>
        <w:rPr>
          <w:b/>
          <w:bCs/>
        </w:rPr>
        <w:t xml:space="preserve">Contrat de performance 2026 de la DGRK</w:t>
      </w:r>
      <w:r>
        <w:t xml:space="preserve"> </w:t>
      </w:r>
      <w:r>
        <w:t xml:space="preserve">— assignations de l’ordre de 500 millions de dollars pour l’exercice, alors que l’impôt foncier et l’impôt sur les revenus locatifs cumulés à fin janvier 2026 étaient rapportés à environ 40 milliards de francs congolais (≈ 14 millions de dollars) [À VÉRIFIER : pièces DGRK]. Il faut lire ce chiffre avec prudence : janvier précède l’échéance déclarative principale de l’impôt foncier et de l’IRL, de sorte qu’un cumul à fin janvier ne mesure pas le rendement annuel. Il mesure en revanche un fait utile : l’essentiel du rendement foncier et locatif se joue sur une fenêtre de quelques semaines, que la plateforme doit préparer des mois à l’avance.</w:t>
      </w:r>
    </w:p>
    <w:p>
      <w:pPr>
        <w:pStyle w:val="Compact"/>
        <w:numPr>
          <w:ilvl w:val="0"/>
          <w:numId w:val="1002"/>
        </w:numPr>
      </w:pPr>
      <w:r>
        <w:rPr>
          <w:b/>
          <w:bCs/>
        </w:rPr>
        <w:t xml:space="preserve">Quitus fiscal provincial</w:t>
      </w:r>
      <w:r>
        <w:t xml:space="preserve"> </w:t>
      </w:r>
      <w:r>
        <w:t xml:space="preserve">— la régie délivre un quitus fiscal attestant le paiement de l’impôt foncier, de l’IRL et, le cas échéant, de l’impôt sur les véhicules, présenté comme exigible pour certaines démarches administratives [À VÉRIFIER : acte instituant et liste exacte des démarches conditionnées]. C’est le levier de conformité le plus puissant dont dispose la Ville ; il ne vaut que s’il est numérique, instantané et infalsifiable.</w:t>
      </w:r>
    </w:p>
    <w:p>
      <w:pPr>
        <w:pStyle w:val="Compact"/>
        <w:numPr>
          <w:ilvl w:val="0"/>
          <w:numId w:val="1002"/>
        </w:numPr>
      </w:pPr>
      <w:r>
        <w:rPr>
          <w:b/>
          <w:bCs/>
        </w:rPr>
        <w:t xml:space="preserve">La numérisation a commencé.</w:t>
      </w:r>
      <w:r>
        <w:t xml:space="preserve"> </w:t>
      </w:r>
      <w:r>
        <w:t xml:space="preserve">La régie a lancé en mars 2026 la plateforme de déclaration et de paiement en ligne de l’impôt foncier, de l’IRL et de la vignette, avec avis à QR code et paiement dans des banques partenaires, en remplacement du portail précédent [CONFIRMÉ par la presse ; périmètre exact à inventorier].</w:t>
      </w:r>
      <w:r>
        <w:t xml:space="preserve"> </w:t>
      </w:r>
      <w:r>
        <w:rPr>
          <w:b/>
          <w:bCs/>
        </w:rPr>
        <w:t xml:space="preserve">KINSHASA MOSOLO ne doit pas construire un système parallèle</w:t>
      </w:r>
      <w:r>
        <w:t xml:space="preserve"> </w:t>
      </w:r>
      <w:r>
        <w:t xml:space="preserve">: il doit reprendre, intégrer ou faire migrer cet acquis (chapitre 34, phase 1).</w:t>
      </w:r>
    </w:p>
    <w:p>
      <w:pPr>
        <w:pStyle w:val="Compact"/>
        <w:numPr>
          <w:ilvl w:val="0"/>
          <w:numId w:val="1002"/>
        </w:numPr>
      </w:pPr>
      <w:r>
        <w:rPr>
          <w:b/>
          <w:bCs/>
        </w:rPr>
        <w:t xml:space="preserve">La réforme des régies est en cours.</w:t>
      </w:r>
      <w:r>
        <w:t xml:space="preserve"> </w:t>
      </w:r>
      <w:r>
        <w:t xml:space="preserve">La Direction générale des recettes de Kinshasa (DGRK) est en voie de remplacement par deux régies créées par arrêtés provinciaux : la Direction générale des impôts provinciaux de Kinshasa (DGIPK) pour les impôts, et une direction générale des droits, taxes et redevances (DGTK) ; les nouveaux dirigeants ont reçu leur feuille de route le 8 septembre 2026 [CONFIRMÉ par la presse ; numéros et dates des arrêtés À VÉRIFIER].</w:t>
      </w:r>
    </w:p>
    <w:bookmarkEnd w:id="20"/>
    <w:bookmarkStart w:id="21" w:name="pourquoi-maintenant"/>
    <w:p>
      <w:pPr>
        <w:pStyle w:val="Heading2"/>
      </w:pPr>
      <w:r>
        <w:t xml:space="preserve">2.3 Pourquoi maintenant</w:t>
      </w:r>
    </w:p>
    <w:p>
      <w:pPr>
        <w:pStyle w:val="Compact"/>
        <w:numPr>
          <w:ilvl w:val="0"/>
          <w:numId w:val="1003"/>
        </w:numPr>
      </w:pPr>
      <w:r>
        <w:rPr>
          <w:b/>
          <w:bCs/>
        </w:rPr>
        <w:t xml:space="preserve">La réforme des régies est en cours d’exécution.</w:t>
      </w:r>
      <w:r>
        <w:t xml:space="preserve"> </w:t>
      </w:r>
      <w:r>
        <w:t xml:space="preserve">La séparation entre impôts (DGIPK) et droits, taxes et redevances (successeur de la DGRK) produira deux silos au lieu d’un si elle ne s’appuie pas sur un socle d’information commun. Le moment de la réorganisation est le seul où l’on peut imposer un registre commun sans casser des habitudes.</w:t>
      </w:r>
    </w:p>
    <w:p>
      <w:pPr>
        <w:pStyle w:val="Compact"/>
        <w:numPr>
          <w:ilvl w:val="0"/>
          <w:numId w:val="1003"/>
        </w:numPr>
      </w:pPr>
      <w:r>
        <w:rPr>
          <w:b/>
          <w:bCs/>
        </w:rPr>
        <w:t xml:space="preserve">Le quitus fiscal existe.</w:t>
      </w:r>
      <w:r>
        <w:t xml:space="preserve"> </w:t>
      </w:r>
      <w:r>
        <w:t xml:space="preserve">Le rendre numérique et vérifiable transforme la conformité en condition d’accès aux services, sans créer aucun prélèvement nouveau.</w:t>
      </w:r>
    </w:p>
    <w:p>
      <w:pPr>
        <w:pStyle w:val="Compact"/>
        <w:numPr>
          <w:ilvl w:val="0"/>
          <w:numId w:val="1003"/>
        </w:numPr>
      </w:pPr>
      <w:r>
        <w:rPr>
          <w:b/>
          <w:bCs/>
        </w:rPr>
        <w:t xml:space="preserve">La monnaie mobile est devenue un canal de masse.</w:t>
      </w:r>
      <w:r>
        <w:t xml:space="preserve"> </w:t>
      </w:r>
      <w:r>
        <w:t xml:space="preserve">Le paiement vers un compte public identifié, par téléphone, supprime la manipulation d’espèces par les agents dans les circuits couverts.</w:t>
      </w:r>
    </w:p>
    <w:p>
      <w:pPr>
        <w:pStyle w:val="Compact"/>
        <w:numPr>
          <w:ilvl w:val="0"/>
          <w:numId w:val="1003"/>
        </w:numPr>
      </w:pPr>
      <w:r>
        <w:rPr>
          <w:b/>
          <w:bCs/>
        </w:rPr>
        <w:t xml:space="preserve">Les partenaires techniques et financiers suivent la trajectoire TADAT.</w:t>
      </w:r>
      <w:r>
        <w:t xml:space="preserve"> </w:t>
      </w:r>
      <w:r>
        <w:t xml:space="preserve">Un programme structuré, auditable et non prédateur est finançable ; un programme perçu comme un fermage fiscal ne l’est pas.</w:t>
      </w:r>
    </w:p>
    <w:p>
      <w:pPr>
        <w:pStyle w:val="Compact"/>
        <w:numPr>
          <w:ilvl w:val="0"/>
          <w:numId w:val="1003"/>
        </w:numPr>
      </w:pPr>
      <w:r>
        <w:rPr>
          <w:b/>
          <w:bCs/>
        </w:rPr>
        <w:t xml:space="preserve">Le calendrier fiscal commande.</w:t>
      </w:r>
      <w:r>
        <w:t xml:space="preserve"> </w:t>
      </w:r>
      <w:r>
        <w:t xml:space="preserve">Pour que la campagne foncière et locative de début 2027 serve de premier test réel, le recensement des communes pilotes doit être avancé avant la fin de l’année 2026. Chaque trimestre perdu décale d’un an la première mesure de résultats.</w:t>
      </w:r>
    </w:p>
    <w:bookmarkEnd w:id="21"/>
    <w:bookmarkStart w:id="22" w:name="le-risque-de-ne-rien-faire"/>
    <w:p>
      <w:pPr>
        <w:pStyle w:val="Heading2"/>
      </w:pPr>
      <w:r>
        <w:t xml:space="preserve">2.4 Le risque de ne rien faire</w:t>
      </w:r>
    </w:p>
    <w:p>
      <w:pPr>
        <w:pStyle w:val="FirstParagraph"/>
      </w:pPr>
      <w:r>
        <w:t xml:space="preserve">Sans registre unique, chaque campagne recommence à zéro, la pression se concentre sur les contribuables déjà connus — entreprises formelles, propriétaires identifiés, fonctionnaires — et l’inégalité devant l’impôt devient visible. Le civisme fiscal se dégrade. Une numérisation partielle produit alors l’effet inverse de celui recherché : davantage de pression sur la même assiette étroite, au lieu d’un élargissement équitable.</w:t>
      </w:r>
    </w:p>
    <w:bookmarkEnd w:id="22"/>
    <w:bookmarkStart w:id="23" w:name="léquation-de-la-recette"/>
    <w:p>
      <w:pPr>
        <w:pStyle w:val="Heading2"/>
      </w:pPr>
      <w:r>
        <w:t xml:space="preserve">2.5 L’équation de la recette</w:t>
      </w:r>
    </w:p>
    <w:p>
      <w:pPr>
        <w:pStyle w:val="FirstParagraph"/>
      </w:pPr>
      <w:r>
        <w:t xml:space="preserve">La plateforme agit séparément sur chacun des facteurs de l’équation suivante, et les mesure séparément :</w:t>
      </w:r>
    </w:p>
    <w:p>
      <w:pPr>
        <w:pStyle w:val="BlockText"/>
      </w:pPr>
      <w:r>
        <w:rPr>
          <w:b/>
          <w:bCs/>
        </w:rPr>
        <w:t xml:space="preserve">Recette nette rapprochée</w:t>
      </w:r>
      <w:r>
        <w:t xml:space="preserve"> </w:t>
      </w:r>
      <w:r>
        <w:t xml:space="preserve">= objets détectés × objets correctement rattachés × règles légalement applicables × taux de déclaration × taux de paiement × taux de règlement en compte public × taux de rapprochement − (erreurs + exonérations indues + annulations irrégulières + détournements + remboursements + coût de collecte)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Modèle actuel à réduire</w:t>
            </w:r>
          </w:p>
        </w:tc>
        <w:tc>
          <w:tcPr>
            <w:shd w:val="clear" w:color="auto" w:fill="232C6B"/>
          </w:tcPr>
          <w:p>
            <w:pPr>
              <w:pStyle w:val="Compact"/>
            </w:pPr>
            <w:r>
              <w:rPr>
                <w:b/>
                <w:color w:val="FFFFFF"/>
                <w:sz w:val="17"/>
              </w:rPr>
              <w:t xml:space="preserve">Modèle cible</w:t>
            </w:r>
          </w:p>
        </w:tc>
      </w:tr>
      <w:tr>
        <w:tc>
          <w:tcPr/>
          <w:p>
            <w:pPr>
              <w:pStyle w:val="Compact"/>
            </w:pPr>
            <w:r>
              <w:rPr>
                <w:sz w:val="17"/>
              </w:rPr>
              <w:t xml:space="preserve">Chercher le contribuable</w:t>
            </w:r>
          </w:p>
        </w:tc>
        <w:tc>
          <w:tcPr/>
          <w:p>
            <w:pPr>
              <w:pStyle w:val="Compact"/>
            </w:pPr>
            <w:r>
              <w:rPr>
                <w:sz w:val="17"/>
              </w:rPr>
              <w:t xml:space="preserve">Détecter et suivre l’objet générateur de recettes</w:t>
            </w:r>
          </w:p>
        </w:tc>
      </w:tr>
      <w:tr>
        <w:tc>
          <w:tcPr>
            <w:shd w:val="clear" w:color="auto" w:fill="F5F7FB"/>
          </w:tcPr>
          <w:p>
            <w:pPr>
              <w:pStyle w:val="Compact"/>
            </w:pPr>
            <w:r>
              <w:rPr>
                <w:sz w:val="17"/>
              </w:rPr>
              <w:t xml:space="preserve">Identifiants multiples</w:t>
            </w:r>
          </w:p>
        </w:tc>
        <w:tc>
          <w:tcPr>
            <w:shd w:val="clear" w:color="auto" w:fill="F5F7FB"/>
          </w:tcPr>
          <w:p>
            <w:pPr>
              <w:pStyle w:val="Compact"/>
            </w:pPr>
            <w:r>
              <w:rPr>
                <w:sz w:val="17"/>
              </w:rPr>
              <w:t xml:space="preserve">Identité fiscale unique, liens vérifiés</w:t>
            </w:r>
          </w:p>
        </w:tc>
      </w:tr>
      <w:tr>
        <w:tc>
          <w:tcPr/>
          <w:p>
            <w:pPr>
              <w:pStyle w:val="Compact"/>
            </w:pPr>
            <w:r>
              <w:rPr>
                <w:sz w:val="17"/>
              </w:rPr>
              <w:t xml:space="preserve">Paiement difficile à rapprocher</w:t>
            </w:r>
          </w:p>
        </w:tc>
        <w:tc>
          <w:tcPr/>
          <w:p>
            <w:pPr>
              <w:pStyle w:val="Compact"/>
            </w:pPr>
            <w:r>
              <w:rPr>
                <w:sz w:val="17"/>
              </w:rPr>
              <w:t xml:space="preserve">Référence unique, rapprochement automatisé</w:t>
            </w:r>
          </w:p>
        </w:tc>
      </w:tr>
      <w:tr>
        <w:tc>
          <w:tcPr>
            <w:shd w:val="clear" w:color="auto" w:fill="F5F7FB"/>
          </w:tcPr>
          <w:p>
            <w:pPr>
              <w:pStyle w:val="Compact"/>
            </w:pPr>
            <w:r>
              <w:rPr>
                <w:sz w:val="17"/>
              </w:rPr>
              <w:t xml:space="preserve">Contrôle uniforme</w:t>
            </w:r>
          </w:p>
        </w:tc>
        <w:tc>
          <w:tcPr>
            <w:shd w:val="clear" w:color="auto" w:fill="F5F7FB"/>
          </w:tcPr>
          <w:p>
            <w:pPr>
              <w:pStyle w:val="Compact"/>
            </w:pPr>
            <w:r>
              <w:rPr>
                <w:sz w:val="17"/>
              </w:rPr>
              <w:t xml:space="preserve">Contrôle orienté par le risque et le potentiel</w:t>
            </w:r>
          </w:p>
        </w:tc>
      </w:tr>
      <w:tr>
        <w:tc>
          <w:tcPr/>
          <w:p>
            <w:pPr>
              <w:pStyle w:val="Compact"/>
            </w:pPr>
            <w:r>
              <w:rPr>
                <w:sz w:val="17"/>
              </w:rPr>
              <w:t xml:space="preserve">Rapport périodique tardif</w:t>
            </w:r>
          </w:p>
        </w:tc>
        <w:tc>
          <w:tcPr/>
          <w:p>
            <w:pPr>
              <w:pStyle w:val="Compact"/>
            </w:pPr>
            <w:r>
              <w:rPr>
                <w:sz w:val="17"/>
              </w:rPr>
              <w:t xml:space="preserve">Pilotage quotidien, alertes explicables</w:t>
            </w:r>
          </w:p>
        </w:tc>
      </w:tr>
      <w:tr>
        <w:tc>
          <w:tcPr>
            <w:shd w:val="clear" w:color="auto" w:fill="F5F7FB"/>
          </w:tcPr>
          <w:p>
            <w:pPr>
              <w:pStyle w:val="Compact"/>
            </w:pPr>
            <w:r>
              <w:rPr>
                <w:sz w:val="17"/>
              </w:rPr>
              <w:t xml:space="preserve">Correction sans preuve</w:t>
            </w:r>
          </w:p>
        </w:tc>
        <w:tc>
          <w:tcPr>
            <w:shd w:val="clear" w:color="auto" w:fill="F5F7FB"/>
          </w:tcPr>
          <w:p>
            <w:pPr>
              <w:pStyle w:val="Compact"/>
            </w:pPr>
            <w:r>
              <w:rPr>
                <w:sz w:val="17"/>
              </w:rPr>
              <w:t xml:space="preserve">Contre-écriture motivée, pièces, double approbation</w:t>
            </w:r>
          </w:p>
        </w:tc>
      </w:tr>
    </w:tbl>
    <w:bookmarkEnd w:id="23"/>
    <w:bookmarkEnd w:id="24"/>
    <w:bookmarkStart w:id="32" w:name="vision-du-projet"/>
    <w:p>
      <w:pPr>
        <w:pStyle w:val="Heading1"/>
      </w:pPr>
      <w:r>
        <w:t xml:space="preserve">3. Vision du projet</w:t>
      </w:r>
    </w:p>
    <w:bookmarkStart w:id="25" w:name="énoncé-de-vision"/>
    <w:p>
      <w:pPr>
        <w:pStyle w:val="Heading2"/>
      </w:pPr>
      <w:r>
        <w:t xml:space="preserve">3.1 Énoncé de vision</w:t>
      </w:r>
    </w:p>
    <w:p>
      <w:pPr>
        <w:pStyle w:val="FirstParagraph"/>
      </w:pPr>
      <w:r>
        <w:rPr>
          <w:b/>
          <w:bCs/>
        </w:rPr>
        <w:t xml:space="preserve">KINSHASA MOSOLO est l’infrastructure de vérité des recettes de Kinshasa.</w:t>
      </w:r>
      <w:r>
        <w:t xml:space="preserve"> </w:t>
      </w:r>
      <w:r>
        <w:t xml:space="preserve">C’est le système par lequel la Ville Province connaît, gère, protège et accroît ses recettes, et rend compte de leur emploi. Ce n’est ni un portail fiscal de plus, ni une application de paiement : c’est un système d’exploitation, au sens où tous les services de recettes — impôts, taxes, droits, redevances, recettes domaniales — s’exécutent sur le même socle d’identité, de territoire, de droit, de paiement, de grand livre et d’audit.</w:t>
      </w:r>
    </w:p>
    <w:p>
      <w:pPr>
        <w:pStyle w:val="BodyText"/>
      </w:pPr>
      <w:r>
        <w:t xml:space="preserve">Pour chaque objet et chaque obligation, la plateforme répond en permanence à douze questions :</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w:t>
            </w:r>
          </w:p>
        </w:tc>
        <w:tc>
          <w:tcPr>
            <w:shd w:val="clear" w:color="auto" w:fill="232C6B"/>
          </w:tcPr>
          <w:p>
            <w:pPr>
              <w:pStyle w:val="Compact"/>
            </w:pPr>
            <w:r>
              <w:rPr>
                <w:b/>
                <w:color w:val="FFFFFF"/>
                <w:sz w:val="17"/>
              </w:rPr>
              <w:t xml:space="preserve">Question</w:t>
            </w:r>
          </w:p>
        </w:tc>
        <w:tc>
          <w:tcPr>
            <w:shd w:val="clear" w:color="auto" w:fill="232C6B"/>
          </w:tcPr>
          <w:p>
            <w:pPr>
              <w:pStyle w:val="Compact"/>
            </w:pPr>
            <w:r>
              <w:rPr>
                <w:b/>
                <w:color w:val="FFFFFF"/>
                <w:sz w:val="17"/>
              </w:rPr>
              <w:t xml:space="preserve">Brique qui répond</w:t>
            </w:r>
          </w:p>
        </w:tc>
      </w:tr>
      <w:tr>
        <w:tc>
          <w:tcPr/>
          <w:p>
            <w:pPr>
              <w:pStyle w:val="Compact"/>
            </w:pPr>
            <w:r>
              <w:rPr>
                <w:sz w:val="17"/>
              </w:rPr>
              <w:t xml:space="preserve">1</w:t>
            </w:r>
          </w:p>
        </w:tc>
        <w:tc>
          <w:tcPr/>
          <w:p>
            <w:pPr>
              <w:pStyle w:val="Compact"/>
            </w:pPr>
            <w:r>
              <w:rPr>
                <w:sz w:val="17"/>
              </w:rPr>
              <w:t xml:space="preserve">Qui génère la recette ?</w:t>
            </w:r>
          </w:p>
        </w:tc>
        <w:tc>
          <w:tcPr/>
          <w:p>
            <w:pPr>
              <w:pStyle w:val="Compact"/>
            </w:pPr>
            <w:r>
              <w:rPr>
                <w:sz w:val="17"/>
              </w:rPr>
              <w:t xml:space="preserve">Compte unique et graphe fiscal (ch. 9)</w:t>
            </w:r>
          </w:p>
        </w:tc>
      </w:tr>
      <w:tr>
        <w:tc>
          <w:tcPr>
            <w:shd w:val="clear" w:color="auto" w:fill="F5F7FB"/>
          </w:tcPr>
          <w:p>
            <w:pPr>
              <w:pStyle w:val="Compact"/>
            </w:pPr>
            <w:r>
              <w:rPr>
                <w:sz w:val="17"/>
              </w:rPr>
              <w:t xml:space="preserve">2</w:t>
            </w:r>
          </w:p>
        </w:tc>
        <w:tc>
          <w:tcPr>
            <w:shd w:val="clear" w:color="auto" w:fill="F5F7FB"/>
          </w:tcPr>
          <w:p>
            <w:pPr>
              <w:pStyle w:val="Compact"/>
            </w:pPr>
            <w:r>
              <w:rPr>
                <w:sz w:val="17"/>
              </w:rPr>
              <w:t xml:space="preserve">Quel bien, quelle activité ou quelle transaction crée l’obligation ?</w:t>
            </w:r>
          </w:p>
        </w:tc>
        <w:tc>
          <w:tcPr>
            <w:shd w:val="clear" w:color="auto" w:fill="F5F7FB"/>
          </w:tcPr>
          <w:p>
            <w:pPr>
              <w:pStyle w:val="Compact"/>
            </w:pPr>
            <w:r>
              <w:rPr>
                <w:sz w:val="17"/>
              </w:rPr>
              <w:t xml:space="preserve">Registre des objets fiscaux (ch. 16–17)</w:t>
            </w:r>
          </w:p>
        </w:tc>
      </w:tr>
      <w:tr>
        <w:tc>
          <w:tcPr/>
          <w:p>
            <w:pPr>
              <w:pStyle w:val="Compact"/>
            </w:pPr>
            <w:r>
              <w:rPr>
                <w:sz w:val="17"/>
              </w:rPr>
              <w:t xml:space="preserve">3</w:t>
            </w:r>
          </w:p>
        </w:tc>
        <w:tc>
          <w:tcPr/>
          <w:p>
            <w:pPr>
              <w:pStyle w:val="Compact"/>
            </w:pPr>
            <w:r>
              <w:rPr>
                <w:sz w:val="17"/>
              </w:rPr>
              <w:t xml:space="preserve">Où se trouve-t-il ?</w:t>
            </w:r>
          </w:p>
        </w:tc>
        <w:tc>
          <w:tcPr/>
          <w:p>
            <w:pPr>
              <w:pStyle w:val="Compact"/>
            </w:pPr>
            <w:r>
              <w:rPr>
                <w:sz w:val="17"/>
              </w:rPr>
              <w:t xml:space="preserve">Cadastre fiscal géospatial (ch. 17)</w:t>
            </w:r>
          </w:p>
        </w:tc>
      </w:tr>
      <w:tr>
        <w:tc>
          <w:tcPr>
            <w:shd w:val="clear" w:color="auto" w:fill="F5F7FB"/>
          </w:tcPr>
          <w:p>
            <w:pPr>
              <w:pStyle w:val="Compact"/>
            </w:pPr>
            <w:r>
              <w:rPr>
                <w:sz w:val="17"/>
              </w:rPr>
              <w:t xml:space="preserve">4</w:t>
            </w:r>
          </w:p>
        </w:tc>
        <w:tc>
          <w:tcPr>
            <w:shd w:val="clear" w:color="auto" w:fill="F5F7FB"/>
          </w:tcPr>
          <w:p>
            <w:pPr>
              <w:pStyle w:val="Compact"/>
            </w:pPr>
            <w:r>
              <w:rPr>
                <w:sz w:val="17"/>
              </w:rPr>
              <w:t xml:space="preserve">Quelle loi s’applique ?</w:t>
            </w:r>
          </w:p>
        </w:tc>
        <w:tc>
          <w:tcPr>
            <w:shd w:val="clear" w:color="auto" w:fill="F5F7FB"/>
          </w:tcPr>
          <w:p>
            <w:pPr>
              <w:pStyle w:val="Compact"/>
            </w:pPr>
            <w:r>
              <w:rPr>
                <w:sz w:val="17"/>
              </w:rPr>
              <w:t xml:space="preserve">Registre juridique versionné (ch. 6)</w:t>
            </w:r>
          </w:p>
        </w:tc>
      </w:tr>
      <w:tr>
        <w:tc>
          <w:tcPr/>
          <w:p>
            <w:pPr>
              <w:pStyle w:val="Compact"/>
            </w:pPr>
            <w:r>
              <w:rPr>
                <w:sz w:val="17"/>
              </w:rPr>
              <w:t xml:space="preserve">5</w:t>
            </w:r>
          </w:p>
        </w:tc>
        <w:tc>
          <w:tcPr/>
          <w:p>
            <w:pPr>
              <w:pStyle w:val="Compact"/>
            </w:pPr>
            <w:r>
              <w:rPr>
                <w:sz w:val="17"/>
              </w:rPr>
              <w:t xml:space="preserve">Comment le montant est-il calculé ?</w:t>
            </w:r>
          </w:p>
        </w:tc>
        <w:tc>
          <w:tcPr/>
          <w:p>
            <w:pPr>
              <w:pStyle w:val="Compact"/>
            </w:pPr>
            <w:r>
              <w:rPr>
                <w:sz w:val="17"/>
              </w:rPr>
              <w:t xml:space="preserve">Moteur de liquidation explicable (ch. 11)</w:t>
            </w:r>
          </w:p>
        </w:tc>
      </w:tr>
      <w:tr>
        <w:tc>
          <w:tcPr>
            <w:shd w:val="clear" w:color="auto" w:fill="F5F7FB"/>
          </w:tcPr>
          <w:p>
            <w:pPr>
              <w:pStyle w:val="Compact"/>
            </w:pPr>
            <w:r>
              <w:rPr>
                <w:sz w:val="17"/>
              </w:rPr>
              <w:t xml:space="preserve">6</w:t>
            </w:r>
          </w:p>
        </w:tc>
        <w:tc>
          <w:tcPr>
            <w:shd w:val="clear" w:color="auto" w:fill="F5F7FB"/>
          </w:tcPr>
          <w:p>
            <w:pPr>
              <w:pStyle w:val="Compact"/>
            </w:pPr>
            <w:r>
              <w:rPr>
                <w:sz w:val="17"/>
              </w:rPr>
              <w:t xml:space="preserve">A-t-il été payé ?</w:t>
            </w:r>
          </w:p>
        </w:tc>
        <w:tc>
          <w:tcPr>
            <w:shd w:val="clear" w:color="auto" w:fill="F5F7FB"/>
          </w:tcPr>
          <w:p>
            <w:pPr>
              <w:pStyle w:val="Compact"/>
            </w:pPr>
            <w:r>
              <w:rPr>
                <w:sz w:val="17"/>
              </w:rPr>
              <w:t xml:space="preserve">Orchestration des paiements (ch. 18)</w:t>
            </w:r>
          </w:p>
        </w:tc>
      </w:tr>
      <w:tr>
        <w:tc>
          <w:tcPr/>
          <w:p>
            <w:pPr>
              <w:pStyle w:val="Compact"/>
            </w:pPr>
            <w:r>
              <w:rPr>
                <w:sz w:val="17"/>
              </w:rPr>
              <w:t xml:space="preserve">7</w:t>
            </w:r>
          </w:p>
        </w:tc>
        <w:tc>
          <w:tcPr/>
          <w:p>
            <w:pPr>
              <w:pStyle w:val="Compact"/>
            </w:pPr>
            <w:r>
              <w:rPr>
                <w:sz w:val="17"/>
              </w:rPr>
              <w:t xml:space="preserve">Les fonds ont-ils atteint le compte public autorisé ?</w:t>
            </w:r>
          </w:p>
        </w:tc>
        <w:tc>
          <w:tcPr/>
          <w:p>
            <w:pPr>
              <w:pStyle w:val="Compact"/>
            </w:pPr>
            <w:r>
              <w:rPr>
                <w:sz w:val="17"/>
              </w:rPr>
              <w:t xml:space="preserve">Règlement en compte public (ch. 18)</w:t>
            </w:r>
          </w:p>
        </w:tc>
      </w:tr>
      <w:tr>
        <w:tc>
          <w:tcPr>
            <w:shd w:val="clear" w:color="auto" w:fill="F5F7FB"/>
          </w:tcPr>
          <w:p>
            <w:pPr>
              <w:pStyle w:val="Compact"/>
            </w:pPr>
            <w:r>
              <w:rPr>
                <w:sz w:val="17"/>
              </w:rPr>
              <w:t xml:space="preserve">8</w:t>
            </w:r>
          </w:p>
        </w:tc>
        <w:tc>
          <w:tcPr>
            <w:shd w:val="clear" w:color="auto" w:fill="F5F7FB"/>
          </w:tcPr>
          <w:p>
            <w:pPr>
              <w:pStyle w:val="Compact"/>
            </w:pPr>
            <w:r>
              <w:rPr>
                <w:sz w:val="17"/>
              </w:rPr>
              <w:t xml:space="preserve">Comment la transaction a-t-elle été rapprochée ?</w:t>
            </w:r>
          </w:p>
        </w:tc>
        <w:tc>
          <w:tcPr>
            <w:shd w:val="clear" w:color="auto" w:fill="F5F7FB"/>
          </w:tcPr>
          <w:p>
            <w:pPr>
              <w:pStyle w:val="Compact"/>
            </w:pPr>
            <w:r>
              <w:rPr>
                <w:sz w:val="17"/>
              </w:rPr>
              <w:t xml:space="preserve">Moteur de rapprochement et grand livre (ch. 20)</w:t>
            </w:r>
          </w:p>
        </w:tc>
      </w:tr>
      <w:tr>
        <w:tc>
          <w:tcPr/>
          <w:p>
            <w:pPr>
              <w:pStyle w:val="Compact"/>
            </w:pPr>
            <w:r>
              <w:rPr>
                <w:sz w:val="17"/>
              </w:rPr>
              <w:t xml:space="preserve">9</w:t>
            </w:r>
          </w:p>
        </w:tc>
        <w:tc>
          <w:tcPr/>
          <w:p>
            <w:pPr>
              <w:pStyle w:val="Compact"/>
            </w:pPr>
            <w:r>
              <w:rPr>
                <w:sz w:val="17"/>
              </w:rPr>
              <w:t xml:space="preserve">Qui a fait quoi, quand, avec quelle approbation ?</w:t>
            </w:r>
          </w:p>
        </w:tc>
        <w:tc>
          <w:tcPr/>
          <w:p>
            <w:pPr>
              <w:pStyle w:val="Compact"/>
            </w:pPr>
            <w:r>
              <w:rPr>
                <w:sz w:val="17"/>
              </w:rPr>
              <w:t xml:space="preserve">Journal d’audit inaltérable (ch. 25)</w:t>
            </w:r>
          </w:p>
        </w:tc>
      </w:tr>
      <w:tr>
        <w:tc>
          <w:tcPr>
            <w:shd w:val="clear" w:color="auto" w:fill="F5F7FB"/>
          </w:tcPr>
          <w:p>
            <w:pPr>
              <w:pStyle w:val="Compact"/>
            </w:pPr>
            <w:r>
              <w:rPr>
                <w:sz w:val="17"/>
              </w:rPr>
              <w:t xml:space="preserve">10</w:t>
            </w:r>
          </w:p>
        </w:tc>
        <w:tc>
          <w:tcPr>
            <w:shd w:val="clear" w:color="auto" w:fill="F5F7FB"/>
          </w:tcPr>
          <w:p>
            <w:pPr>
              <w:pStyle w:val="Compact"/>
            </w:pPr>
            <w:r>
              <w:rPr>
                <w:sz w:val="17"/>
              </w:rPr>
              <w:t xml:space="preserve">Où la recette se perd-elle ?</w:t>
            </w:r>
          </w:p>
        </w:tc>
        <w:tc>
          <w:tcPr>
            <w:shd w:val="clear" w:color="auto" w:fill="F5F7FB"/>
          </w:tcPr>
          <w:p>
            <w:pPr>
              <w:pStyle w:val="Compact"/>
            </w:pPr>
            <w:r>
              <w:rPr>
                <w:sz w:val="17"/>
              </w:rPr>
              <w:t xml:space="preserve">Renseignement anti-fraude et déperdition (ch. 25)</w:t>
            </w:r>
          </w:p>
        </w:tc>
      </w:tr>
      <w:tr>
        <w:tc>
          <w:tcPr/>
          <w:p>
            <w:pPr>
              <w:pStyle w:val="Compact"/>
            </w:pPr>
            <w:r>
              <w:rPr>
                <w:sz w:val="17"/>
              </w:rPr>
              <w:t xml:space="preserve">11</w:t>
            </w:r>
          </w:p>
        </w:tc>
        <w:tc>
          <w:tcPr/>
          <w:p>
            <w:pPr>
              <w:pStyle w:val="Compact"/>
            </w:pPr>
            <w:r>
              <w:rPr>
                <w:sz w:val="17"/>
              </w:rPr>
              <w:t xml:space="preserve">Quelle intervention licite peut accroître la collecte ?</w:t>
            </w:r>
          </w:p>
        </w:tc>
        <w:tc>
          <w:tcPr/>
          <w:p>
            <w:pPr>
              <w:pStyle w:val="Compact"/>
            </w:pPr>
            <w:r>
              <w:rPr>
                <w:sz w:val="17"/>
              </w:rPr>
              <w:t xml:space="preserve">Moteur de découverte des recettes (ch. 8, 23)</w:t>
            </w:r>
          </w:p>
        </w:tc>
      </w:tr>
      <w:tr>
        <w:tc>
          <w:tcPr>
            <w:shd w:val="clear" w:color="auto" w:fill="F5F7FB"/>
          </w:tcPr>
          <w:p>
            <w:pPr>
              <w:pStyle w:val="Compact"/>
            </w:pPr>
            <w:r>
              <w:rPr>
                <w:sz w:val="17"/>
              </w:rPr>
              <w:t xml:space="preserve">12</w:t>
            </w:r>
          </w:p>
        </w:tc>
        <w:tc>
          <w:tcPr>
            <w:shd w:val="clear" w:color="auto" w:fill="F5F7FB"/>
          </w:tcPr>
          <w:p>
            <w:pPr>
              <w:pStyle w:val="Compact"/>
            </w:pPr>
            <w:r>
              <w:rPr>
                <w:sz w:val="17"/>
              </w:rPr>
              <w:t xml:space="preserve">Quelles priorités publiques les fonds disponibles peuvent-ils soutenir ?</w:t>
            </w:r>
          </w:p>
        </w:tc>
        <w:tc>
          <w:tcPr>
            <w:shd w:val="clear" w:color="auto" w:fill="F5F7FB"/>
          </w:tcPr>
          <w:p>
            <w:pPr>
              <w:pStyle w:val="Compact"/>
            </w:pPr>
            <w:r>
              <w:rPr>
                <w:sz w:val="17"/>
              </w:rPr>
              <w:t xml:space="preserve">Recommandation d’affectation (ch. 27)</w:t>
            </w:r>
          </w:p>
        </w:tc>
      </w:tr>
    </w:tbl>
    <w:bookmarkEnd w:id="25"/>
    <w:bookmarkStart w:id="29" w:name="la-chaîne-opératoire"/>
    <w:p>
      <w:pPr>
        <w:pStyle w:val="Heading2"/>
      </w:pPr>
      <w:r>
        <w:t xml:space="preserve">3.2 La chaîne opératoire</w:t>
      </w:r>
    </w:p>
    <w:p>
      <w:pPr>
        <w:pStyle w:val="FirstParagraph"/>
      </w:pPr>
      <w:r>
        <w:drawing>
          <wp:inline>
            <wp:extent cx="6108700" cy="311668"/>
            <wp:effectExtent b="0" l="0" r="0" t="0"/>
            <wp:docPr descr="" title="" id="27" name="Picture"/>
            <a:graphic>
              <a:graphicData uri="http://schemas.openxmlformats.org/drawingml/2006/picture">
                <pic:pic>
                  <pic:nvPicPr>
                    <pic:cNvPr descr="figures/mermaid/mmd-18d36b4a2308.png" id="28" name="Picture"/>
                    <pic:cNvPicPr>
                      <a:picLocks noChangeArrowheads="1" noChangeAspect="1"/>
                    </pic:cNvPicPr>
                  </pic:nvPicPr>
                  <pic:blipFill>
                    <a:blip r:embed="rId26"/>
                    <a:stretch>
                      <a:fillRect/>
                    </a:stretch>
                  </pic:blipFill>
                  <pic:spPr bwMode="auto">
                    <a:xfrm>
                      <a:off x="0" y="0"/>
                      <a:ext cx="6108700" cy="311668"/>
                    </a:xfrm>
                    <a:prstGeom prst="rect">
                      <a:avLst/>
                    </a:prstGeom>
                    <a:noFill/>
                    <a:ln w="9525">
                      <a:noFill/>
                      <a:headEnd/>
                      <a:tailEnd/>
                    </a:ln>
                  </pic:spPr>
                </pic:pic>
              </a:graphicData>
            </a:graphic>
          </wp:inline>
        </w:drawing>
      </w:r>
    </w:p>
    <w:p>
      <w:pPr>
        <w:pStyle w:val="BodyText"/>
      </w:pPr>
      <w:r>
        <w:t xml:space="preserve">Chaque maillon produit un événement horodaté, signé et inaltérable.</w:t>
      </w:r>
      <w:r>
        <w:t xml:space="preserve"> </w:t>
      </w:r>
      <w:r>
        <w:rPr>
          <w:b/>
          <w:bCs/>
        </w:rPr>
        <w:t xml:space="preserve">Aucun maillon ne peut être sauté</w:t>
      </w:r>
      <w:r>
        <w:t xml:space="preserve"> </w:t>
      </w:r>
      <w:r>
        <w:t xml:space="preserve">: pas de quittance définitive sans paiement réglé et rapproché ; pas de paiement sans obligation ; pas d’obligation sans règle active ; pas de règle active sans texte en vigueur vérifié.</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Maillon</w:t>
            </w:r>
          </w:p>
        </w:tc>
        <w:tc>
          <w:tcPr>
            <w:shd w:val="clear" w:color="auto" w:fill="232C6B"/>
          </w:tcPr>
          <w:p>
            <w:pPr>
              <w:pStyle w:val="Compact"/>
            </w:pPr>
            <w:r>
              <w:rPr>
                <w:b/>
                <w:color w:val="FFFFFF"/>
                <w:sz w:val="17"/>
              </w:rPr>
              <w:t xml:space="preserve">Ce qui se passe</w:t>
            </w:r>
          </w:p>
        </w:tc>
        <w:tc>
          <w:tcPr>
            <w:shd w:val="clear" w:color="auto" w:fill="232C6B"/>
          </w:tcPr>
          <w:p>
            <w:pPr>
              <w:pStyle w:val="Compact"/>
            </w:pPr>
            <w:r>
              <w:rPr>
                <w:b/>
                <w:color w:val="FFFFFF"/>
                <w:sz w:val="17"/>
              </w:rPr>
              <w:t xml:space="preserve">Garde-fou</w:t>
            </w:r>
          </w:p>
        </w:tc>
      </w:tr>
      <w:tr>
        <w:tc>
          <w:tcPr/>
          <w:p>
            <w:pPr>
              <w:pStyle w:val="Compact"/>
            </w:pPr>
            <w:r>
              <w:rPr>
                <w:sz w:val="17"/>
              </w:rPr>
              <w:t xml:space="preserve">Recenser</w:t>
            </w:r>
          </w:p>
        </w:tc>
        <w:tc>
          <w:tcPr/>
          <w:p>
            <w:pPr>
              <w:pStyle w:val="Compact"/>
            </w:pPr>
            <w:r>
              <w:rPr>
                <w:sz w:val="17"/>
              </w:rPr>
              <w:t xml:space="preserve">Objet détecté par auto-déclaration, terrain, données partenaires</w:t>
            </w:r>
          </w:p>
        </w:tc>
        <w:tc>
          <w:tcPr/>
          <w:p>
            <w:pPr>
              <w:pStyle w:val="Compact"/>
            </w:pPr>
            <w:r>
              <w:rPr>
                <w:sz w:val="17"/>
              </w:rPr>
              <w:t xml:space="preserve">Objet provisoire tant qu’il n’est pas vérifié</w:t>
            </w:r>
          </w:p>
        </w:tc>
      </w:tr>
      <w:tr>
        <w:tc>
          <w:tcPr>
            <w:shd w:val="clear" w:color="auto" w:fill="F5F7FB"/>
          </w:tcPr>
          <w:p>
            <w:pPr>
              <w:pStyle w:val="Compact"/>
            </w:pPr>
            <w:r>
              <w:rPr>
                <w:sz w:val="17"/>
              </w:rPr>
              <w:t xml:space="preserve">Identifier</w:t>
            </w:r>
          </w:p>
        </w:tc>
        <w:tc>
          <w:tcPr>
            <w:shd w:val="clear" w:color="auto" w:fill="F5F7FB"/>
          </w:tcPr>
          <w:p>
            <w:pPr>
              <w:pStyle w:val="Compact"/>
            </w:pPr>
            <w:r>
              <w:rPr>
                <w:sz w:val="17"/>
              </w:rPr>
              <w:t xml:space="preserve">Rattachement à un compte unique et à un rôle</w:t>
            </w:r>
          </w:p>
        </w:tc>
        <w:tc>
          <w:tcPr>
            <w:shd w:val="clear" w:color="auto" w:fill="F5F7FB"/>
          </w:tcPr>
          <w:p>
            <w:pPr>
              <w:pStyle w:val="Compact"/>
            </w:pPr>
            <w:r>
              <w:rPr>
                <w:sz w:val="17"/>
              </w:rPr>
              <w:t xml:space="preserve">Pas de fusion automatique d’identités</w:t>
            </w:r>
          </w:p>
        </w:tc>
      </w:tr>
      <w:tr>
        <w:tc>
          <w:tcPr/>
          <w:p>
            <w:pPr>
              <w:pStyle w:val="Compact"/>
            </w:pPr>
            <w:r>
              <w:rPr>
                <w:sz w:val="17"/>
              </w:rPr>
              <w:t xml:space="preserve">Géolocaliser</w:t>
            </w:r>
          </w:p>
        </w:tc>
        <w:tc>
          <w:tcPr/>
          <w:p>
            <w:pPr>
              <w:pStyle w:val="Compact"/>
            </w:pPr>
            <w:r>
              <w:rPr>
                <w:sz w:val="17"/>
              </w:rPr>
              <w:t xml:space="preserve">Identifiant géofiscal, coordonnées, précision</w:t>
            </w:r>
          </w:p>
        </w:tc>
        <w:tc>
          <w:tcPr/>
          <w:p>
            <w:pPr>
              <w:pStyle w:val="Compact"/>
            </w:pPr>
            <w:r>
              <w:rPr>
                <w:sz w:val="17"/>
              </w:rPr>
              <w:t xml:space="preserve">Contrôle de plausibilité GPS</w:t>
            </w:r>
          </w:p>
        </w:tc>
      </w:tr>
      <w:tr>
        <w:tc>
          <w:tcPr>
            <w:shd w:val="clear" w:color="auto" w:fill="F5F7FB"/>
          </w:tcPr>
          <w:p>
            <w:pPr>
              <w:pStyle w:val="Compact"/>
            </w:pPr>
            <w:r>
              <w:rPr>
                <w:sz w:val="17"/>
              </w:rPr>
              <w:t xml:space="preserve">Qualifier</w:t>
            </w:r>
          </w:p>
        </w:tc>
        <w:tc>
          <w:tcPr>
            <w:shd w:val="clear" w:color="auto" w:fill="F5F7FB"/>
          </w:tcPr>
          <w:p>
            <w:pPr>
              <w:pStyle w:val="Compact"/>
            </w:pPr>
            <w:r>
              <w:rPr>
                <w:sz w:val="17"/>
              </w:rPr>
              <w:t xml:space="preserve">Détermination des règles applicables</w:t>
            </w:r>
          </w:p>
        </w:tc>
        <w:tc>
          <w:tcPr>
            <w:shd w:val="clear" w:color="auto" w:fill="F5F7FB"/>
          </w:tcPr>
          <w:p>
            <w:pPr>
              <w:pStyle w:val="Compact"/>
            </w:pPr>
            <w:r>
              <w:rPr>
                <w:sz w:val="17"/>
              </w:rPr>
              <w:t xml:space="preserve">Seules les règles actives du registre</w:t>
            </w:r>
          </w:p>
        </w:tc>
      </w:tr>
      <w:tr>
        <w:tc>
          <w:tcPr/>
          <w:p>
            <w:pPr>
              <w:pStyle w:val="Compact"/>
            </w:pPr>
            <w:r>
              <w:rPr>
                <w:sz w:val="17"/>
              </w:rPr>
              <w:t xml:space="preserve">Calculer</w:t>
            </w:r>
          </w:p>
        </w:tc>
        <w:tc>
          <w:tcPr/>
          <w:p>
            <w:pPr>
              <w:pStyle w:val="Compact"/>
            </w:pPr>
            <w:r>
              <w:rPr>
                <w:sz w:val="17"/>
              </w:rPr>
              <w:t xml:space="preserve">Liquidation déterministe et explicable</w:t>
            </w:r>
          </w:p>
        </w:tc>
        <w:tc>
          <w:tcPr/>
          <w:p>
            <w:pPr>
              <w:pStyle w:val="Compact"/>
            </w:pPr>
            <w:r>
              <w:rPr>
                <w:sz w:val="17"/>
              </w:rPr>
              <w:t xml:space="preserve">Version de règle figée dans l’obligation</w:t>
            </w:r>
          </w:p>
        </w:tc>
      </w:tr>
      <w:tr>
        <w:tc>
          <w:tcPr>
            <w:shd w:val="clear" w:color="auto" w:fill="F5F7FB"/>
          </w:tcPr>
          <w:p>
            <w:pPr>
              <w:pStyle w:val="Compact"/>
            </w:pPr>
            <w:r>
              <w:rPr>
                <w:sz w:val="17"/>
              </w:rPr>
              <w:t xml:space="preserve">Notifier</w:t>
            </w:r>
          </w:p>
        </w:tc>
        <w:tc>
          <w:tcPr>
            <w:shd w:val="clear" w:color="auto" w:fill="F5F7FB"/>
          </w:tcPr>
          <w:p>
            <w:pPr>
              <w:pStyle w:val="Compact"/>
            </w:pPr>
            <w:r>
              <w:rPr>
                <w:sz w:val="17"/>
              </w:rPr>
              <w:t xml:space="preserve">Avis numérique et imprimable, preuve de délivrance</w:t>
            </w:r>
          </w:p>
        </w:tc>
        <w:tc>
          <w:tcPr>
            <w:shd w:val="clear" w:color="auto" w:fill="F5F7FB"/>
          </w:tcPr>
          <w:p>
            <w:pPr>
              <w:pStyle w:val="Compact"/>
            </w:pPr>
            <w:r>
              <w:rPr>
                <w:sz w:val="17"/>
              </w:rPr>
              <w:t xml:space="preserve">Mentions obligatoires et voie de recours</w:t>
            </w:r>
          </w:p>
        </w:tc>
      </w:tr>
      <w:tr>
        <w:tc>
          <w:tcPr/>
          <w:p>
            <w:pPr>
              <w:pStyle w:val="Compact"/>
            </w:pPr>
            <w:r>
              <w:rPr>
                <w:sz w:val="17"/>
              </w:rPr>
              <w:t xml:space="preserve">Payer</w:t>
            </w:r>
          </w:p>
        </w:tc>
        <w:tc>
          <w:tcPr/>
          <w:p>
            <w:pPr>
              <w:pStyle w:val="Compact"/>
            </w:pPr>
            <w:r>
              <w:rPr>
                <w:sz w:val="17"/>
              </w:rPr>
              <w:t xml:space="preserve">Référence unique, canal autorisé</w:t>
            </w:r>
          </w:p>
        </w:tc>
        <w:tc>
          <w:tcPr/>
          <w:p>
            <w:pPr>
              <w:pStyle w:val="Compact"/>
            </w:pPr>
            <w:r>
              <w:rPr>
                <w:sz w:val="17"/>
              </w:rPr>
              <w:t xml:space="preserve">Compte bénéficiaire issu du coffre verrouillé</w:t>
            </w:r>
          </w:p>
        </w:tc>
      </w:tr>
      <w:tr>
        <w:tc>
          <w:tcPr>
            <w:shd w:val="clear" w:color="auto" w:fill="F5F7FB"/>
          </w:tcPr>
          <w:p>
            <w:pPr>
              <w:pStyle w:val="Compact"/>
            </w:pPr>
            <w:r>
              <w:rPr>
                <w:sz w:val="17"/>
              </w:rPr>
              <w:t xml:space="preserve">Rapprocher</w:t>
            </w:r>
          </w:p>
        </w:tc>
        <w:tc>
          <w:tcPr>
            <w:shd w:val="clear" w:color="auto" w:fill="F5F7FB"/>
          </w:tcPr>
          <w:p>
            <w:pPr>
              <w:pStyle w:val="Compact"/>
            </w:pPr>
            <w:r>
              <w:rPr>
                <w:sz w:val="17"/>
              </w:rPr>
              <w:t xml:space="preserve">Obligation ↔ paiement ↔ règlement ↔ écriture</w:t>
            </w:r>
          </w:p>
        </w:tc>
        <w:tc>
          <w:tcPr>
            <w:shd w:val="clear" w:color="auto" w:fill="F5F7FB"/>
          </w:tcPr>
          <w:p>
            <w:pPr>
              <w:pStyle w:val="Compact"/>
            </w:pPr>
            <w:r>
              <w:rPr>
                <w:sz w:val="17"/>
              </w:rPr>
              <w:t xml:space="preserve">Exceptions en file, jamais d’ajustement silencieux</w:t>
            </w:r>
          </w:p>
        </w:tc>
      </w:tr>
      <w:tr>
        <w:tc>
          <w:tcPr/>
          <w:p>
            <w:pPr>
              <w:pStyle w:val="Compact"/>
            </w:pPr>
            <w:r>
              <w:rPr>
                <w:sz w:val="17"/>
              </w:rPr>
              <w:t xml:space="preserve">Quittancer</w:t>
            </w:r>
          </w:p>
        </w:tc>
        <w:tc>
          <w:tcPr/>
          <w:p>
            <w:pPr>
              <w:pStyle w:val="Compact"/>
            </w:pPr>
            <w:r>
              <w:rPr>
                <w:sz w:val="17"/>
              </w:rPr>
              <w:t xml:space="preserve">Quittance signée, QR vérifiable</w:t>
            </w:r>
          </w:p>
        </w:tc>
        <w:tc>
          <w:tcPr/>
          <w:p>
            <w:pPr>
              <w:pStyle w:val="Compact"/>
            </w:pPr>
            <w:r>
              <w:rPr>
                <w:sz w:val="17"/>
              </w:rPr>
              <w:t xml:space="preserve">Statut « provisoire » tant que non réglé</w:t>
            </w:r>
          </w:p>
        </w:tc>
      </w:tr>
      <w:tr>
        <w:tc>
          <w:tcPr>
            <w:shd w:val="clear" w:color="auto" w:fill="F5F7FB"/>
          </w:tcPr>
          <w:p>
            <w:pPr>
              <w:pStyle w:val="Compact"/>
            </w:pPr>
            <w:r>
              <w:rPr>
                <w:sz w:val="17"/>
              </w:rPr>
              <w:t xml:space="preserve">Contrôler</w:t>
            </w:r>
          </w:p>
        </w:tc>
        <w:tc>
          <w:tcPr>
            <w:shd w:val="clear" w:color="auto" w:fill="F5F7FB"/>
          </w:tcPr>
          <w:p>
            <w:pPr>
              <w:pStyle w:val="Compact"/>
            </w:pPr>
            <w:r>
              <w:rPr>
                <w:sz w:val="17"/>
              </w:rPr>
              <w:t xml:space="preserve">Missions terrain ciblées, constats</w:t>
            </w:r>
          </w:p>
        </w:tc>
        <w:tc>
          <w:tcPr>
            <w:shd w:val="clear" w:color="auto" w:fill="F5F7FB"/>
          </w:tcPr>
          <w:p>
            <w:pPr>
              <w:pStyle w:val="Compact"/>
            </w:pPr>
            <w:r>
              <w:rPr>
                <w:sz w:val="17"/>
              </w:rPr>
              <w:t xml:space="preserve">L’agent constate, il n’encaisse pas</w:t>
            </w:r>
          </w:p>
        </w:tc>
      </w:tr>
      <w:tr>
        <w:tc>
          <w:tcPr/>
          <w:p>
            <w:pPr>
              <w:pStyle w:val="Compact"/>
            </w:pPr>
            <w:r>
              <w:rPr>
                <w:sz w:val="17"/>
              </w:rPr>
              <w:t xml:space="preserve">Recouvrer</w:t>
            </w:r>
          </w:p>
        </w:tc>
        <w:tc>
          <w:tcPr/>
          <w:p>
            <w:pPr>
              <w:pStyle w:val="Compact"/>
            </w:pPr>
            <w:r>
              <w:rPr>
                <w:sz w:val="17"/>
              </w:rPr>
              <w:t xml:space="preserve">Relances graduées, mesures légales</w:t>
            </w:r>
          </w:p>
        </w:tc>
        <w:tc>
          <w:tcPr/>
          <w:p>
            <w:pPr>
              <w:pStyle w:val="Compact"/>
            </w:pPr>
            <w:r>
              <w:rPr>
                <w:sz w:val="17"/>
              </w:rPr>
              <w:t xml:space="preserve">Décision humaine habilitée, recours garanti</w:t>
            </w:r>
          </w:p>
        </w:tc>
      </w:tr>
      <w:tr>
        <w:tc>
          <w:tcPr>
            <w:shd w:val="clear" w:color="auto" w:fill="F5F7FB"/>
          </w:tcPr>
          <w:p>
            <w:pPr>
              <w:pStyle w:val="Compact"/>
            </w:pPr>
            <w:r>
              <w:rPr>
                <w:sz w:val="17"/>
              </w:rPr>
              <w:t xml:space="preserve">Auditer</w:t>
            </w:r>
          </w:p>
        </w:tc>
        <w:tc>
          <w:tcPr>
            <w:shd w:val="clear" w:color="auto" w:fill="F5F7FB"/>
          </w:tcPr>
          <w:p>
            <w:pPr>
              <w:pStyle w:val="Compact"/>
            </w:pPr>
            <w:r>
              <w:rPr>
                <w:sz w:val="17"/>
              </w:rPr>
              <w:t xml:space="preserve">Reconstitution intégrale de toute opération</w:t>
            </w:r>
          </w:p>
        </w:tc>
        <w:tc>
          <w:tcPr>
            <w:shd w:val="clear" w:color="auto" w:fill="F5F7FB"/>
          </w:tcPr>
          <w:p>
            <w:pPr>
              <w:pStyle w:val="Compact"/>
            </w:pPr>
            <w:r>
              <w:rPr>
                <w:sz w:val="17"/>
              </w:rPr>
              <w:t xml:space="preserve">Journal chaîné, stockage WORM indépendant</w:t>
            </w:r>
          </w:p>
        </w:tc>
      </w:tr>
      <w:tr>
        <w:tc>
          <w:tcPr/>
          <w:p>
            <w:pPr>
              <w:pStyle w:val="Compact"/>
            </w:pPr>
            <w:r>
              <w:rPr>
                <w:sz w:val="17"/>
              </w:rPr>
              <w:t xml:space="preserve">Planifier</w:t>
            </w:r>
          </w:p>
        </w:tc>
        <w:tc>
          <w:tcPr/>
          <w:p>
            <w:pPr>
              <w:pStyle w:val="Compact"/>
            </w:pPr>
            <w:r>
              <w:rPr>
                <w:sz w:val="17"/>
              </w:rPr>
              <w:t xml:space="preserve">Capacité de financement et scénarios</w:t>
            </w:r>
          </w:p>
        </w:tc>
        <w:tc>
          <w:tcPr/>
          <w:p>
            <w:pPr>
              <w:pStyle w:val="Compact"/>
            </w:pPr>
            <w:r>
              <w:rPr>
                <w:sz w:val="17"/>
              </w:rPr>
              <w:t xml:space="preserve">L’IA recommande, l’autorité décide</w:t>
            </w:r>
          </w:p>
        </w:tc>
      </w:tr>
    </w:tbl>
    <w:bookmarkEnd w:id="29"/>
    <w:bookmarkStart w:id="30" w:name="positionnement"/>
    <w:p>
      <w:pPr>
        <w:pStyle w:val="Heading2"/>
      </w:pPr>
      <w:r>
        <w:t xml:space="preserve">3.3 Positionnement</w:t>
      </w:r>
    </w:p>
    <w:p>
      <w:pPr>
        <w:pStyle w:val="Compact"/>
        <w:numPr>
          <w:ilvl w:val="0"/>
          <w:numId w:val="1004"/>
        </w:numPr>
      </w:pPr>
      <w:r>
        <w:rPr>
          <w:b/>
          <w:bCs/>
        </w:rPr>
        <w:t xml:space="preserve">Une identité • un territoire • une règle légale • une recette traçable.</w:t>
      </w:r>
    </w:p>
    <w:p>
      <w:pPr>
        <w:pStyle w:val="Compact"/>
        <w:numPr>
          <w:ilvl w:val="0"/>
          <w:numId w:val="1004"/>
        </w:numPr>
      </w:pPr>
      <w:r>
        <w:rPr>
          <w:b/>
          <w:bCs/>
        </w:rPr>
        <w:t xml:space="preserve">Principe fondateur :</w:t>
      </w:r>
      <w:r>
        <w:t xml:space="preserve"> </w:t>
      </w:r>
      <w:r>
        <w:t xml:space="preserve">chaque franc public doit être identifiable, rapprochable et auditable.</w:t>
      </w:r>
    </w:p>
    <w:p>
      <w:pPr>
        <w:pStyle w:val="Compact"/>
        <w:numPr>
          <w:ilvl w:val="0"/>
          <w:numId w:val="1004"/>
        </w:numPr>
      </w:pPr>
      <w:r>
        <w:rPr>
          <w:b/>
          <w:bCs/>
        </w:rPr>
        <w:t xml:space="preserve">Priorité d’action :</w:t>
      </w:r>
      <w:r>
        <w:t xml:space="preserve"> </w:t>
      </w:r>
      <w:r>
        <w:t xml:space="preserve">mobiliser d’abord les recettes légalement dues mais non identifiées ou non recouvrées, avant de proposer tout prélèvement nouveau.</w:t>
      </w:r>
    </w:p>
    <w:bookmarkEnd w:id="30"/>
    <w:bookmarkStart w:id="31" w:name="X752f53f196d14cc412b0dba9c848923e25524ee"/>
    <w:p>
      <w:pPr>
        <w:pStyle w:val="Heading2"/>
      </w:pPr>
      <w:r>
        <w:t xml:space="preserve">3.4 Principes constitutionnels du produit (non négociables)</w:t>
      </w:r>
    </w:p>
    <w:p>
      <w:pPr>
        <w:pStyle w:val="FirstParagraph"/>
      </w:pPr>
      <w:r>
        <w:t xml:space="preserve">Ces principes sont opposables à toute équipe de réalisation. Aucune dérogation n’est possible sans décision écrite du Comité de pilotage, publiée au journal des décisions du programme.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w:t>
            </w:r>
          </w:p>
        </w:tc>
        <w:tc>
          <w:tcPr>
            <w:shd w:val="clear" w:color="auto" w:fill="232C6B"/>
          </w:tcPr>
          <w:p>
            <w:pPr>
              <w:pStyle w:val="Compact"/>
            </w:pPr>
            <w:r>
              <w:rPr>
                <w:b/>
                <w:color w:val="FFFFFF"/>
                <w:sz w:val="17"/>
              </w:rPr>
              <w:t xml:space="preserve">Principe</w:t>
            </w:r>
          </w:p>
        </w:tc>
        <w:tc>
          <w:tcPr>
            <w:shd w:val="clear" w:color="auto" w:fill="232C6B"/>
          </w:tcPr>
          <w:p>
            <w:pPr>
              <w:pStyle w:val="Compact"/>
            </w:pPr>
            <w:r>
              <w:rPr>
                <w:b/>
                <w:color w:val="FFFFFF"/>
                <w:sz w:val="17"/>
              </w:rPr>
              <w:t xml:space="preserve">Traduction obligatoire dans le produit</w:t>
            </w:r>
          </w:p>
        </w:tc>
      </w:tr>
      <w:tr>
        <w:tc>
          <w:tcPr/>
          <w:p>
            <w:pPr>
              <w:pStyle w:val="Compact"/>
            </w:pPr>
            <w:r>
              <w:rPr>
                <w:sz w:val="17"/>
              </w:rPr>
              <w:t xml:space="preserve">P1</w:t>
            </w:r>
          </w:p>
        </w:tc>
        <w:tc>
          <w:tcPr/>
          <w:p>
            <w:pPr>
              <w:pStyle w:val="Compact"/>
            </w:pPr>
            <w:r>
              <w:rPr>
                <w:b/>
                <w:bCs/>
                <w:sz w:val="17"/>
              </w:rPr>
              <w:t xml:space="preserve">Légalité avant automatisation</w:t>
            </w:r>
          </w:p>
        </w:tc>
        <w:tc>
          <w:tcPr/>
          <w:p>
            <w:pPr>
              <w:pStyle w:val="Compact"/>
            </w:pPr>
            <w:r>
              <w:rPr>
                <w:sz w:val="17"/>
              </w:rPr>
              <w:t xml:space="preserve">Aucune obligation sans règle active portant sa référence légale ; aucun taux codé en dur ; toute règle non confirmée reste désactivée</w:t>
            </w:r>
          </w:p>
        </w:tc>
      </w:tr>
      <w:tr>
        <w:tc>
          <w:tcPr>
            <w:shd w:val="clear" w:color="auto" w:fill="F5F7FB"/>
          </w:tcPr>
          <w:p>
            <w:pPr>
              <w:pStyle w:val="Compact"/>
            </w:pPr>
            <w:r>
              <w:rPr>
                <w:sz w:val="17"/>
              </w:rPr>
              <w:t xml:space="preserve">P2</w:t>
            </w:r>
          </w:p>
        </w:tc>
        <w:tc>
          <w:tcPr>
            <w:shd w:val="clear" w:color="auto" w:fill="F5F7FB"/>
          </w:tcPr>
          <w:p>
            <w:pPr>
              <w:pStyle w:val="Compact"/>
            </w:pPr>
            <w:r>
              <w:rPr>
                <w:b/>
                <w:bCs/>
                <w:sz w:val="17"/>
              </w:rPr>
              <w:t xml:space="preserve">Le système applique le droit, il ne le crée pas</w:t>
            </w:r>
          </w:p>
        </w:tc>
        <w:tc>
          <w:tcPr>
            <w:shd w:val="clear" w:color="auto" w:fill="F5F7FB"/>
          </w:tcPr>
          <w:p>
            <w:pPr>
              <w:pStyle w:val="Compact"/>
            </w:pPr>
            <w:r>
              <w:rPr>
                <w:sz w:val="17"/>
              </w:rPr>
              <w:t xml:space="preserve">Ni l’IA, ni l’administrateur, ni un agent ne peut créer une taxe, un taux ou une pénalité</w:t>
            </w:r>
          </w:p>
        </w:tc>
      </w:tr>
      <w:tr>
        <w:tc>
          <w:tcPr/>
          <w:p>
            <w:pPr>
              <w:pStyle w:val="Compact"/>
            </w:pPr>
            <w:r>
              <w:rPr>
                <w:sz w:val="17"/>
              </w:rPr>
              <w:t xml:space="preserve">P3</w:t>
            </w:r>
          </w:p>
        </w:tc>
        <w:tc>
          <w:tcPr/>
          <w:p>
            <w:pPr>
              <w:pStyle w:val="Compact"/>
            </w:pPr>
            <w:r>
              <w:rPr>
                <w:b/>
                <w:bCs/>
                <w:sz w:val="17"/>
              </w:rPr>
              <w:t xml:space="preserve">Une identité, plusieurs rôles, plusieurs objets</w:t>
            </w:r>
          </w:p>
        </w:tc>
        <w:tc>
          <w:tcPr/>
          <w:p>
            <w:pPr>
              <w:pStyle w:val="Compact"/>
            </w:pPr>
            <w:r>
              <w:rPr>
                <w:sz w:val="17"/>
              </w:rPr>
              <w:t xml:space="preserve">Compte principal unique ; pas de fusion silencieuse ; rôles distincts (propriétaire, bailleur, locataire, exploitant…)</w:t>
            </w:r>
          </w:p>
        </w:tc>
      </w:tr>
      <w:tr>
        <w:tc>
          <w:tcPr>
            <w:shd w:val="clear" w:color="auto" w:fill="F5F7FB"/>
          </w:tcPr>
          <w:p>
            <w:pPr>
              <w:pStyle w:val="Compact"/>
            </w:pPr>
            <w:r>
              <w:rPr>
                <w:sz w:val="17"/>
              </w:rPr>
              <w:t xml:space="preserve">P4</w:t>
            </w:r>
          </w:p>
        </w:tc>
        <w:tc>
          <w:tcPr>
            <w:shd w:val="clear" w:color="auto" w:fill="F5F7FB"/>
          </w:tcPr>
          <w:p>
            <w:pPr>
              <w:pStyle w:val="Compact"/>
            </w:pPr>
            <w:r>
              <w:rPr>
                <w:b/>
                <w:bCs/>
                <w:sz w:val="17"/>
              </w:rPr>
              <w:t xml:space="preserve">Minimisation des données</w:t>
            </w:r>
          </w:p>
        </w:tc>
        <w:tc>
          <w:tcPr>
            <w:shd w:val="clear" w:color="auto" w:fill="F5F7FB"/>
          </w:tcPr>
          <w:p>
            <w:pPr>
              <w:pStyle w:val="Compact"/>
            </w:pPr>
            <w:r>
              <w:rPr>
                <w:sz w:val="17"/>
              </w:rPr>
              <w:t xml:space="preserve">Collecte limitée à une finalité administrative, fiscale ou de service légitime et documentée</w:t>
            </w:r>
          </w:p>
        </w:tc>
      </w:tr>
      <w:tr>
        <w:tc>
          <w:tcPr/>
          <w:p>
            <w:pPr>
              <w:pStyle w:val="Compact"/>
            </w:pPr>
            <w:r>
              <w:rPr>
                <w:sz w:val="17"/>
              </w:rPr>
              <w:t xml:space="preserve">P5</w:t>
            </w:r>
          </w:p>
        </w:tc>
        <w:tc>
          <w:tcPr/>
          <w:p>
            <w:pPr>
              <w:pStyle w:val="Compact"/>
            </w:pPr>
            <w:r>
              <w:rPr>
                <w:b/>
                <w:bCs/>
                <w:sz w:val="17"/>
              </w:rPr>
              <w:t xml:space="preserve">Fonds publics sur comptes publics</w:t>
            </w:r>
          </w:p>
        </w:tc>
        <w:tc>
          <w:tcPr/>
          <w:p>
            <w:pPr>
              <w:pStyle w:val="Compact"/>
            </w:pPr>
            <w:r>
              <w:rPr>
                <w:sz w:val="17"/>
              </w:rPr>
              <w:t xml:space="preserve">Aucun paiement de recette publique vers un compte privé de plateforme ou de prestataire</w:t>
            </w:r>
          </w:p>
        </w:tc>
      </w:tr>
      <w:tr>
        <w:tc>
          <w:tcPr>
            <w:shd w:val="clear" w:color="auto" w:fill="F5F7FB"/>
          </w:tcPr>
          <w:p>
            <w:pPr>
              <w:pStyle w:val="Compact"/>
            </w:pPr>
            <w:r>
              <w:rPr>
                <w:sz w:val="17"/>
              </w:rPr>
              <w:t xml:space="preserve">P6</w:t>
            </w:r>
          </w:p>
        </w:tc>
        <w:tc>
          <w:tcPr>
            <w:shd w:val="clear" w:color="auto" w:fill="F5F7FB"/>
          </w:tcPr>
          <w:p>
            <w:pPr>
              <w:pStyle w:val="Compact"/>
            </w:pPr>
            <w:r>
              <w:rPr>
                <w:b/>
                <w:bCs/>
                <w:sz w:val="17"/>
              </w:rPr>
              <w:t xml:space="preserve">Séparation des pouvoirs</w:t>
            </w:r>
          </w:p>
        </w:tc>
        <w:tc>
          <w:tcPr>
            <w:shd w:val="clear" w:color="auto" w:fill="F5F7FB"/>
          </w:tcPr>
          <w:p>
            <w:pPr>
              <w:pStyle w:val="Compact"/>
            </w:pPr>
            <w:r>
              <w:rPr>
                <w:sz w:val="17"/>
              </w:rPr>
              <w:t xml:space="preserve">Aucune personne, quel que soit son rang, ne peut seule modifier une dette, un paiement, un compte bénéficiaire, une règle ou une trace</w:t>
            </w:r>
          </w:p>
        </w:tc>
      </w:tr>
      <w:tr>
        <w:tc>
          <w:tcPr/>
          <w:p>
            <w:pPr>
              <w:pStyle w:val="Compact"/>
            </w:pPr>
            <w:r>
              <w:rPr>
                <w:sz w:val="17"/>
              </w:rPr>
              <w:t xml:space="preserve">P7</w:t>
            </w:r>
          </w:p>
        </w:tc>
        <w:tc>
          <w:tcPr/>
          <w:p>
            <w:pPr>
              <w:pStyle w:val="Compact"/>
            </w:pPr>
            <w:r>
              <w:rPr>
                <w:b/>
                <w:bCs/>
                <w:sz w:val="17"/>
              </w:rPr>
              <w:t xml:space="preserve">Aucune disparition</w:t>
            </w:r>
          </w:p>
        </w:tc>
        <w:tc>
          <w:tcPr/>
          <w:p>
            <w:pPr>
              <w:pStyle w:val="Compact"/>
            </w:pPr>
            <w:r>
              <w:rPr>
                <w:sz w:val="17"/>
              </w:rPr>
              <w:t xml:space="preserve">Toute correction est une contre-écriture liée à l’original ; aucune suppression d’écriture financière ou d’événement d’audit</w:t>
            </w:r>
          </w:p>
        </w:tc>
      </w:tr>
      <w:tr>
        <w:tc>
          <w:tcPr>
            <w:shd w:val="clear" w:color="auto" w:fill="F5F7FB"/>
          </w:tcPr>
          <w:p>
            <w:pPr>
              <w:pStyle w:val="Compact"/>
            </w:pPr>
            <w:r>
              <w:rPr>
                <w:sz w:val="17"/>
              </w:rPr>
              <w:t xml:space="preserve">P8</w:t>
            </w:r>
          </w:p>
        </w:tc>
        <w:tc>
          <w:tcPr>
            <w:shd w:val="clear" w:color="auto" w:fill="F5F7FB"/>
          </w:tcPr>
          <w:p>
            <w:pPr>
              <w:pStyle w:val="Compact"/>
            </w:pPr>
            <w:r>
              <w:rPr>
                <w:b/>
                <w:bCs/>
                <w:sz w:val="17"/>
              </w:rPr>
              <w:t xml:space="preserve">Preuve avant sanction</w:t>
            </w:r>
          </w:p>
        </w:tc>
        <w:tc>
          <w:tcPr>
            <w:shd w:val="clear" w:color="auto" w:fill="F5F7FB"/>
          </w:tcPr>
          <w:p>
            <w:pPr>
              <w:pStyle w:val="Compact"/>
            </w:pPr>
            <w:r>
              <w:rPr>
                <w:sz w:val="17"/>
              </w:rPr>
              <w:t xml:space="preserve">Un signal analytique ouvre une vérification humaine ; jamais une taxation ou une sanction automatique</w:t>
            </w:r>
          </w:p>
        </w:tc>
      </w:tr>
      <w:tr>
        <w:tc>
          <w:tcPr/>
          <w:p>
            <w:pPr>
              <w:pStyle w:val="Compact"/>
            </w:pPr>
            <w:r>
              <w:rPr>
                <w:sz w:val="17"/>
              </w:rPr>
              <w:t xml:space="preserve">P9</w:t>
            </w:r>
          </w:p>
        </w:tc>
        <w:tc>
          <w:tcPr/>
          <w:p>
            <w:pPr>
              <w:pStyle w:val="Compact"/>
            </w:pPr>
            <w:r>
              <w:rPr>
                <w:b/>
                <w:bCs/>
                <w:sz w:val="17"/>
              </w:rPr>
              <w:t xml:space="preserve">Zéro espèce entre les mains des agents</w:t>
            </w:r>
          </w:p>
        </w:tc>
        <w:tc>
          <w:tcPr/>
          <w:p>
            <w:pPr>
              <w:pStyle w:val="Compact"/>
            </w:pPr>
            <w:r>
              <w:rPr>
                <w:sz w:val="17"/>
              </w:rPr>
              <w:t xml:space="preserve">L’agent constate et notifie ; l’encaissement se fait par des canaux agréés vers le compte public</w:t>
            </w:r>
          </w:p>
        </w:tc>
      </w:tr>
      <w:tr>
        <w:tc>
          <w:tcPr>
            <w:shd w:val="clear" w:color="auto" w:fill="F5F7FB"/>
          </w:tcPr>
          <w:p>
            <w:pPr>
              <w:pStyle w:val="Compact"/>
            </w:pPr>
            <w:r>
              <w:rPr>
                <w:sz w:val="17"/>
              </w:rPr>
              <w:t xml:space="preserve">P10</w:t>
            </w:r>
          </w:p>
        </w:tc>
        <w:tc>
          <w:tcPr>
            <w:shd w:val="clear" w:color="auto" w:fill="F5F7FB"/>
          </w:tcPr>
          <w:p>
            <w:pPr>
              <w:pStyle w:val="Compact"/>
            </w:pPr>
            <w:r>
              <w:rPr>
                <w:b/>
                <w:bCs/>
                <w:sz w:val="17"/>
              </w:rPr>
              <w:t xml:space="preserve">IA assistive et redevable</w:t>
            </w:r>
          </w:p>
        </w:tc>
        <w:tc>
          <w:tcPr>
            <w:shd w:val="clear" w:color="auto" w:fill="F5F7FB"/>
          </w:tcPr>
          <w:p>
            <w:pPr>
              <w:pStyle w:val="Compact"/>
            </w:pPr>
            <w:r>
              <w:rPr>
                <w:sz w:val="17"/>
              </w:rPr>
              <w:t xml:space="preserve">L’IA détecte, explique, priorise et recommande ; chaque recommandation est journalisée et attribuée</w:t>
            </w:r>
          </w:p>
        </w:tc>
      </w:tr>
      <w:tr>
        <w:tc>
          <w:tcPr/>
          <w:p>
            <w:pPr>
              <w:pStyle w:val="Compact"/>
            </w:pPr>
            <w:r>
              <w:rPr>
                <w:sz w:val="17"/>
              </w:rPr>
              <w:t xml:space="preserve">P11</w:t>
            </w:r>
          </w:p>
        </w:tc>
        <w:tc>
          <w:tcPr/>
          <w:p>
            <w:pPr>
              <w:pStyle w:val="Compact"/>
            </w:pPr>
            <w:r>
              <w:rPr>
                <w:b/>
                <w:bCs/>
                <w:sz w:val="17"/>
              </w:rPr>
              <w:t xml:space="preserve">Hors ligne d’abord pour le terrain, temps réel pour le pilotage</w:t>
            </w:r>
          </w:p>
        </w:tc>
        <w:tc>
          <w:tcPr/>
          <w:p>
            <w:pPr>
              <w:pStyle w:val="Compact"/>
            </w:pPr>
            <w:r>
              <w:rPr>
                <w:sz w:val="17"/>
              </w:rPr>
              <w:t xml:space="preserve">Application terrain pleinement opérationnelle sans réseau</w:t>
            </w:r>
          </w:p>
        </w:tc>
      </w:tr>
      <w:tr>
        <w:tc>
          <w:tcPr>
            <w:shd w:val="clear" w:color="auto" w:fill="F5F7FB"/>
          </w:tcPr>
          <w:p>
            <w:pPr>
              <w:pStyle w:val="Compact"/>
            </w:pPr>
            <w:r>
              <w:rPr>
                <w:sz w:val="17"/>
              </w:rPr>
              <w:t xml:space="preserve">P12</w:t>
            </w:r>
          </w:p>
        </w:tc>
        <w:tc>
          <w:tcPr>
            <w:shd w:val="clear" w:color="auto" w:fill="F5F7FB"/>
          </w:tcPr>
          <w:p>
            <w:pPr>
              <w:pStyle w:val="Compact"/>
            </w:pPr>
            <w:r>
              <w:rPr>
                <w:b/>
                <w:bCs/>
                <w:sz w:val="17"/>
              </w:rPr>
              <w:t xml:space="preserve">Inclusion</w:t>
            </w:r>
          </w:p>
        </w:tc>
        <w:tc>
          <w:tcPr>
            <w:shd w:val="clear" w:color="auto" w:fill="F5F7FB"/>
          </w:tcPr>
          <w:p>
            <w:pPr>
              <w:pStyle w:val="Compact"/>
            </w:pPr>
            <w:r>
              <w:rPr>
                <w:sz w:val="17"/>
              </w:rPr>
              <w:t xml:space="preserve">Chaque parcours citoyen existe sans smartphone ni Internet (USSD, SVI, SMS, guichet assisté) et en langues nationales</w:t>
            </w:r>
          </w:p>
        </w:tc>
      </w:tr>
      <w:tr>
        <w:tc>
          <w:tcPr/>
          <w:p>
            <w:pPr>
              <w:pStyle w:val="Compact"/>
            </w:pPr>
            <w:r>
              <w:rPr>
                <w:sz w:val="17"/>
              </w:rPr>
              <w:t xml:space="preserve">P13</w:t>
            </w:r>
          </w:p>
        </w:tc>
        <w:tc>
          <w:tcPr/>
          <w:p>
            <w:pPr>
              <w:pStyle w:val="Compact"/>
            </w:pPr>
            <w:r>
              <w:rPr>
                <w:b/>
                <w:bCs/>
                <w:sz w:val="17"/>
              </w:rPr>
              <w:t xml:space="preserve">Souveraineté et réversibilité</w:t>
            </w:r>
          </w:p>
        </w:tc>
        <w:tc>
          <w:tcPr/>
          <w:p>
            <w:pPr>
              <w:pStyle w:val="Compact"/>
            </w:pPr>
            <w:r>
              <w:rPr>
                <w:sz w:val="17"/>
              </w:rPr>
              <w:t xml:space="preserve">La Ville possède les données, les clés et le droit d’usage du code ; sortie documentée et testée</w:t>
            </w:r>
          </w:p>
        </w:tc>
      </w:tr>
      <w:tr>
        <w:tc>
          <w:tcPr>
            <w:shd w:val="clear" w:color="auto" w:fill="F5F7FB"/>
          </w:tcPr>
          <w:p>
            <w:pPr>
              <w:pStyle w:val="Compact"/>
            </w:pPr>
            <w:r>
              <w:rPr>
                <w:sz w:val="17"/>
              </w:rPr>
              <w:t xml:space="preserve">P14</w:t>
            </w:r>
          </w:p>
        </w:tc>
        <w:tc>
          <w:tcPr>
            <w:shd w:val="clear" w:color="auto" w:fill="F5F7FB"/>
          </w:tcPr>
          <w:p>
            <w:pPr>
              <w:pStyle w:val="Compact"/>
            </w:pPr>
            <w:r>
              <w:rPr>
                <w:b/>
                <w:bCs/>
                <w:sz w:val="17"/>
              </w:rPr>
              <w:t xml:space="preserve">Transparence sans exposition</w:t>
            </w:r>
          </w:p>
        </w:tc>
        <w:tc>
          <w:tcPr>
            <w:shd w:val="clear" w:color="auto" w:fill="F5F7FB"/>
          </w:tcPr>
          <w:p>
            <w:pPr>
              <w:pStyle w:val="Compact"/>
            </w:pPr>
            <w:r>
              <w:rPr>
                <w:sz w:val="17"/>
              </w:rPr>
              <w:t xml:space="preserve">Le public voit des agrégats ; jamais la situation fiscale d’une personne identifiable</w:t>
            </w:r>
          </w:p>
        </w:tc>
      </w:tr>
    </w:tbl>
    <w:bookmarkEnd w:id="31"/>
    <w:bookmarkEnd w:id="32"/>
    <w:bookmarkStart w:id="33" w:name="énoncé-du-problème"/>
    <w:p>
      <w:pPr>
        <w:pStyle w:val="Heading1"/>
      </w:pPr>
      <w:r>
        <w:t xml:space="preserve">4. Énoncé du problème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584"/>
        <w:gridCol w:w="1584"/>
        <w:gridCol w:w="1584"/>
        <w:gridCol w:w="1584"/>
        <w:gridCol w:w="1584"/>
      </w:tblGrid>
      <w:tr>
        <w:trPr>
          <w:tblHeader w:val="on"/>
        </w:trPr>
        <w:tc>
          <w:tcPr>
            <w:shd w:val="clear" w:color="auto" w:fill="232C6B"/>
          </w:tcPr>
          <w:p>
            <w:pPr>
              <w:pStyle w:val="Compact"/>
            </w:pPr>
            <w:r>
              <w:rPr>
                <w:b/>
                <w:color w:val="FFFFFF"/>
                <w:sz w:val="17"/>
              </w:rPr>
              <w:t xml:space="preserve">#</w:t>
            </w:r>
          </w:p>
        </w:tc>
        <w:tc>
          <w:tcPr>
            <w:shd w:val="clear" w:color="auto" w:fill="232C6B"/>
          </w:tcPr>
          <w:p>
            <w:pPr>
              <w:pStyle w:val="Compact"/>
            </w:pPr>
            <w:r>
              <w:rPr>
                <w:b/>
                <w:color w:val="FFFFFF"/>
                <w:sz w:val="17"/>
              </w:rPr>
              <w:t xml:space="preserve">Problème constaté</w:t>
            </w:r>
          </w:p>
        </w:tc>
        <w:tc>
          <w:tcPr>
            <w:shd w:val="clear" w:color="auto" w:fill="232C6B"/>
          </w:tcPr>
          <w:p>
            <w:pPr>
              <w:pStyle w:val="Compact"/>
            </w:pPr>
            <w:r>
              <w:rPr>
                <w:b/>
                <w:color w:val="FFFFFF"/>
                <w:sz w:val="17"/>
              </w:rPr>
              <w:t xml:space="preserve">Effet sur les recettes</w:t>
            </w:r>
          </w:p>
        </w:tc>
        <w:tc>
          <w:tcPr>
            <w:shd w:val="clear" w:color="auto" w:fill="232C6B"/>
          </w:tcPr>
          <w:p>
            <w:pPr>
              <w:pStyle w:val="Compact"/>
            </w:pPr>
            <w:r>
              <w:rPr>
                <w:b/>
                <w:color w:val="FFFFFF"/>
                <w:sz w:val="17"/>
              </w:rPr>
              <w:t xml:space="preserve">Réponse de KINSHASA MOSOLO</w:t>
            </w:r>
          </w:p>
        </w:tc>
        <w:tc>
          <w:tcPr>
            <w:shd w:val="clear" w:color="auto" w:fill="232C6B"/>
          </w:tcPr>
          <w:p>
            <w:pPr>
              <w:pStyle w:val="Compact"/>
            </w:pPr>
            <w:r>
              <w:rPr>
                <w:b/>
                <w:color w:val="FFFFFF"/>
                <w:sz w:val="17"/>
              </w:rPr>
              <w:t xml:space="preserve">Chapitre</w:t>
            </w:r>
          </w:p>
        </w:tc>
      </w:tr>
      <w:tr>
        <w:tc>
          <w:tcPr/>
          <w:p>
            <w:pPr>
              <w:pStyle w:val="Compact"/>
            </w:pPr>
            <w:r>
              <w:rPr>
                <w:sz w:val="17"/>
              </w:rPr>
              <w:t xml:space="preserve">1</w:t>
            </w:r>
          </w:p>
        </w:tc>
        <w:tc>
          <w:tcPr/>
          <w:p>
            <w:pPr>
              <w:pStyle w:val="Compact"/>
            </w:pPr>
            <w:r>
              <w:rPr>
                <w:sz w:val="17"/>
              </w:rPr>
              <w:t xml:space="preserve">Registre des contribuables incomplet et peu fiable</w:t>
            </w:r>
          </w:p>
        </w:tc>
        <w:tc>
          <w:tcPr/>
          <w:p>
            <w:pPr>
              <w:pStyle w:val="Compact"/>
            </w:pPr>
            <w:r>
              <w:rPr>
                <w:sz w:val="17"/>
              </w:rPr>
              <w:t xml:space="preserve">Assiette étroite, pression concentrée, inéquité</w:t>
            </w:r>
          </w:p>
        </w:tc>
        <w:tc>
          <w:tcPr/>
          <w:p>
            <w:pPr>
              <w:pStyle w:val="Compact"/>
            </w:pPr>
            <w:r>
              <w:rPr>
                <w:sz w:val="17"/>
              </w:rPr>
              <w:t xml:space="preserve">Registre par objet, identifiant unique, enrôlement continu</w:t>
            </w:r>
          </w:p>
        </w:tc>
        <w:tc>
          <w:tcPr/>
          <w:p>
            <w:pPr>
              <w:pStyle w:val="Compact"/>
            </w:pPr>
            <w:r>
              <w:rPr>
                <w:sz w:val="17"/>
              </w:rPr>
              <w:t xml:space="preserve">9, 17</w:t>
            </w:r>
          </w:p>
        </w:tc>
      </w:tr>
      <w:tr>
        <w:tc>
          <w:tcPr>
            <w:shd w:val="clear" w:color="auto" w:fill="F5F7FB"/>
          </w:tcPr>
          <w:p>
            <w:pPr>
              <w:pStyle w:val="Compact"/>
            </w:pPr>
            <w:r>
              <w:rPr>
                <w:sz w:val="17"/>
              </w:rPr>
              <w:t xml:space="preserve">2</w:t>
            </w:r>
          </w:p>
        </w:tc>
        <w:tc>
          <w:tcPr>
            <w:shd w:val="clear" w:color="auto" w:fill="F5F7FB"/>
          </w:tcPr>
          <w:p>
            <w:pPr>
              <w:pStyle w:val="Compact"/>
            </w:pPr>
            <w:r>
              <w:rPr>
                <w:sz w:val="17"/>
              </w:rPr>
              <w:t xml:space="preserve">Absence d’adresse fiscale géolocalisée généralisée</w:t>
            </w:r>
          </w:p>
        </w:tc>
        <w:tc>
          <w:tcPr>
            <w:shd w:val="clear" w:color="auto" w:fill="F5F7FB"/>
          </w:tcPr>
          <w:p>
            <w:pPr>
              <w:pStyle w:val="Compact"/>
            </w:pPr>
            <w:r>
              <w:rPr>
                <w:sz w:val="17"/>
              </w:rPr>
              <w:t xml:space="preserve">Impossible de notifier, contrôler, prouver</w:t>
            </w:r>
          </w:p>
        </w:tc>
        <w:tc>
          <w:tcPr>
            <w:shd w:val="clear" w:color="auto" w:fill="F5F7FB"/>
          </w:tcPr>
          <w:p>
            <w:pPr>
              <w:pStyle w:val="Compact"/>
            </w:pPr>
            <w:r>
              <w:rPr>
                <w:sz w:val="17"/>
              </w:rPr>
              <w:t xml:space="preserve">Identifiant géofiscal, plaque et QR par objet</w:t>
            </w:r>
          </w:p>
        </w:tc>
        <w:tc>
          <w:tcPr>
            <w:shd w:val="clear" w:color="auto" w:fill="F5F7FB"/>
          </w:tcPr>
          <w:p>
            <w:pPr>
              <w:pStyle w:val="Compact"/>
            </w:pPr>
            <w:r>
              <w:rPr>
                <w:sz w:val="17"/>
              </w:rPr>
              <w:t xml:space="preserve">17</w:t>
            </w:r>
          </w:p>
        </w:tc>
      </w:tr>
      <w:tr>
        <w:tc>
          <w:tcPr/>
          <w:p>
            <w:pPr>
              <w:pStyle w:val="Compact"/>
            </w:pPr>
            <w:r>
              <w:rPr>
                <w:sz w:val="17"/>
              </w:rPr>
              <w:t xml:space="preserve">3</w:t>
            </w:r>
          </w:p>
        </w:tc>
        <w:tc>
          <w:tcPr/>
          <w:p>
            <w:pPr>
              <w:pStyle w:val="Compact"/>
            </w:pPr>
            <w:r>
              <w:rPr>
                <w:sz w:val="17"/>
              </w:rPr>
              <w:t xml:space="preserve">Télépaiement non opérationnel ou fragmenté</w:t>
            </w:r>
          </w:p>
        </w:tc>
        <w:tc>
          <w:tcPr/>
          <w:p>
            <w:pPr>
              <w:pStyle w:val="Compact"/>
            </w:pPr>
            <w:r>
              <w:rPr>
                <w:sz w:val="17"/>
              </w:rPr>
              <w:t xml:space="preserve">Espèces, quittances non standardisées</w:t>
            </w:r>
          </w:p>
        </w:tc>
        <w:tc>
          <w:tcPr/>
          <w:p>
            <w:pPr>
              <w:pStyle w:val="Compact"/>
            </w:pPr>
            <w:r>
              <w:rPr>
                <w:sz w:val="17"/>
              </w:rPr>
              <w:t xml:space="preserve">Orchestration multicanale vers comptes publics</w:t>
            </w:r>
          </w:p>
        </w:tc>
        <w:tc>
          <w:tcPr/>
          <w:p>
            <w:pPr>
              <w:pStyle w:val="Compact"/>
            </w:pPr>
            <w:r>
              <w:rPr>
                <w:sz w:val="17"/>
              </w:rPr>
              <w:t xml:space="preserve">18</w:t>
            </w:r>
          </w:p>
        </w:tc>
      </w:tr>
      <w:tr>
        <w:tc>
          <w:tcPr>
            <w:shd w:val="clear" w:color="auto" w:fill="F5F7FB"/>
          </w:tcPr>
          <w:p>
            <w:pPr>
              <w:pStyle w:val="Compact"/>
            </w:pPr>
            <w:r>
              <w:rPr>
                <w:sz w:val="17"/>
              </w:rPr>
              <w:t xml:space="preserve">4</w:t>
            </w:r>
          </w:p>
        </w:tc>
        <w:tc>
          <w:tcPr>
            <w:shd w:val="clear" w:color="auto" w:fill="F5F7FB"/>
          </w:tcPr>
          <w:p>
            <w:pPr>
              <w:pStyle w:val="Compact"/>
            </w:pPr>
            <w:r>
              <w:rPr>
                <w:sz w:val="17"/>
              </w:rPr>
              <w:t xml:space="preserve">Bases dispersées entre services</w:t>
            </w:r>
          </w:p>
        </w:tc>
        <w:tc>
          <w:tcPr>
            <w:shd w:val="clear" w:color="auto" w:fill="F5F7FB"/>
          </w:tcPr>
          <w:p>
            <w:pPr>
              <w:pStyle w:val="Compact"/>
            </w:pPr>
            <w:r>
              <w:rPr>
                <w:sz w:val="17"/>
              </w:rPr>
              <w:t xml:space="preserve">Doubles sollicitations, statistiques non fiables</w:t>
            </w:r>
          </w:p>
        </w:tc>
        <w:tc>
          <w:tcPr>
            <w:shd w:val="clear" w:color="auto" w:fill="F5F7FB"/>
          </w:tcPr>
          <w:p>
            <w:pPr>
              <w:pStyle w:val="Compact"/>
            </w:pPr>
            <w:r>
              <w:rPr>
                <w:sz w:val="17"/>
              </w:rPr>
              <w:t xml:space="preserve">Socle commun, API contractualisées</w:t>
            </w:r>
          </w:p>
        </w:tc>
        <w:tc>
          <w:tcPr>
            <w:shd w:val="clear" w:color="auto" w:fill="F5F7FB"/>
          </w:tcPr>
          <w:p>
            <w:pPr>
              <w:pStyle w:val="Compact"/>
            </w:pPr>
            <w:r>
              <w:rPr>
                <w:sz w:val="17"/>
              </w:rPr>
              <w:t xml:space="preserve">10, 30</w:t>
            </w:r>
          </w:p>
        </w:tc>
      </w:tr>
      <w:tr>
        <w:tc>
          <w:tcPr/>
          <w:p>
            <w:pPr>
              <w:pStyle w:val="Compact"/>
            </w:pPr>
            <w:r>
              <w:rPr>
                <w:sz w:val="17"/>
              </w:rPr>
              <w:t xml:space="preserve">5</w:t>
            </w:r>
          </w:p>
        </w:tc>
        <w:tc>
          <w:tcPr/>
          <w:p>
            <w:pPr>
              <w:pStyle w:val="Compact"/>
            </w:pPr>
            <w:r>
              <w:rPr>
                <w:sz w:val="17"/>
              </w:rPr>
              <w:t xml:space="preserve">Le contribuable ignore quoi, combien, où payer</w:t>
            </w:r>
          </w:p>
        </w:tc>
        <w:tc>
          <w:tcPr/>
          <w:p>
            <w:pPr>
              <w:pStyle w:val="Compact"/>
            </w:pPr>
            <w:r>
              <w:rPr>
                <w:sz w:val="17"/>
              </w:rPr>
              <w:t xml:space="preserve">Non-paiement par friction</w:t>
            </w:r>
          </w:p>
        </w:tc>
        <w:tc>
          <w:tcPr/>
          <w:p>
            <w:pPr>
              <w:pStyle w:val="Compact"/>
            </w:pPr>
            <w:r>
              <w:rPr>
                <w:sz w:val="17"/>
              </w:rPr>
              <w:t xml:space="preserve">Espace unique, déclaration pré-remplie, explication du calcul</w:t>
            </w:r>
          </w:p>
        </w:tc>
        <w:tc>
          <w:tcPr/>
          <w:p>
            <w:pPr>
              <w:pStyle w:val="Compact"/>
            </w:pPr>
            <w:r>
              <w:rPr>
                <w:sz w:val="17"/>
              </w:rPr>
              <w:t xml:space="preserve">13</w:t>
            </w:r>
          </w:p>
        </w:tc>
      </w:tr>
      <w:tr>
        <w:tc>
          <w:tcPr>
            <w:shd w:val="clear" w:color="auto" w:fill="F5F7FB"/>
          </w:tcPr>
          <w:p>
            <w:pPr>
              <w:pStyle w:val="Compact"/>
            </w:pPr>
            <w:r>
              <w:rPr>
                <w:sz w:val="17"/>
              </w:rPr>
              <w:t xml:space="preserve">6</w:t>
            </w:r>
          </w:p>
        </w:tc>
        <w:tc>
          <w:tcPr>
            <w:shd w:val="clear" w:color="auto" w:fill="F5F7FB"/>
          </w:tcPr>
          <w:p>
            <w:pPr>
              <w:pStyle w:val="Compact"/>
            </w:pPr>
            <w:r>
              <w:rPr>
                <w:sz w:val="17"/>
              </w:rPr>
              <w:t xml:space="preserve">Références juridiques obsolètes dans certains documents de projet (texte de 2013 abrogé) et taux mal qualifiés</w:t>
            </w:r>
          </w:p>
        </w:tc>
        <w:tc>
          <w:tcPr>
            <w:shd w:val="clear" w:color="auto" w:fill="F5F7FB"/>
          </w:tcPr>
          <w:p>
            <w:pPr>
              <w:pStyle w:val="Compact"/>
            </w:pPr>
            <w:r>
              <w:rPr>
                <w:sz w:val="17"/>
              </w:rPr>
              <w:t xml:space="preserve">Liquidations contestables, contentieux de masse</w:t>
            </w:r>
          </w:p>
        </w:tc>
        <w:tc>
          <w:tcPr>
            <w:shd w:val="clear" w:color="auto" w:fill="F5F7FB"/>
          </w:tcPr>
          <w:p>
            <w:pPr>
              <w:pStyle w:val="Compact"/>
            </w:pPr>
            <w:r>
              <w:rPr>
                <w:sz w:val="17"/>
              </w:rPr>
              <w:t xml:space="preserve">Registre juridique certifié et versionné</w:t>
            </w:r>
          </w:p>
        </w:tc>
        <w:tc>
          <w:tcPr>
            <w:shd w:val="clear" w:color="auto" w:fill="F5F7FB"/>
          </w:tcPr>
          <w:p>
            <w:pPr>
              <w:pStyle w:val="Compact"/>
            </w:pPr>
            <w:r>
              <w:rPr>
                <w:sz w:val="17"/>
              </w:rPr>
              <w:t xml:space="preserve">6</w:t>
            </w:r>
          </w:p>
        </w:tc>
      </w:tr>
      <w:tr>
        <w:tc>
          <w:tcPr/>
          <w:p>
            <w:pPr>
              <w:pStyle w:val="Compact"/>
            </w:pPr>
            <w:r>
              <w:rPr>
                <w:sz w:val="17"/>
              </w:rPr>
              <w:t xml:space="preserve">7</w:t>
            </w:r>
          </w:p>
        </w:tc>
        <w:tc>
          <w:tcPr/>
          <w:p>
            <w:pPr>
              <w:pStyle w:val="Compact"/>
            </w:pPr>
            <w:r>
              <w:rPr>
                <w:sz w:val="17"/>
              </w:rPr>
              <w:t xml:space="preserve">Contrôle terrain sans données fiables</w:t>
            </w:r>
          </w:p>
        </w:tc>
        <w:tc>
          <w:tcPr/>
          <w:p>
            <w:pPr>
              <w:pStyle w:val="Compact"/>
            </w:pPr>
            <w:r>
              <w:rPr>
                <w:sz w:val="17"/>
              </w:rPr>
              <w:t xml:space="preserve">Contrôles inefficaces, arbitraire, corruption</w:t>
            </w:r>
          </w:p>
        </w:tc>
        <w:tc>
          <w:tcPr/>
          <w:p>
            <w:pPr>
              <w:pStyle w:val="Compact"/>
            </w:pPr>
            <w:r>
              <w:rPr>
                <w:sz w:val="17"/>
              </w:rPr>
              <w:t xml:space="preserve">Missions préparées, preuves géolocalisées, hors ligne</w:t>
            </w:r>
          </w:p>
        </w:tc>
        <w:tc>
          <w:tcPr/>
          <w:p>
            <w:pPr>
              <w:pStyle w:val="Compact"/>
            </w:pPr>
            <w:r>
              <w:rPr>
                <w:sz w:val="17"/>
              </w:rPr>
              <w:t xml:space="preserve">15</w:t>
            </w:r>
          </w:p>
        </w:tc>
      </w:tr>
      <w:tr>
        <w:tc>
          <w:tcPr>
            <w:shd w:val="clear" w:color="auto" w:fill="F5F7FB"/>
          </w:tcPr>
          <w:p>
            <w:pPr>
              <w:pStyle w:val="Compact"/>
            </w:pPr>
            <w:r>
              <w:rPr>
                <w:sz w:val="17"/>
              </w:rPr>
              <w:t xml:space="preserve">8</w:t>
            </w:r>
          </w:p>
        </w:tc>
        <w:tc>
          <w:tcPr>
            <w:shd w:val="clear" w:color="auto" w:fill="F5F7FB"/>
          </w:tcPr>
          <w:p>
            <w:pPr>
              <w:pStyle w:val="Compact"/>
            </w:pPr>
            <w:r>
              <w:rPr>
                <w:sz w:val="17"/>
              </w:rPr>
              <w:t xml:space="preserve">Contrôle interne faible, audit interne peu opérant</w:t>
            </w:r>
          </w:p>
        </w:tc>
        <w:tc>
          <w:tcPr>
            <w:shd w:val="clear" w:color="auto" w:fill="F5F7FB"/>
          </w:tcPr>
          <w:p>
            <w:pPr>
              <w:pStyle w:val="Compact"/>
            </w:pPr>
            <w:r>
              <w:rPr>
                <w:sz w:val="17"/>
              </w:rPr>
              <w:t xml:space="preserve">Déperdition impossible à prouver</w:t>
            </w:r>
          </w:p>
        </w:tc>
        <w:tc>
          <w:tcPr>
            <w:shd w:val="clear" w:color="auto" w:fill="F5F7FB"/>
          </w:tcPr>
          <w:p>
            <w:pPr>
              <w:pStyle w:val="Compact"/>
            </w:pPr>
            <w:r>
              <w:rPr>
                <w:sz w:val="17"/>
              </w:rPr>
              <w:t xml:space="preserve">Journal inaltérable, séparation des fonctions, accès auditeur indépendant</w:t>
            </w:r>
          </w:p>
        </w:tc>
        <w:tc>
          <w:tcPr>
            <w:shd w:val="clear" w:color="auto" w:fill="F5F7FB"/>
          </w:tcPr>
          <w:p>
            <w:pPr>
              <w:pStyle w:val="Compact"/>
            </w:pPr>
            <w:r>
              <w:rPr>
                <w:sz w:val="17"/>
              </w:rPr>
              <w:t xml:space="preserve">25</w:t>
            </w:r>
          </w:p>
        </w:tc>
      </w:tr>
      <w:tr>
        <w:tc>
          <w:tcPr/>
          <w:p>
            <w:pPr>
              <w:pStyle w:val="Compact"/>
            </w:pPr>
            <w:r>
              <w:rPr>
                <w:sz w:val="17"/>
              </w:rPr>
              <w:t xml:space="preserve">9</w:t>
            </w:r>
          </w:p>
        </w:tc>
        <w:tc>
          <w:tcPr/>
          <w:p>
            <w:pPr>
              <w:pStyle w:val="Compact"/>
            </w:pPr>
            <w:r>
              <w:rPr>
                <w:sz w:val="17"/>
              </w:rPr>
              <w:t xml:space="preserve">Exonérations et annulations peu tracées</w:t>
            </w:r>
          </w:p>
        </w:tc>
        <w:tc>
          <w:tcPr/>
          <w:p>
            <w:pPr>
              <w:pStyle w:val="Compact"/>
            </w:pPr>
            <w:r>
              <w:rPr>
                <w:sz w:val="17"/>
              </w:rPr>
              <w:t xml:space="preserve">Érosion silencieuse de la base</w:t>
            </w:r>
          </w:p>
        </w:tc>
        <w:tc>
          <w:tcPr/>
          <w:p>
            <w:pPr>
              <w:pStyle w:val="Compact"/>
            </w:pPr>
            <w:r>
              <w:rPr>
                <w:sz w:val="17"/>
              </w:rPr>
              <w:t xml:space="preserve">Registre des exonérations, quatre yeux, alertes de concentration</w:t>
            </w:r>
          </w:p>
        </w:tc>
        <w:tc>
          <w:tcPr/>
          <w:p>
            <w:pPr>
              <w:pStyle w:val="Compact"/>
            </w:pPr>
            <w:r>
              <w:rPr>
                <w:sz w:val="17"/>
              </w:rPr>
              <w:t xml:space="preserve">25</w:t>
            </w:r>
          </w:p>
        </w:tc>
      </w:tr>
      <w:tr>
        <w:tc>
          <w:tcPr>
            <w:shd w:val="clear" w:color="auto" w:fill="F5F7FB"/>
          </w:tcPr>
          <w:p>
            <w:pPr>
              <w:pStyle w:val="Compact"/>
            </w:pPr>
            <w:r>
              <w:rPr>
                <w:sz w:val="17"/>
              </w:rPr>
              <w:t xml:space="preserve">10</w:t>
            </w:r>
          </w:p>
        </w:tc>
        <w:tc>
          <w:tcPr>
            <w:shd w:val="clear" w:color="auto" w:fill="F5F7FB"/>
          </w:tcPr>
          <w:p>
            <w:pPr>
              <w:pStyle w:val="Compact"/>
            </w:pPr>
            <w:r>
              <w:rPr>
                <w:sz w:val="17"/>
              </w:rPr>
              <w:t xml:space="preserve">Rapprochement bancaire tardif</w:t>
            </w:r>
          </w:p>
        </w:tc>
        <w:tc>
          <w:tcPr>
            <w:shd w:val="clear" w:color="auto" w:fill="F5F7FB"/>
          </w:tcPr>
          <w:p>
            <w:pPr>
              <w:pStyle w:val="Compact"/>
            </w:pPr>
            <w:r>
              <w:rPr>
                <w:sz w:val="17"/>
              </w:rPr>
              <w:t xml:space="preserve">Fonds « perdus » en suspens, fraudes aux quittances</w:t>
            </w:r>
          </w:p>
        </w:tc>
        <w:tc>
          <w:tcPr>
            <w:shd w:val="clear" w:color="auto" w:fill="F5F7FB"/>
          </w:tcPr>
          <w:p>
            <w:pPr>
              <w:pStyle w:val="Compact"/>
            </w:pPr>
            <w:r>
              <w:rPr>
                <w:sz w:val="17"/>
              </w:rPr>
              <w:t xml:space="preserve">Rapprochement quotidien automatisé, files d’exception</w:t>
            </w:r>
          </w:p>
        </w:tc>
        <w:tc>
          <w:tcPr>
            <w:shd w:val="clear" w:color="auto" w:fill="F5F7FB"/>
          </w:tcPr>
          <w:p>
            <w:pPr>
              <w:pStyle w:val="Compact"/>
            </w:pPr>
            <w:r>
              <w:rPr>
                <w:sz w:val="17"/>
              </w:rPr>
              <w:t xml:space="preserve">20</w:t>
            </w:r>
          </w:p>
        </w:tc>
      </w:tr>
      <w:tr>
        <w:tc>
          <w:tcPr/>
          <w:p>
            <w:pPr>
              <w:pStyle w:val="Compact"/>
            </w:pPr>
            <w:r>
              <w:rPr>
                <w:sz w:val="17"/>
              </w:rPr>
              <w:t xml:space="preserve">11</w:t>
            </w:r>
          </w:p>
        </w:tc>
        <w:tc>
          <w:tcPr/>
          <w:p>
            <w:pPr>
              <w:pStyle w:val="Compact"/>
            </w:pPr>
            <w:r>
              <w:rPr>
                <w:sz w:val="17"/>
              </w:rPr>
              <w:t xml:space="preserve">Faible capacité de prévision</w:t>
            </w:r>
          </w:p>
        </w:tc>
        <w:tc>
          <w:tcPr/>
          <w:p>
            <w:pPr>
              <w:pStyle w:val="Compact"/>
            </w:pPr>
            <w:r>
              <w:rPr>
                <w:sz w:val="17"/>
              </w:rPr>
              <w:t xml:space="preserve">Assignations irréalistes, pilotage à l’aveugle</w:t>
            </w:r>
          </w:p>
        </w:tc>
        <w:tc>
          <w:tcPr/>
          <w:p>
            <w:pPr>
              <w:pStyle w:val="Compact"/>
            </w:pPr>
            <w:r>
              <w:rPr>
                <w:sz w:val="17"/>
              </w:rPr>
              <w:t xml:space="preserve">Base de référence, modèles de potentiel, scénarios</w:t>
            </w:r>
          </w:p>
        </w:tc>
        <w:tc>
          <w:tcPr/>
          <w:p>
            <w:pPr>
              <w:pStyle w:val="Compact"/>
            </w:pPr>
            <w:r>
              <w:rPr>
                <w:sz w:val="17"/>
              </w:rPr>
              <w:t xml:space="preserve">38</w:t>
            </w:r>
          </w:p>
        </w:tc>
      </w:tr>
      <w:tr>
        <w:tc>
          <w:tcPr>
            <w:shd w:val="clear" w:color="auto" w:fill="F5F7FB"/>
          </w:tcPr>
          <w:p>
            <w:pPr>
              <w:pStyle w:val="Compact"/>
            </w:pPr>
            <w:r>
              <w:rPr>
                <w:sz w:val="17"/>
              </w:rPr>
              <w:t xml:space="preserve">12</w:t>
            </w:r>
          </w:p>
        </w:tc>
        <w:tc>
          <w:tcPr>
            <w:shd w:val="clear" w:color="auto" w:fill="F5F7FB"/>
          </w:tcPr>
          <w:p>
            <w:pPr>
              <w:pStyle w:val="Compact"/>
            </w:pPr>
            <w:r>
              <w:rPr>
                <w:sz w:val="17"/>
              </w:rPr>
              <w:t xml:space="preserve">Opacité de l’emploi des recettes</w:t>
            </w:r>
          </w:p>
        </w:tc>
        <w:tc>
          <w:tcPr>
            <w:shd w:val="clear" w:color="auto" w:fill="F5F7FB"/>
          </w:tcPr>
          <w:p>
            <w:pPr>
              <w:pStyle w:val="Compact"/>
            </w:pPr>
            <w:r>
              <w:rPr>
                <w:sz w:val="17"/>
              </w:rPr>
              <w:t xml:space="preserve">Faible consentement à l’impôt</w:t>
            </w:r>
          </w:p>
        </w:tc>
        <w:tc>
          <w:tcPr>
            <w:shd w:val="clear" w:color="auto" w:fill="F5F7FB"/>
          </w:tcPr>
          <w:p>
            <w:pPr>
              <w:pStyle w:val="Compact"/>
            </w:pPr>
            <w:r>
              <w:rPr>
                <w:sz w:val="17"/>
              </w:rPr>
              <w:t xml:space="preserve">Tableau de transparence publique et recommandations d’affectation</w:t>
            </w:r>
          </w:p>
        </w:tc>
        <w:tc>
          <w:tcPr>
            <w:shd w:val="clear" w:color="auto" w:fill="F5F7FB"/>
          </w:tcPr>
          <w:p>
            <w:pPr>
              <w:pStyle w:val="Compact"/>
            </w:pPr>
            <w:r>
              <w:rPr>
                <w:sz w:val="17"/>
              </w:rPr>
              <w:t xml:space="preserve">27</w:t>
            </w:r>
          </w:p>
        </w:tc>
      </w:tr>
    </w:tbl>
    <w:p>
      <w:pPr>
        <w:pStyle w:val="BodyText"/>
      </w:pPr>
      <w:r>
        <w:rPr>
          <w:b/>
          <w:bCs/>
        </w:rPr>
        <w:t xml:space="preserve">Ce qui n’est pas le problème.</w:t>
      </w:r>
      <w:r>
        <w:t xml:space="preserve"> </w:t>
      </w:r>
      <w:r>
        <w:t xml:space="preserve">Le programme ne part pas de l’hypothèse que les contribuables kinois refusent l’impôt ni que les agents sont malhonnêtes. Il part de l’hypothèse, étayée par les constats d’évaluation, que l’architecture actuelle de l’information rend la conformité coûteuse, la fraude facile et la preuve difficile. Il corrige l’architecture.</w:t>
      </w:r>
    </w:p>
    <w:bookmarkEnd w:id="33"/>
    <w:bookmarkStart w:id="34" w:name="objectifs-stratégiques"/>
    <w:p>
      <w:pPr>
        <w:pStyle w:val="Heading1"/>
      </w:pPr>
      <w:r>
        <w:t xml:space="preserve">5. Objectifs stratégiques</w:t>
      </w:r>
    </w:p>
    <w:p>
      <w:pPr>
        <w:pStyle w:val="FirstParagraph"/>
      </w:pPr>
      <w:r>
        <w:t xml:space="preserve">Les cibles chiffrées ci-dessous sont des</w:t>
      </w:r>
      <w:r>
        <w:t xml:space="preserve"> </w:t>
      </w:r>
      <w:r>
        <w:rPr>
          <w:b/>
          <w:bCs/>
        </w:rPr>
        <w:t xml:space="preserve">cibles de conception</w:t>
      </w:r>
      <w:r>
        <w:t xml:space="preserve"> </w:t>
      </w:r>
      <w:r>
        <w:t xml:space="preserve">; les cibles de performance opposables seront fixées après mesure de la base de référence (chapitre 38) et approuvées par le Comité de pilotage.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w:t>
            </w:r>
          </w:p>
        </w:tc>
        <w:tc>
          <w:tcPr>
            <w:shd w:val="clear" w:color="auto" w:fill="232C6B"/>
          </w:tcPr>
          <w:p>
            <w:pPr>
              <w:pStyle w:val="Compact"/>
            </w:pPr>
            <w:r>
              <w:rPr>
                <w:b/>
                <w:color w:val="FFFFFF"/>
                <w:sz w:val="17"/>
              </w:rPr>
              <w:t xml:space="preserve">Objectif</w:t>
            </w:r>
          </w:p>
        </w:tc>
        <w:tc>
          <w:tcPr>
            <w:shd w:val="clear" w:color="auto" w:fill="232C6B"/>
          </w:tcPr>
          <w:p>
            <w:pPr>
              <w:pStyle w:val="Compact"/>
            </w:pPr>
            <w:r>
              <w:rPr>
                <w:b/>
                <w:color w:val="FFFFFF"/>
                <w:sz w:val="17"/>
              </w:rPr>
              <w:t xml:space="preserve">Indicateur principal</w:t>
            </w:r>
          </w:p>
        </w:tc>
        <w:tc>
          <w:tcPr>
            <w:shd w:val="clear" w:color="auto" w:fill="232C6B"/>
          </w:tcPr>
          <w:p>
            <w:pPr>
              <w:pStyle w:val="Compact"/>
            </w:pPr>
            <w:r>
              <w:rPr>
                <w:b/>
                <w:color w:val="FFFFFF"/>
                <w:sz w:val="17"/>
              </w:rPr>
              <w:t xml:space="preserve">Cible de conception</w:t>
            </w:r>
          </w:p>
        </w:tc>
      </w:tr>
      <w:tr>
        <w:tc>
          <w:tcPr/>
          <w:p>
            <w:pPr>
              <w:pStyle w:val="Compact"/>
            </w:pPr>
            <w:r>
              <w:rPr>
                <w:sz w:val="17"/>
              </w:rPr>
              <w:t xml:space="preserve">O1</w:t>
            </w:r>
          </w:p>
        </w:tc>
        <w:tc>
          <w:tcPr/>
          <w:p>
            <w:pPr>
              <w:pStyle w:val="Compact"/>
            </w:pPr>
            <w:r>
              <w:rPr>
                <w:sz w:val="17"/>
              </w:rPr>
              <w:t xml:space="preserve">Constituer un registre géolocalisé des objets générateurs de recettes, commune par commune</w:t>
            </w:r>
          </w:p>
        </w:tc>
        <w:tc>
          <w:tcPr/>
          <w:p>
            <w:pPr>
              <w:pStyle w:val="Compact"/>
            </w:pPr>
            <w:r>
              <w:rPr>
                <w:sz w:val="17"/>
              </w:rPr>
              <w:t xml:space="preserve">Couverture du recensement dans les zones pilotes</w:t>
            </w:r>
          </w:p>
        </w:tc>
        <w:tc>
          <w:tcPr/>
          <w:p>
            <w:pPr>
              <w:pStyle w:val="Compact"/>
            </w:pPr>
            <w:r>
              <w:rPr>
                <w:sz w:val="17"/>
              </w:rPr>
              <w:t xml:space="preserve">≥ 90 % des parcelles des quartiers pilotes à J+180</w:t>
            </w:r>
          </w:p>
        </w:tc>
      </w:tr>
      <w:tr>
        <w:tc>
          <w:tcPr>
            <w:shd w:val="clear" w:color="auto" w:fill="F5F7FB"/>
          </w:tcPr>
          <w:p>
            <w:pPr>
              <w:pStyle w:val="Compact"/>
            </w:pPr>
            <w:r>
              <w:rPr>
                <w:sz w:val="17"/>
              </w:rPr>
              <w:t xml:space="preserve">O2</w:t>
            </w:r>
          </w:p>
        </w:tc>
        <w:tc>
          <w:tcPr>
            <w:shd w:val="clear" w:color="auto" w:fill="F5F7FB"/>
          </w:tcPr>
          <w:p>
            <w:pPr>
              <w:pStyle w:val="Compact"/>
            </w:pPr>
            <w:r>
              <w:rPr>
                <w:sz w:val="17"/>
              </w:rPr>
              <w:t xml:space="preserve">Attribuer une identité fiscale unique à chaque contribuable, reliée à tous ses objets et rôles</w:t>
            </w:r>
          </w:p>
        </w:tc>
        <w:tc>
          <w:tcPr>
            <w:shd w:val="clear" w:color="auto" w:fill="F5F7FB"/>
          </w:tcPr>
          <w:p>
            <w:pPr>
              <w:pStyle w:val="Compact"/>
            </w:pPr>
            <w:r>
              <w:rPr>
                <w:sz w:val="17"/>
              </w:rPr>
              <w:t xml:space="preserve">Taux d’objets rattachés à un compte vérifié (N2+)</w:t>
            </w:r>
          </w:p>
        </w:tc>
        <w:tc>
          <w:tcPr>
            <w:shd w:val="clear" w:color="auto" w:fill="F5F7FB"/>
          </w:tcPr>
          <w:p>
            <w:pPr>
              <w:pStyle w:val="Compact"/>
            </w:pPr>
            <w:r>
              <w:rPr>
                <w:sz w:val="17"/>
              </w:rPr>
              <w:t xml:space="preserve">≥ 70 % des objets recensés à J+180</w:t>
            </w:r>
          </w:p>
        </w:tc>
      </w:tr>
      <w:tr>
        <w:tc>
          <w:tcPr/>
          <w:p>
            <w:pPr>
              <w:pStyle w:val="Compact"/>
            </w:pPr>
            <w:r>
              <w:rPr>
                <w:sz w:val="17"/>
              </w:rPr>
              <w:t xml:space="preserve">O3</w:t>
            </w:r>
          </w:p>
        </w:tc>
        <w:tc>
          <w:tcPr/>
          <w:p>
            <w:pPr>
              <w:pStyle w:val="Compact"/>
            </w:pPr>
            <w:r>
              <w:rPr>
                <w:sz w:val="17"/>
              </w:rPr>
              <w:t xml:space="preserve">Fonder chaque obligation sur une règle certifiée, datée et versionnée</w:t>
            </w:r>
          </w:p>
        </w:tc>
        <w:tc>
          <w:tcPr/>
          <w:p>
            <w:pPr>
              <w:pStyle w:val="Compact"/>
            </w:pPr>
            <w:r>
              <w:rPr>
                <w:sz w:val="17"/>
              </w:rPr>
              <w:t xml:space="preserve">Obligations émises sans règle active</w:t>
            </w:r>
          </w:p>
        </w:tc>
        <w:tc>
          <w:tcPr/>
          <w:p>
            <w:pPr>
              <w:pStyle w:val="Compact"/>
            </w:pPr>
            <w:r>
              <w:rPr>
                <w:sz w:val="17"/>
              </w:rPr>
              <w:t xml:space="preserve">0 (contrôle bloquant)</w:t>
            </w:r>
          </w:p>
        </w:tc>
      </w:tr>
      <w:tr>
        <w:tc>
          <w:tcPr>
            <w:shd w:val="clear" w:color="auto" w:fill="F5F7FB"/>
          </w:tcPr>
          <w:p>
            <w:pPr>
              <w:pStyle w:val="Compact"/>
            </w:pPr>
            <w:r>
              <w:rPr>
                <w:sz w:val="17"/>
              </w:rPr>
              <w:t xml:space="preserve">O4</w:t>
            </w:r>
          </w:p>
        </w:tc>
        <w:tc>
          <w:tcPr>
            <w:shd w:val="clear" w:color="auto" w:fill="F5F7FB"/>
          </w:tcPr>
          <w:p>
            <w:pPr>
              <w:pStyle w:val="Compact"/>
            </w:pPr>
            <w:r>
              <w:rPr>
                <w:sz w:val="17"/>
              </w:rPr>
              <w:t xml:space="preserve">Rendre dominant l’encaissement électronique vers les comptes publics</w:t>
            </w:r>
          </w:p>
        </w:tc>
        <w:tc>
          <w:tcPr>
            <w:shd w:val="clear" w:color="auto" w:fill="F5F7FB"/>
          </w:tcPr>
          <w:p>
            <w:pPr>
              <w:pStyle w:val="Compact"/>
            </w:pPr>
            <w:r>
              <w:rPr>
                <w:sz w:val="17"/>
              </w:rPr>
              <w:t xml:space="preserve">Part des encaissements électroniques dans les flux couverts</w:t>
            </w:r>
          </w:p>
        </w:tc>
        <w:tc>
          <w:tcPr>
            <w:shd w:val="clear" w:color="auto" w:fill="F5F7FB"/>
          </w:tcPr>
          <w:p>
            <w:pPr>
              <w:pStyle w:val="Compact"/>
            </w:pPr>
            <w:r>
              <w:rPr>
                <w:sz w:val="17"/>
              </w:rPr>
              <w:t xml:space="preserve">&gt; 80 % dans les flux couverts 18 mois après le pilote</w:t>
            </w:r>
          </w:p>
        </w:tc>
      </w:tr>
      <w:tr>
        <w:tc>
          <w:tcPr/>
          <w:p>
            <w:pPr>
              <w:pStyle w:val="Compact"/>
            </w:pPr>
            <w:r>
              <w:rPr>
                <w:sz w:val="17"/>
              </w:rPr>
              <w:t xml:space="preserve">O5</w:t>
            </w:r>
          </w:p>
        </w:tc>
        <w:tc>
          <w:tcPr/>
          <w:p>
            <w:pPr>
              <w:pStyle w:val="Compact"/>
            </w:pPr>
            <w:r>
              <w:rPr>
                <w:sz w:val="17"/>
              </w:rPr>
              <w:t xml:space="preserve">Raccourcir la chaîne paiement → quittance → rapprochement</w:t>
            </w:r>
          </w:p>
        </w:tc>
        <w:tc>
          <w:tcPr/>
          <w:p>
            <w:pPr>
              <w:pStyle w:val="Compact"/>
            </w:pPr>
            <w:r>
              <w:rPr>
                <w:sz w:val="17"/>
              </w:rPr>
              <w:t xml:space="preserve">Délai confirmation → quittance ; délai règlement → rapprochement</w:t>
            </w:r>
          </w:p>
        </w:tc>
        <w:tc>
          <w:tcPr/>
          <w:p>
            <w:pPr>
              <w:pStyle w:val="Compact"/>
            </w:pPr>
            <w:r>
              <w:rPr>
                <w:sz w:val="17"/>
              </w:rPr>
              <w:t xml:space="preserve">&lt; 1 minute ; &lt; 24 heures ouvrées</w:t>
            </w:r>
          </w:p>
        </w:tc>
      </w:tr>
      <w:tr>
        <w:tc>
          <w:tcPr>
            <w:shd w:val="clear" w:color="auto" w:fill="F5F7FB"/>
          </w:tcPr>
          <w:p>
            <w:pPr>
              <w:pStyle w:val="Compact"/>
            </w:pPr>
            <w:r>
              <w:rPr>
                <w:sz w:val="17"/>
              </w:rPr>
              <w:t xml:space="preserve">O6</w:t>
            </w:r>
          </w:p>
        </w:tc>
        <w:tc>
          <w:tcPr>
            <w:shd w:val="clear" w:color="auto" w:fill="F5F7FB"/>
          </w:tcPr>
          <w:p>
            <w:pPr>
              <w:pStyle w:val="Compact"/>
            </w:pPr>
            <w:r>
              <w:rPr>
                <w:sz w:val="17"/>
              </w:rPr>
              <w:t xml:space="preserve">Supprimer la manipulation d’espèces par les agents dans les circuits couverts</w:t>
            </w:r>
          </w:p>
        </w:tc>
        <w:tc>
          <w:tcPr>
            <w:shd w:val="clear" w:color="auto" w:fill="F5F7FB"/>
          </w:tcPr>
          <w:p>
            <w:pPr>
              <w:pStyle w:val="Compact"/>
            </w:pPr>
            <w:r>
              <w:rPr>
                <w:sz w:val="17"/>
              </w:rPr>
              <w:t xml:space="preserve">Encaissements hors canal agréé détectés</w:t>
            </w:r>
          </w:p>
        </w:tc>
        <w:tc>
          <w:tcPr>
            <w:shd w:val="clear" w:color="auto" w:fill="F5F7FB"/>
          </w:tcPr>
          <w:p>
            <w:pPr>
              <w:pStyle w:val="Compact"/>
            </w:pPr>
            <w:r>
              <w:rPr>
                <w:sz w:val="17"/>
              </w:rPr>
              <w:t xml:space="preserve">0 toléré ; chaque cas instruit</w:t>
            </w:r>
          </w:p>
        </w:tc>
      </w:tr>
      <w:tr>
        <w:tc>
          <w:tcPr/>
          <w:p>
            <w:pPr>
              <w:pStyle w:val="Compact"/>
            </w:pPr>
            <w:r>
              <w:rPr>
                <w:sz w:val="17"/>
              </w:rPr>
              <w:t xml:space="preserve">O7</w:t>
            </w:r>
          </w:p>
        </w:tc>
        <w:tc>
          <w:tcPr/>
          <w:p>
            <w:pPr>
              <w:pStyle w:val="Compact"/>
            </w:pPr>
            <w:r>
              <w:rPr>
                <w:sz w:val="17"/>
              </w:rPr>
              <w:t xml:space="preserve">Réduire la déperdition mesurable</w:t>
            </w:r>
          </w:p>
        </w:tc>
        <w:tc>
          <w:tcPr/>
          <w:p>
            <w:pPr>
              <w:pStyle w:val="Compact"/>
            </w:pPr>
            <w:r>
              <w:rPr>
                <w:sz w:val="17"/>
              </w:rPr>
              <w:t xml:space="preserve">Paiements non rapprochés à J+3 ; annulations non justifiées</w:t>
            </w:r>
          </w:p>
        </w:tc>
        <w:tc>
          <w:tcPr/>
          <w:p>
            <w:pPr>
              <w:pStyle w:val="Compact"/>
            </w:pPr>
            <w:r>
              <w:rPr>
                <w:sz w:val="17"/>
              </w:rPr>
              <w:t xml:space="preserve">&lt; 1 % ; 0</w:t>
            </w:r>
          </w:p>
        </w:tc>
      </w:tr>
      <w:tr>
        <w:tc>
          <w:tcPr>
            <w:shd w:val="clear" w:color="auto" w:fill="F5F7FB"/>
          </w:tcPr>
          <w:p>
            <w:pPr>
              <w:pStyle w:val="Compact"/>
            </w:pPr>
            <w:r>
              <w:rPr>
                <w:sz w:val="17"/>
              </w:rPr>
              <w:t xml:space="preserve">O8</w:t>
            </w:r>
          </w:p>
        </w:tc>
        <w:tc>
          <w:tcPr>
            <w:shd w:val="clear" w:color="auto" w:fill="F5F7FB"/>
          </w:tcPr>
          <w:p>
            <w:pPr>
              <w:pStyle w:val="Compact"/>
            </w:pPr>
            <w:r>
              <w:rPr>
                <w:sz w:val="17"/>
              </w:rPr>
              <w:t xml:space="preserve">Donner à l’exécutif une vision exacte, en temps réel, de l’échelle de la recette</w:t>
            </w:r>
          </w:p>
        </w:tc>
        <w:tc>
          <w:tcPr>
            <w:shd w:val="clear" w:color="auto" w:fill="F5F7FB"/>
          </w:tcPr>
          <w:p>
            <w:pPr>
              <w:pStyle w:val="Compact"/>
            </w:pPr>
            <w:r>
              <w:rPr>
                <w:sz w:val="17"/>
              </w:rPr>
              <w:t xml:space="preserve">Fraîcheur des données du tableau de bord</w:t>
            </w:r>
          </w:p>
        </w:tc>
        <w:tc>
          <w:tcPr>
            <w:shd w:val="clear" w:color="auto" w:fill="F5F7FB"/>
          </w:tcPr>
          <w:p>
            <w:pPr>
              <w:pStyle w:val="Compact"/>
            </w:pPr>
            <w:r>
              <w:rPr>
                <w:sz w:val="17"/>
              </w:rPr>
              <w:t xml:space="preserve">&lt; 15 minutes pour les flux électroniques</w:t>
            </w:r>
          </w:p>
        </w:tc>
      </w:tr>
      <w:tr>
        <w:tc>
          <w:tcPr/>
          <w:p>
            <w:pPr>
              <w:pStyle w:val="Compact"/>
            </w:pPr>
            <w:r>
              <w:rPr>
                <w:sz w:val="17"/>
              </w:rPr>
              <w:t xml:space="preserve">O9</w:t>
            </w:r>
          </w:p>
        </w:tc>
        <w:tc>
          <w:tcPr/>
          <w:p>
            <w:pPr>
              <w:pStyle w:val="Compact"/>
            </w:pPr>
            <w:r>
              <w:rPr>
                <w:sz w:val="17"/>
              </w:rPr>
              <w:t xml:space="preserve">Relier recettes encaissées et réalisations publiques</w:t>
            </w:r>
          </w:p>
        </w:tc>
        <w:tc>
          <w:tcPr/>
          <w:p>
            <w:pPr>
              <w:pStyle w:val="Compact"/>
            </w:pPr>
            <w:r>
              <w:rPr>
                <w:sz w:val="17"/>
              </w:rPr>
              <w:t xml:space="preserve">Publication du tableau de transparence</w:t>
            </w:r>
          </w:p>
        </w:tc>
        <w:tc>
          <w:tcPr/>
          <w:p>
            <w:pPr>
              <w:pStyle w:val="Compact"/>
            </w:pPr>
            <w:r>
              <w:rPr>
                <w:sz w:val="17"/>
              </w:rPr>
              <w:t xml:space="preserve">Trimestrielle dès la fin du pilote</w:t>
            </w:r>
          </w:p>
        </w:tc>
      </w:tr>
      <w:tr>
        <w:tc>
          <w:tcPr>
            <w:shd w:val="clear" w:color="auto" w:fill="F5F7FB"/>
          </w:tcPr>
          <w:p>
            <w:pPr>
              <w:pStyle w:val="Compact"/>
            </w:pPr>
            <w:r>
              <w:rPr>
                <w:sz w:val="17"/>
              </w:rPr>
              <w:t xml:space="preserve">O10</w:t>
            </w:r>
          </w:p>
        </w:tc>
        <w:tc>
          <w:tcPr>
            <w:shd w:val="clear" w:color="auto" w:fill="F5F7FB"/>
          </w:tcPr>
          <w:p>
            <w:pPr>
              <w:pStyle w:val="Compact"/>
            </w:pPr>
            <w:r>
              <w:rPr>
                <w:sz w:val="17"/>
              </w:rPr>
              <w:t xml:space="preserve">Améliorer l’environnement de travail des agents publics</w:t>
            </w:r>
          </w:p>
        </w:tc>
        <w:tc>
          <w:tcPr>
            <w:shd w:val="clear" w:color="auto" w:fill="F5F7FB"/>
          </w:tcPr>
          <w:p>
            <w:pPr>
              <w:pStyle w:val="Compact"/>
            </w:pPr>
            <w:r>
              <w:rPr>
                <w:sz w:val="17"/>
              </w:rPr>
              <w:t xml:space="preserve">Taux de certification ; satisfaction ; temps de traitement</w:t>
            </w:r>
          </w:p>
        </w:tc>
        <w:tc>
          <w:tcPr>
            <w:shd w:val="clear" w:color="auto" w:fill="F5F7FB"/>
          </w:tcPr>
          <w:p>
            <w:pPr>
              <w:pStyle w:val="Compact"/>
            </w:pPr>
            <w:r>
              <w:rPr>
                <w:sz w:val="17"/>
              </w:rPr>
              <w:t xml:space="preserve">Tous les agents actifs certifiés ; baisse mesurée du temps de traitement</w:t>
            </w:r>
          </w:p>
        </w:tc>
      </w:tr>
      <w:tr>
        <w:tc>
          <w:tcPr/>
          <w:p>
            <w:pPr>
              <w:pStyle w:val="Compact"/>
            </w:pPr>
            <w:r>
              <w:rPr>
                <w:sz w:val="17"/>
              </w:rPr>
              <w:t xml:space="preserve">O11</w:t>
            </w:r>
          </w:p>
        </w:tc>
        <w:tc>
          <w:tcPr/>
          <w:p>
            <w:pPr>
              <w:pStyle w:val="Compact"/>
            </w:pPr>
            <w:r>
              <w:rPr>
                <w:sz w:val="17"/>
              </w:rPr>
              <w:t xml:space="preserve">Protéger les droits des contribuables</w:t>
            </w:r>
          </w:p>
        </w:tc>
        <w:tc>
          <w:tcPr/>
          <w:p>
            <w:pPr>
              <w:pStyle w:val="Compact"/>
            </w:pPr>
            <w:r>
              <w:rPr>
                <w:sz w:val="17"/>
              </w:rPr>
              <w:t xml:space="preserve">Délai moyen de traitement des recours ; taux de recours fondés</w:t>
            </w:r>
          </w:p>
        </w:tc>
        <w:tc>
          <w:tcPr/>
          <w:p>
            <w:pPr>
              <w:pStyle w:val="Compact"/>
            </w:pPr>
            <w:r>
              <w:rPr>
                <w:sz w:val="17"/>
              </w:rPr>
              <w:t xml:space="preserve">Dans le délai légal ; suivi public agrégé</w:t>
            </w:r>
          </w:p>
        </w:tc>
      </w:tr>
      <w:tr>
        <w:tc>
          <w:tcPr>
            <w:shd w:val="clear" w:color="auto" w:fill="F5F7FB"/>
          </w:tcPr>
          <w:p>
            <w:pPr>
              <w:pStyle w:val="Compact"/>
            </w:pPr>
            <w:r>
              <w:rPr>
                <w:sz w:val="17"/>
              </w:rPr>
              <w:t xml:space="preserve">O12</w:t>
            </w:r>
          </w:p>
        </w:tc>
        <w:tc>
          <w:tcPr>
            <w:shd w:val="clear" w:color="auto" w:fill="F5F7FB"/>
          </w:tcPr>
          <w:p>
            <w:pPr>
              <w:pStyle w:val="Compact"/>
            </w:pPr>
            <w:r>
              <w:rPr>
                <w:sz w:val="17"/>
              </w:rPr>
              <w:t xml:space="preserve">Garantir la souveraineté et la réversibilité</w:t>
            </w:r>
          </w:p>
        </w:tc>
        <w:tc>
          <w:tcPr>
            <w:shd w:val="clear" w:color="auto" w:fill="F5F7FB"/>
          </w:tcPr>
          <w:p>
            <w:pPr>
              <w:pStyle w:val="Compact"/>
            </w:pPr>
            <w:r>
              <w:rPr>
                <w:sz w:val="17"/>
              </w:rPr>
              <w:t xml:space="preserve">Exercice de réversibilité réussi</w:t>
            </w:r>
          </w:p>
        </w:tc>
        <w:tc>
          <w:tcPr>
            <w:shd w:val="clear" w:color="auto" w:fill="F5F7FB"/>
          </w:tcPr>
          <w:p>
            <w:pPr>
              <w:pStyle w:val="Compact"/>
            </w:pPr>
            <w:r>
              <w:rPr>
                <w:sz w:val="17"/>
              </w:rPr>
              <w:t xml:space="preserve">Un exercice complet avant la généralisation</w:t>
            </w:r>
          </w:p>
        </w:tc>
      </w:tr>
    </w:tbl>
    <w:bookmarkEnd w:id="34"/>
    <w:bookmarkStart w:id="60" w:name="analyse-juridique-et-réglementaire"/>
    <w:p>
      <w:pPr>
        <w:pStyle w:val="Heading1"/>
      </w:pPr>
      <w:r>
        <w:t xml:space="preserve">6. Analyse juridique et réglementaire</w:t>
      </w:r>
    </w:p>
    <w:p>
      <w:pPr>
        <w:pStyle w:val="FirstParagraph"/>
      </w:pPr>
      <w:r>
        <w:t xml:space="preserve">Ce chapitre fixe le cadre dans lequel le référentiel juridique de KINSHASA MOSOLO peut être paramétré. Il distingue ce qui est établi, ce qui doit être vérifié sur le texte officiel avant toute mise en production, et ce qui exige un acte nouveau.</w:t>
      </w:r>
      <w:r>
        <w:t xml:space="preserve"> </w:t>
      </w:r>
      <w:r>
        <w:rPr>
          <w:b/>
          <w:bCs/>
        </w:rPr>
        <w:t xml:space="preserve">Il ne constitue pas un avis juridique</w:t>
      </w:r>
      <w:r>
        <w:t xml:space="preserve"> </w:t>
      </w:r>
      <w:r>
        <w:t xml:space="preserve">: il prépare le relevé juridique certifié que les services juridiques provinciaux doivent produire (décision n° 3, chapitre 47).</w:t>
      </w:r>
    </w:p>
    <w:bookmarkStart w:id="35" w:name="méthode-sources-et-limites"/>
    <w:p>
      <w:pPr>
        <w:pStyle w:val="Heading2"/>
      </w:pPr>
      <w:r>
        <w:t xml:space="preserve">6.1 Méthode, sources et limites</w:t>
      </w:r>
    </w:p>
    <w:p>
      <w:pPr>
        <w:pStyle w:val="FirstParagraph"/>
      </w:pPr>
      <w:r>
        <w:t xml:space="preserve">La revue a été conduite en septembre 2026 sur des sources publiques : Journal officiel et bases de législation congolaises, sites institutionnels (Banque Centrale du Congo, Cour des comptes, DGI, ARMP), bases internationales (FAOLEX/ECOLEX, PNUE), rapports du FMI et de la Banque mondiale, presse économique congolaise.</w:t>
      </w:r>
      <w:r>
        <w:t xml:space="preserve"> </w:t>
      </w:r>
      <w:r>
        <w:rPr>
          <w:b/>
          <w:bCs/>
        </w:rPr>
        <w:t xml:space="preserve">Limite importante</w:t>
      </w:r>
      <w:r>
        <w:t xml:space="preserve"> </w:t>
      </w:r>
      <w:r>
        <w:t xml:space="preserve">: plusieurs bases de textes congolaises n’ont pas pu être consultées en texte intégral pendant la revue ; les éléments marqués [CONFIRMÉ] l’ont été par recoupement de sources publiques identifiées, mais</w:t>
      </w:r>
      <w:r>
        <w:t xml:space="preserve"> </w:t>
      </w:r>
      <w:r>
        <w:rPr>
          <w:b/>
          <w:bCs/>
        </w:rPr>
        <w:t xml:space="preserve">aucun numéro d’article ni aucun taux ne doit être paramétré sans lecture du texte officiel publié</w:t>
      </w:r>
      <w:r>
        <w:t xml:space="preserve"> </w:t>
      </w:r>
      <w:r>
        <w:t xml:space="preserve">par le juriste certificateur. L’Annexe A liste chaque affirmation, sa source et son niveau de confiance.</w:t>
      </w:r>
    </w:p>
    <w:p>
      <w:pPr>
        <w:pStyle w:val="BodyText"/>
      </w:pPr>
      <w:r>
        <w:rPr>
          <w:b/>
          <w:bCs/>
        </w:rPr>
        <w:t xml:space="preserve">Conséquence de conception.</w:t>
      </w:r>
      <w:r>
        <w:t xml:space="preserve"> </w:t>
      </w:r>
      <w:r>
        <w:t xml:space="preserve">Le registre juridique de la plateforme (module 26) ne peut contenir qu’une copie numérisée et hachée du texte officiel comme pièce justificative de chaque règle. Une règle dont la pièce justificative est une coupure de presse ou un document de travail reste au statut</w:t>
      </w:r>
      <w:r>
        <w:t xml:space="preserve"> </w:t>
      </w:r>
      <w:r>
        <w:rPr>
          <w:rStyle w:val="VerbatimChar"/>
        </w:rPr>
        <w:t xml:space="preserve">A_VERIFIER</w:t>
      </w:r>
      <w:r>
        <w:t xml:space="preserve"> </w:t>
      </w:r>
      <w:r>
        <w:t xml:space="preserve">et ne peut produire aucune obligation.</w:t>
      </w:r>
    </w:p>
    <w:bookmarkEnd w:id="35"/>
    <w:bookmarkStart w:id="36" w:name="hiérarchie-des-normes-applicables"/>
    <w:p>
      <w:pPr>
        <w:pStyle w:val="Heading2"/>
      </w:pPr>
      <w:r>
        <w:t xml:space="preserve">6.2 Hiérarchie des normes applicables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584"/>
        <w:gridCol w:w="1584"/>
        <w:gridCol w:w="1584"/>
        <w:gridCol w:w="1584"/>
        <w:gridCol w:w="1584"/>
      </w:tblGrid>
      <w:tr>
        <w:trPr>
          <w:tblHeader w:val="on"/>
        </w:trPr>
        <w:tc>
          <w:tcPr>
            <w:shd w:val="clear" w:color="auto" w:fill="232C6B"/>
          </w:tcPr>
          <w:p>
            <w:pPr>
              <w:pStyle w:val="Compact"/>
            </w:pPr>
            <w:r>
              <w:rPr>
                <w:b/>
                <w:color w:val="FFFFFF"/>
                <w:sz w:val="17"/>
              </w:rPr>
              <w:t xml:space="preserve">Niveau</w:t>
            </w:r>
          </w:p>
        </w:tc>
        <w:tc>
          <w:tcPr>
            <w:shd w:val="clear" w:color="auto" w:fill="232C6B"/>
          </w:tcPr>
          <w:p>
            <w:pPr>
              <w:pStyle w:val="Compact"/>
            </w:pPr>
            <w:r>
              <w:rPr>
                <w:b/>
                <w:color w:val="FFFFFF"/>
                <w:sz w:val="17"/>
              </w:rPr>
              <w:t xml:space="preserve">Texte</w:t>
            </w:r>
          </w:p>
        </w:tc>
        <w:tc>
          <w:tcPr>
            <w:shd w:val="clear" w:color="auto" w:fill="232C6B"/>
          </w:tcPr>
          <w:p>
            <w:pPr>
              <w:pStyle w:val="Compact"/>
            </w:pPr>
            <w:r>
              <w:rPr>
                <w:b/>
                <w:color w:val="FFFFFF"/>
                <w:sz w:val="17"/>
              </w:rPr>
              <w:t xml:space="preserve">Objet utile à MOSOLO</w:t>
            </w:r>
          </w:p>
        </w:tc>
        <w:tc>
          <w:tcPr>
            <w:shd w:val="clear" w:color="auto" w:fill="232C6B"/>
          </w:tcPr>
          <w:p>
            <w:pPr>
              <w:pStyle w:val="Compact"/>
            </w:pPr>
            <w:r>
              <w:rPr>
                <w:b/>
                <w:color w:val="FFFFFF"/>
                <w:sz w:val="17"/>
              </w:rPr>
              <w:t xml:space="preserve">Statut</w:t>
            </w:r>
          </w:p>
        </w:tc>
        <w:tc>
          <w:tcPr>
            <w:shd w:val="clear" w:color="auto" w:fill="232C6B"/>
          </w:tcPr>
          <w:p>
            <w:pPr>
              <w:pStyle w:val="Compact"/>
            </w:pPr>
            <w:r>
              <w:rPr>
                <w:b/>
                <w:color w:val="FFFFFF"/>
                <w:sz w:val="17"/>
              </w:rPr>
              <w:t xml:space="preserve">Conséquence pour la plateforme</w:t>
            </w:r>
          </w:p>
        </w:tc>
      </w:tr>
      <w:tr>
        <w:tc>
          <w:tcPr/>
          <w:p>
            <w:pPr>
              <w:pStyle w:val="Compact"/>
            </w:pPr>
            <w:r>
              <w:rPr>
                <w:sz w:val="17"/>
              </w:rPr>
              <w:t xml:space="preserve">Constitution</w:t>
            </w:r>
          </w:p>
        </w:tc>
        <w:tc>
          <w:tcPr/>
          <w:p>
            <w:pPr>
              <w:pStyle w:val="Compact"/>
            </w:pPr>
            <w:r>
              <w:rPr>
                <w:sz w:val="17"/>
              </w:rPr>
              <w:t xml:space="preserve">Constitution du 18 février 2006, révisée par la loi du 20 janvier 2011 —</w:t>
            </w:r>
            <w:r>
              <w:rPr>
                <w:sz w:val="17"/>
              </w:rPr>
              <w:t xml:space="preserve"> </w:t>
            </w:r>
            <w:r>
              <w:rPr>
                <w:b/>
                <w:bCs/>
                <w:sz w:val="17"/>
              </w:rPr>
              <w:t xml:space="preserve">art. 171</w:t>
            </w:r>
          </w:p>
        </w:tc>
        <w:tc>
          <w:tcPr/>
          <w:p>
            <w:pPr>
              <w:pStyle w:val="Compact"/>
            </w:pPr>
            <w:r>
              <w:rPr>
                <w:sz w:val="17"/>
              </w:rPr>
              <w:t xml:space="preserve">« Les finances du pouvoir central et celles des provinces sont distinctes »</w:t>
            </w:r>
          </w:p>
        </w:tc>
        <w:tc>
          <w:tcPr/>
          <w:p>
            <w:pPr>
              <w:pStyle w:val="Compact"/>
            </w:pPr>
            <w:r>
              <w:rPr>
                <w:sz w:val="17"/>
              </w:rPr>
              <w:t xml:space="preserve">[CONFIRMÉ]</w:t>
            </w:r>
          </w:p>
        </w:tc>
        <w:tc>
          <w:tcPr/>
          <w:p>
            <w:pPr>
              <w:pStyle w:val="Compact"/>
            </w:pPr>
            <w:r>
              <w:rPr>
                <w:sz w:val="17"/>
              </w:rPr>
              <w:t xml:space="preserve">Comptes, grands livres et tableaux de bord séparés entre recettes provinciales et centrales</w:t>
            </w:r>
          </w:p>
        </w:tc>
      </w:tr>
      <w:tr>
        <w:tc>
          <w:tcPr>
            <w:shd w:val="clear" w:color="auto" w:fill="F5F7FB"/>
          </w:tcPr>
          <w:p>
            <w:pPr>
              <w:pStyle w:val="Compact"/>
            </w:pPr>
            <w:r>
              <w:rPr>
                <w:sz w:val="17"/>
              </w:rPr>
              <w:t xml:space="preserve">Constitution</w:t>
            </w:r>
          </w:p>
        </w:tc>
        <w:tc>
          <w:tcPr>
            <w:shd w:val="clear" w:color="auto" w:fill="F5F7FB"/>
          </w:tcPr>
          <w:p>
            <w:pPr>
              <w:pStyle w:val="Compact"/>
            </w:pPr>
            <w:r>
              <w:rPr>
                <w:b/>
                <w:bCs/>
                <w:sz w:val="17"/>
              </w:rPr>
              <w:t xml:space="preserve">Art. 174</w:t>
            </w:r>
          </w:p>
        </w:tc>
        <w:tc>
          <w:tcPr>
            <w:shd w:val="clear" w:color="auto" w:fill="F5F7FB"/>
          </w:tcPr>
          <w:p>
            <w:pPr>
              <w:pStyle w:val="Compact"/>
            </w:pPr>
            <w:r>
              <w:rPr>
                <w:sz w:val="17"/>
              </w:rPr>
              <w:t xml:space="preserve">Principe de légalité de l’impôt (« il ne peut être établi d’impôts que par la loi »)</w:t>
            </w:r>
          </w:p>
        </w:tc>
        <w:tc>
          <w:tcPr>
            <w:shd w:val="clear" w:color="auto" w:fill="F5F7FB"/>
          </w:tcPr>
          <w:p>
            <w:pPr>
              <w:pStyle w:val="Compact"/>
            </w:pPr>
            <w:r>
              <w:rPr>
                <w:sz w:val="17"/>
              </w:rPr>
              <w:t xml:space="preserve">[CONFIRMÉ pour le principe ; texte intégral À VÉRIFIER]</w:t>
            </w:r>
          </w:p>
        </w:tc>
        <w:tc>
          <w:tcPr>
            <w:shd w:val="clear" w:color="auto" w:fill="F5F7FB"/>
          </w:tcPr>
          <w:p>
            <w:pPr>
              <w:pStyle w:val="Compact"/>
            </w:pPr>
            <w:r>
              <w:rPr>
                <w:sz w:val="17"/>
              </w:rPr>
              <w:t xml:space="preserve">Une province ne peut pas créer librement un impôt hors du cadre légal ; toute nouvelle recette doit s’inscrire dans une nomenclature légale ou dans une loi</w:t>
            </w:r>
          </w:p>
        </w:tc>
      </w:tr>
      <w:tr>
        <w:tc>
          <w:tcPr/>
          <w:p>
            <w:pPr>
              <w:pStyle w:val="Compact"/>
            </w:pPr>
            <w:r>
              <w:rPr>
                <w:sz w:val="17"/>
              </w:rPr>
              <w:t xml:space="preserve">Constitution</w:t>
            </w:r>
          </w:p>
        </w:tc>
        <w:tc>
          <w:tcPr/>
          <w:p>
            <w:pPr>
              <w:pStyle w:val="Compact"/>
            </w:pPr>
            <w:r>
              <w:rPr>
                <w:b/>
                <w:bCs/>
                <w:sz w:val="17"/>
              </w:rPr>
              <w:t xml:space="preserve">Art. 175</w:t>
            </w:r>
          </w:p>
        </w:tc>
        <w:tc>
          <w:tcPr/>
          <w:p>
            <w:pPr>
              <w:pStyle w:val="Compact"/>
            </w:pPr>
            <w:r>
              <w:rPr>
                <w:sz w:val="17"/>
              </w:rPr>
              <w:t xml:space="preserve">40 % des recettes à caractère national allouées aux provinces, retenus à la source</w:t>
            </w:r>
          </w:p>
        </w:tc>
        <w:tc>
          <w:tcPr/>
          <w:p>
            <w:pPr>
              <w:pStyle w:val="Compact"/>
            </w:pPr>
            <w:r>
              <w:rPr>
                <w:sz w:val="17"/>
              </w:rPr>
              <w:t xml:space="preserve">[CONFIRMÉ]</w:t>
            </w:r>
          </w:p>
        </w:tc>
        <w:tc>
          <w:tcPr/>
          <w:p>
            <w:pPr>
              <w:pStyle w:val="Compact"/>
            </w:pPr>
            <w:r>
              <w:rPr>
                <w:sz w:val="17"/>
              </w:rPr>
              <w:t xml:space="preserve">Hors périmètre de liquidation de MOSOLO ; peut être suivi comme ressource dans le module d’affectation (ch. 27)</w:t>
            </w:r>
          </w:p>
        </w:tc>
      </w:tr>
      <w:tr>
        <w:tc>
          <w:tcPr>
            <w:shd w:val="clear" w:color="auto" w:fill="F5F7FB"/>
          </w:tcPr>
          <w:p>
            <w:pPr>
              <w:pStyle w:val="Compact"/>
            </w:pPr>
            <w:r>
              <w:rPr>
                <w:sz w:val="17"/>
              </w:rPr>
              <w:t xml:space="preserve">Constitution</w:t>
            </w:r>
          </w:p>
        </w:tc>
        <w:tc>
          <w:tcPr>
            <w:shd w:val="clear" w:color="auto" w:fill="F5F7FB"/>
          </w:tcPr>
          <w:p>
            <w:pPr>
              <w:pStyle w:val="Compact"/>
            </w:pPr>
            <w:r>
              <w:rPr>
                <w:b/>
                <w:bCs/>
                <w:sz w:val="17"/>
              </w:rPr>
              <w:t xml:space="preserve">Art. 204, point 16</w:t>
            </w:r>
          </w:p>
        </w:tc>
        <w:tc>
          <w:tcPr>
            <w:shd w:val="clear" w:color="auto" w:fill="F5F7FB"/>
          </w:tcPr>
          <w:p>
            <w:pPr>
              <w:pStyle w:val="Compact"/>
            </w:pPr>
            <w:r>
              <w:rPr>
                <w:sz w:val="17"/>
              </w:rPr>
              <w:t xml:space="preserve">Compétence exclusive des provinces pour « les impôts, les taxes et les droits provinciaux et locaux, notamment l’impôt foncier, l’impôt sur les revenus locatifs et l’impôt sur les véhicules automoteurs »</w:t>
            </w:r>
          </w:p>
        </w:tc>
        <w:tc>
          <w:tcPr>
            <w:shd w:val="clear" w:color="auto" w:fill="F5F7FB"/>
          </w:tcPr>
          <w:p>
            <w:pPr>
              <w:pStyle w:val="Compact"/>
            </w:pPr>
            <w:r>
              <w:rPr>
                <w:sz w:val="17"/>
              </w:rPr>
              <w:t xml:space="preserve">[CONFIRMÉ pour la formulation]</w:t>
            </w:r>
          </w:p>
        </w:tc>
        <w:tc>
          <w:tcPr>
            <w:shd w:val="clear" w:color="auto" w:fill="F5F7FB"/>
          </w:tcPr>
          <w:p>
            <w:pPr>
              <w:pStyle w:val="Compact"/>
            </w:pPr>
            <w:r>
              <w:rPr>
                <w:sz w:val="17"/>
              </w:rPr>
              <w:t xml:space="preserve">Fondement constitutionnel des trois impôts cœur du pilote</w:t>
            </w:r>
          </w:p>
        </w:tc>
      </w:tr>
      <w:tr>
        <w:tc>
          <w:tcPr/>
          <w:p>
            <w:pPr>
              <w:pStyle w:val="Compact"/>
            </w:pPr>
            <w:r>
              <w:rPr>
                <w:sz w:val="17"/>
              </w:rPr>
              <w:t xml:space="preserve">Loi</w:t>
            </w:r>
          </w:p>
        </w:tc>
        <w:tc>
          <w:tcPr/>
          <w:p>
            <w:pPr>
              <w:pStyle w:val="Compact"/>
            </w:pPr>
            <w:r>
              <w:rPr>
                <w:b/>
                <w:bCs/>
                <w:sz w:val="17"/>
              </w:rPr>
              <w:t xml:space="preserve">Loi n° 08/012 du 31 juillet 2008</w:t>
            </w:r>
            <w:r>
              <w:rPr>
                <w:sz w:val="17"/>
              </w:rPr>
              <w:t xml:space="preserve"> </w:t>
            </w:r>
            <w:r>
              <w:rPr>
                <w:sz w:val="17"/>
              </w:rPr>
              <w:t xml:space="preserve">portant principes fondamentaux relatifs à la libre administration des provinces, modifiée par la</w:t>
            </w:r>
            <w:r>
              <w:rPr>
                <w:sz w:val="17"/>
              </w:rPr>
              <w:t xml:space="preserve"> </w:t>
            </w:r>
            <w:r>
              <w:rPr>
                <w:b/>
                <w:bCs/>
                <w:sz w:val="17"/>
              </w:rPr>
              <w:t xml:space="preserve">Loi n° 13/008 du 22 janvier 2013</w:t>
            </w:r>
          </w:p>
        </w:tc>
        <w:tc>
          <w:tcPr/>
          <w:p>
            <w:pPr>
              <w:pStyle w:val="Compact"/>
            </w:pPr>
            <w:r>
              <w:rPr>
                <w:sz w:val="17"/>
              </w:rPr>
              <w:t xml:space="preserve">Compétences et ressources des provinces ; édits de l’Assemblée provinciale</w:t>
            </w:r>
          </w:p>
        </w:tc>
        <w:tc>
          <w:tcPr/>
          <w:p>
            <w:pPr>
              <w:pStyle w:val="Compact"/>
            </w:pPr>
            <w:r>
              <w:rPr>
                <w:sz w:val="17"/>
              </w:rPr>
              <w:t xml:space="preserve">[CONFIRMÉ]</w:t>
            </w:r>
          </w:p>
        </w:tc>
        <w:tc>
          <w:tcPr/>
          <w:p>
            <w:pPr>
              <w:pStyle w:val="Compact"/>
            </w:pPr>
            <w:r>
              <w:rPr>
                <w:sz w:val="17"/>
              </w:rPr>
              <w:t xml:space="preserve">L’édit est l’instrument normal des règles provinciales de perception</w:t>
            </w:r>
          </w:p>
        </w:tc>
      </w:tr>
      <w:tr>
        <w:tc>
          <w:tcPr>
            <w:shd w:val="clear" w:color="auto" w:fill="F5F7FB"/>
          </w:tcPr>
          <w:p>
            <w:pPr>
              <w:pStyle w:val="Compact"/>
            </w:pPr>
            <w:r>
              <w:rPr>
                <w:sz w:val="17"/>
              </w:rPr>
              <w:t xml:space="preserve">Loi organique</w:t>
            </w:r>
          </w:p>
        </w:tc>
        <w:tc>
          <w:tcPr>
            <w:shd w:val="clear" w:color="auto" w:fill="F5F7FB"/>
          </w:tcPr>
          <w:p>
            <w:pPr>
              <w:pStyle w:val="Compact"/>
            </w:pPr>
            <w:r>
              <w:rPr>
                <w:b/>
                <w:bCs/>
                <w:sz w:val="17"/>
              </w:rPr>
              <w:t xml:space="preserve">Loi organique n° 08/016 du 7 octobre 2008</w:t>
            </w:r>
            <w:r>
              <w:rPr>
                <w:sz w:val="17"/>
              </w:rPr>
              <w:t xml:space="preserve"> </w:t>
            </w:r>
            <w:r>
              <w:rPr>
                <w:sz w:val="17"/>
              </w:rPr>
              <w:t xml:space="preserve">(ETD)</w:t>
            </w:r>
          </w:p>
        </w:tc>
        <w:tc>
          <w:tcPr>
            <w:shd w:val="clear" w:color="auto" w:fill="F5F7FB"/>
          </w:tcPr>
          <w:p>
            <w:pPr>
              <w:pStyle w:val="Compact"/>
            </w:pPr>
            <w:r>
              <w:rPr>
                <w:sz w:val="17"/>
              </w:rPr>
              <w:t xml:space="preserve">Organisation des communes et autres ETD</w:t>
            </w:r>
          </w:p>
        </w:tc>
        <w:tc>
          <w:tcPr>
            <w:shd w:val="clear" w:color="auto" w:fill="F5F7FB"/>
          </w:tcPr>
          <w:p>
            <w:pPr>
              <w:pStyle w:val="Compact"/>
            </w:pPr>
            <w:r>
              <w:rPr>
                <w:sz w:val="17"/>
              </w:rPr>
              <w:t xml:space="preserve">[CONFIRMÉ pour l’existence ; dispositions financières À VÉRIFIER]</w:t>
            </w:r>
          </w:p>
        </w:tc>
        <w:tc>
          <w:tcPr>
            <w:shd w:val="clear" w:color="auto" w:fill="F5F7FB"/>
          </w:tcPr>
          <w:p>
            <w:pPr>
              <w:pStyle w:val="Compact"/>
            </w:pPr>
            <w:r>
              <w:rPr>
                <w:sz w:val="17"/>
              </w:rPr>
              <w:t xml:space="preserve">Espace communal distinct (module 95) ; pas de liquidation de recettes communales par la province</w:t>
            </w:r>
          </w:p>
        </w:tc>
      </w:tr>
      <w:tr>
        <w:tc>
          <w:tcPr/>
          <w:p>
            <w:pPr>
              <w:pStyle w:val="Compact"/>
            </w:pPr>
            <w:r>
              <w:rPr>
                <w:sz w:val="17"/>
              </w:rPr>
              <w:t xml:space="preserve">Ordonnance-loi</w:t>
            </w:r>
          </w:p>
        </w:tc>
        <w:tc>
          <w:tcPr/>
          <w:p>
            <w:pPr>
              <w:pStyle w:val="Compact"/>
            </w:pPr>
            <w:r>
              <w:rPr>
                <w:b/>
                <w:bCs/>
                <w:sz w:val="17"/>
              </w:rPr>
              <w:t xml:space="preserve">Ordonnance-loi n° 18/004 du 13 mars 2018</w:t>
            </w:r>
            <w:r>
              <w:rPr>
                <w:sz w:val="17"/>
              </w:rPr>
              <w:t xml:space="preserve"> </w:t>
            </w:r>
            <w:r>
              <w:rPr>
                <w:sz w:val="17"/>
              </w:rPr>
              <w:t xml:space="preserve">fixant la nomenclature des impôts, droits, taxes et redevances de la province et de l’entité territoriale décentralisée ainsi que les modalités de leur répartition (JO, n° spécial, 23 avril 2018)</w:t>
            </w:r>
          </w:p>
        </w:tc>
        <w:tc>
          <w:tcPr/>
          <w:p>
            <w:pPr>
              <w:pStyle w:val="Compact"/>
            </w:pPr>
            <w:r>
              <w:rPr>
                <w:sz w:val="17"/>
              </w:rPr>
              <w:t xml:space="preserve">Nomenclature provinciale et locale ; clés de répartition</w:t>
            </w:r>
          </w:p>
        </w:tc>
        <w:tc>
          <w:tcPr/>
          <w:p>
            <w:pPr>
              <w:pStyle w:val="Compact"/>
            </w:pPr>
            <w:r>
              <w:rPr>
                <w:sz w:val="17"/>
              </w:rPr>
              <w:t xml:space="preserve">[CONFIRMÉ pour l’existence, l’objet et l’abrogation de l’OL 13/001] ; [À VÉRIFIER : liste intégrale et clés de répartition]</w:t>
            </w:r>
          </w:p>
        </w:tc>
        <w:tc>
          <w:tcPr/>
          <w:p>
            <w:pPr>
              <w:pStyle w:val="Compact"/>
            </w:pPr>
            <w:r>
              <w:rPr>
                <w:b/>
                <w:bCs/>
                <w:sz w:val="17"/>
              </w:rPr>
              <w:t xml:space="preserve">Base normative du référentiel.</w:t>
            </w:r>
            <w:r>
              <w:rPr>
                <w:sz w:val="17"/>
              </w:rPr>
              <w:t xml:space="preserve"> </w:t>
            </w:r>
            <w:r>
              <w:rPr>
                <w:sz w:val="17"/>
              </w:rPr>
              <w:t xml:space="preserve">Toute ligne du catalogue (ch. 7) doit citer son rang dans la nomenclature</w:t>
            </w:r>
          </w:p>
        </w:tc>
      </w:tr>
      <w:tr>
        <w:tc>
          <w:tcPr>
            <w:shd w:val="clear" w:color="auto" w:fill="F5F7FB"/>
          </w:tcPr>
          <w:p>
            <w:pPr>
              <w:pStyle w:val="Compact"/>
            </w:pPr>
            <w:r>
              <w:rPr>
                <w:sz w:val="17"/>
              </w:rPr>
              <w:t xml:space="preserve">Ordonnance-loi</w:t>
            </w:r>
          </w:p>
        </w:tc>
        <w:tc>
          <w:tcPr>
            <w:shd w:val="clear" w:color="auto" w:fill="F5F7FB"/>
          </w:tcPr>
          <w:p>
            <w:pPr>
              <w:pStyle w:val="Compact"/>
            </w:pPr>
            <w:r>
              <w:rPr>
                <w:b/>
                <w:bCs/>
                <w:sz w:val="17"/>
              </w:rPr>
              <w:t xml:space="preserve">Ordonnance-loi n° 13/001 du 23 février 2013</w:t>
            </w:r>
          </w:p>
        </w:tc>
        <w:tc>
          <w:tcPr>
            <w:shd w:val="clear" w:color="auto" w:fill="F5F7FB"/>
          </w:tcPr>
          <w:p>
            <w:pPr>
              <w:pStyle w:val="Compact"/>
            </w:pPr>
            <w:r>
              <w:rPr>
                <w:sz w:val="17"/>
              </w:rPr>
              <w:t xml:space="preserve">Ancienne nomenclature provinciale</w:t>
            </w:r>
          </w:p>
        </w:tc>
        <w:tc>
          <w:tcPr>
            <w:shd w:val="clear" w:color="auto" w:fill="F5F7FB"/>
          </w:tcPr>
          <w:p>
            <w:pPr>
              <w:pStyle w:val="Compact"/>
            </w:pPr>
            <w:r>
              <w:rPr>
                <w:b/>
                <w:bCs/>
                <w:sz w:val="17"/>
              </w:rPr>
              <w:t xml:space="preserve">ABROGÉE</w:t>
            </w:r>
            <w:r>
              <w:rPr>
                <w:sz w:val="17"/>
              </w:rPr>
              <w:t xml:space="preserve"> </w:t>
            </w:r>
            <w:r>
              <w:rPr>
                <w:sz w:val="17"/>
              </w:rPr>
              <w:t xml:space="preserve">par l’OL 18/004 [CONFIRMÉ]</w:t>
            </w:r>
          </w:p>
        </w:tc>
        <w:tc>
          <w:tcPr>
            <w:shd w:val="clear" w:color="auto" w:fill="F5F7FB"/>
          </w:tcPr>
          <w:p>
            <w:pPr>
              <w:pStyle w:val="Compact"/>
            </w:pPr>
            <w:r>
              <w:rPr>
                <w:b/>
                <w:bCs/>
                <w:sz w:val="17"/>
              </w:rPr>
              <w:t xml:space="preserve">Interdite comme base de règle.</w:t>
            </w:r>
            <w:r>
              <w:rPr>
                <w:sz w:val="17"/>
              </w:rPr>
              <w:t xml:space="preserve"> </w:t>
            </w:r>
            <w:r>
              <w:rPr>
                <w:sz w:val="17"/>
              </w:rPr>
              <w:t xml:space="preserve">Toute référence héritée est bloquée par le moteur</w:t>
            </w:r>
          </w:p>
        </w:tc>
      </w:tr>
      <w:tr>
        <w:tc>
          <w:tcPr/>
          <w:p>
            <w:pPr>
              <w:pStyle w:val="Compact"/>
            </w:pPr>
            <w:r>
              <w:rPr>
                <w:sz w:val="17"/>
              </w:rPr>
              <w:t xml:space="preserve">Ordonnance-loi</w:t>
            </w:r>
          </w:p>
        </w:tc>
        <w:tc>
          <w:tcPr/>
          <w:p>
            <w:pPr>
              <w:pStyle w:val="Compact"/>
            </w:pPr>
            <w:r>
              <w:rPr>
                <w:b/>
                <w:bCs/>
                <w:sz w:val="17"/>
              </w:rPr>
              <w:t xml:space="preserve">Ordonnance-loi n° 18/003 du 13 mars 2018</w:t>
            </w:r>
          </w:p>
        </w:tc>
        <w:tc>
          <w:tcPr/>
          <w:p>
            <w:pPr>
              <w:pStyle w:val="Compact"/>
            </w:pPr>
            <w:r>
              <w:rPr>
                <w:sz w:val="17"/>
              </w:rPr>
              <w:t xml:space="preserve">Nomenclature des droits, taxes et redevances du pouvoir central</w:t>
            </w:r>
          </w:p>
        </w:tc>
        <w:tc>
          <w:tcPr/>
          <w:p>
            <w:pPr>
              <w:pStyle w:val="Compact"/>
            </w:pPr>
            <w:r>
              <w:rPr>
                <w:sz w:val="17"/>
              </w:rPr>
              <w:t xml:space="preserve">[CONFIRMÉ]</w:t>
            </w:r>
          </w:p>
        </w:tc>
        <w:tc>
          <w:tcPr/>
          <w:p>
            <w:pPr>
              <w:pStyle w:val="Compact"/>
            </w:pPr>
            <w:r>
              <w:rPr>
                <w:sz w:val="17"/>
              </w:rPr>
              <w:t xml:space="preserve">Liste d’exclusion : empêcher toute double imposition d’un fait générateur central</w:t>
            </w:r>
          </w:p>
        </w:tc>
      </w:tr>
      <w:tr>
        <w:tc>
          <w:tcPr>
            <w:shd w:val="clear" w:color="auto" w:fill="F5F7FB"/>
          </w:tcPr>
          <w:p>
            <w:pPr>
              <w:pStyle w:val="Compact"/>
            </w:pPr>
            <w:r>
              <w:rPr>
                <w:sz w:val="17"/>
              </w:rPr>
              <w:t xml:space="preserve">Loi (réf. commande)</w:t>
            </w:r>
          </w:p>
        </w:tc>
        <w:tc>
          <w:tcPr>
            <w:shd w:val="clear" w:color="auto" w:fill="F5F7FB"/>
          </w:tcPr>
          <w:p>
            <w:pPr>
              <w:pStyle w:val="Compact"/>
            </w:pPr>
            <w:r>
              <w:rPr>
                <w:b/>
                <w:bCs/>
                <w:sz w:val="17"/>
              </w:rPr>
              <w:t xml:space="preserve">Loi n° 18/014 du 9 juillet 2018</w:t>
            </w:r>
          </w:p>
        </w:tc>
        <w:tc>
          <w:tcPr>
            <w:shd w:val="clear" w:color="auto" w:fill="F5F7FB"/>
          </w:tcPr>
          <w:p>
            <w:pPr>
              <w:pStyle w:val="Compact"/>
            </w:pPr>
            <w:r>
              <w:rPr>
                <w:sz w:val="17"/>
              </w:rPr>
              <w:t xml:space="preserve">Présentée dans la commande comme texte de référence et, par un document de travail antérieur, comme loi de ratification de l’OL 18/004</w:t>
            </w:r>
          </w:p>
        </w:tc>
        <w:tc>
          <w:tcPr>
            <w:shd w:val="clear" w:color="auto" w:fill="F5F7FB"/>
          </w:tcPr>
          <w:p>
            <w:pPr>
              <w:pStyle w:val="Compact"/>
            </w:pPr>
            <w:r>
              <w:rPr>
                <w:b/>
                <w:bCs/>
                <w:sz w:val="17"/>
              </w:rPr>
              <w:t xml:space="preserve">[À VÉRIFIER — NON RETROUVÉE]</w:t>
            </w:r>
            <w:r>
              <w:rPr>
                <w:sz w:val="17"/>
              </w:rPr>
              <w:t xml:space="preserve"> </w:t>
            </w:r>
            <w:r>
              <w:rPr>
                <w:sz w:val="17"/>
              </w:rPr>
              <w:t xml:space="preserve">: aucune trace publique n’a été trouvée de ce numéro comme loi de ratification de l’OL 18/004 ; d’autres lois du 9 juillet 2018 portent les numéros 18/016 (PPP), 18/019 (systèmes de paiement), 18/020</w:t>
            </w:r>
          </w:p>
        </w:tc>
        <w:tc>
          <w:tcPr>
            <w:shd w:val="clear" w:color="auto" w:fill="F5F7FB"/>
          </w:tcPr>
          <w:p>
            <w:pPr>
              <w:pStyle w:val="Compact"/>
            </w:pPr>
            <w:r>
              <w:rPr>
                <w:sz w:val="17"/>
              </w:rPr>
              <w:t xml:space="preserve">Ne pas citer dans une fiche de règle avant confirmation au Journal officiel ; vérifier en outre si l’OL 18/004 a été ratifiée et par quel texte</w:t>
            </w:r>
          </w:p>
        </w:tc>
      </w:tr>
      <w:tr>
        <w:tc>
          <w:tcPr/>
          <w:p>
            <w:pPr>
              <w:pStyle w:val="Compact"/>
            </w:pPr>
            <w:r>
              <w:rPr>
                <w:sz w:val="17"/>
              </w:rPr>
              <w:t xml:space="preserve">Ordonnance-loi</w:t>
            </w:r>
          </w:p>
        </w:tc>
        <w:tc>
          <w:tcPr/>
          <w:p>
            <w:pPr>
              <w:pStyle w:val="Compact"/>
            </w:pPr>
            <w:r>
              <w:rPr>
                <w:b/>
                <w:bCs/>
                <w:sz w:val="17"/>
              </w:rPr>
              <w:t xml:space="preserve">OL n° 69/006 du 10 février 1969</w:t>
            </w:r>
            <w:r>
              <w:rPr>
                <w:sz w:val="17"/>
              </w:rPr>
              <w:t xml:space="preserve"> </w:t>
            </w:r>
            <w:r>
              <w:rPr>
                <w:sz w:val="17"/>
              </w:rPr>
              <w:t xml:space="preserve">relative à l’impôt réel, modifiée</w:t>
            </w:r>
          </w:p>
        </w:tc>
        <w:tc>
          <w:tcPr/>
          <w:p>
            <w:pPr>
              <w:pStyle w:val="Compact"/>
            </w:pPr>
            <w:r>
              <w:rPr>
                <w:sz w:val="17"/>
              </w:rPr>
              <w:t xml:space="preserve">Impôt foncier, impôt sur les véhicules, superficie des concessions</w:t>
            </w:r>
          </w:p>
        </w:tc>
        <w:tc>
          <w:tcPr/>
          <w:p>
            <w:pPr>
              <w:pStyle w:val="Compact"/>
            </w:pPr>
            <w:r>
              <w:rPr>
                <w:sz w:val="17"/>
              </w:rPr>
              <w:t xml:space="preserve">[CONFIRMÉ pour l’existence ; version consolidée À VÉRIFIER]</w:t>
            </w:r>
          </w:p>
        </w:tc>
        <w:tc>
          <w:tcPr/>
          <w:p>
            <w:pPr>
              <w:pStyle w:val="Compact"/>
            </w:pPr>
            <w:r>
              <w:rPr>
                <w:sz w:val="17"/>
              </w:rPr>
              <w:t xml:space="preserve">Base matérielle historique de l’IF et de l’impôt sur les véhicules</w:t>
            </w:r>
          </w:p>
        </w:tc>
      </w:tr>
      <w:tr>
        <w:tc>
          <w:tcPr>
            <w:shd w:val="clear" w:color="auto" w:fill="F5F7FB"/>
          </w:tcPr>
          <w:p>
            <w:pPr>
              <w:pStyle w:val="Compact"/>
            </w:pPr>
            <w:r>
              <w:rPr>
                <w:sz w:val="17"/>
              </w:rPr>
              <w:t xml:space="preserve">Ordonnance-loi</w:t>
            </w:r>
          </w:p>
        </w:tc>
        <w:tc>
          <w:tcPr>
            <w:shd w:val="clear" w:color="auto" w:fill="F5F7FB"/>
          </w:tcPr>
          <w:p>
            <w:pPr>
              <w:pStyle w:val="Compact"/>
            </w:pPr>
            <w:r>
              <w:rPr>
                <w:b/>
                <w:bCs/>
                <w:sz w:val="17"/>
              </w:rPr>
              <w:t xml:space="preserve">OL n° 69/009 du 10 février 1969</w:t>
            </w:r>
            <w:r>
              <w:rPr>
                <w:sz w:val="17"/>
              </w:rPr>
              <w:t xml:space="preserve"> </w:t>
            </w:r>
            <w:r>
              <w:rPr>
                <w:sz w:val="17"/>
              </w:rPr>
              <w:t xml:space="preserve">relative aux impôts cédulaires sur les revenus, modifiée (notamment OL n° 009/2012 du 21 septembre 2012)</w:t>
            </w:r>
          </w:p>
        </w:tc>
        <w:tc>
          <w:tcPr>
            <w:shd w:val="clear" w:color="auto" w:fill="F5F7FB"/>
          </w:tcPr>
          <w:p>
            <w:pPr>
              <w:pStyle w:val="Compact"/>
            </w:pPr>
            <w:r>
              <w:rPr>
                <w:sz w:val="17"/>
              </w:rPr>
              <w:t xml:space="preserve">Impôt sur les revenus locatifs</w:t>
            </w:r>
          </w:p>
        </w:tc>
        <w:tc>
          <w:tcPr>
            <w:shd w:val="clear" w:color="auto" w:fill="F5F7FB"/>
          </w:tcPr>
          <w:p>
            <w:pPr>
              <w:pStyle w:val="Compact"/>
            </w:pPr>
            <w:r>
              <w:rPr>
                <w:sz w:val="17"/>
              </w:rPr>
              <w:t xml:space="preserve">[CONFIRMÉ pour l’existence ; version consolidée À VÉRIFIER]</w:t>
            </w:r>
          </w:p>
        </w:tc>
        <w:tc>
          <w:tcPr>
            <w:shd w:val="clear" w:color="auto" w:fill="F5F7FB"/>
          </w:tcPr>
          <w:p>
            <w:pPr>
              <w:pStyle w:val="Compact"/>
            </w:pPr>
            <w:r>
              <w:rPr>
                <w:sz w:val="17"/>
              </w:rPr>
              <w:t xml:space="preserve">Base matérielle historique de l’IRL</w:t>
            </w:r>
          </w:p>
        </w:tc>
      </w:tr>
      <w:tr>
        <w:tc>
          <w:tcPr/>
          <w:p>
            <w:pPr>
              <w:pStyle w:val="Compact"/>
            </w:pPr>
            <w:r>
              <w:rPr>
                <w:sz w:val="17"/>
              </w:rPr>
              <w:t xml:space="preserve">Loi</w:t>
            </w:r>
          </w:p>
        </w:tc>
        <w:tc>
          <w:tcPr/>
          <w:p>
            <w:pPr>
              <w:pStyle w:val="Compact"/>
            </w:pPr>
            <w:r>
              <w:rPr>
                <w:b/>
                <w:bCs/>
                <w:sz w:val="17"/>
              </w:rPr>
              <w:t xml:space="preserve">Loi n° 004/2003 du 13 mars 2003</w:t>
            </w:r>
            <w:r>
              <w:rPr>
                <w:sz w:val="17"/>
              </w:rPr>
              <w:t xml:space="preserve"> </w:t>
            </w:r>
            <w:r>
              <w:rPr>
                <w:sz w:val="17"/>
              </w:rPr>
              <w:t xml:space="preserve">portant réforme des procédures fiscales, modifiée (notamment Loi n° 23/052 du 30 novembre 2023)</w:t>
            </w:r>
          </w:p>
        </w:tc>
        <w:tc>
          <w:tcPr/>
          <w:p>
            <w:pPr>
              <w:pStyle w:val="Compact"/>
            </w:pPr>
            <w:r>
              <w:rPr>
                <w:sz w:val="17"/>
              </w:rPr>
              <w:t xml:space="preserve">Déclaration, liquidation, avis de mise en recouvrement, contrôle, recouvrement, prescription, recours</w:t>
            </w:r>
          </w:p>
        </w:tc>
        <w:tc>
          <w:tcPr/>
          <w:p>
            <w:pPr>
              <w:pStyle w:val="Compact"/>
            </w:pPr>
            <w:r>
              <w:rPr>
                <w:sz w:val="17"/>
              </w:rPr>
              <w:t xml:space="preserve">[CONFIRMÉ]</w:t>
            </w:r>
          </w:p>
        </w:tc>
        <w:tc>
          <w:tcPr/>
          <w:p>
            <w:pPr>
              <w:pStyle w:val="Compact"/>
            </w:pPr>
            <w:r>
              <w:rPr>
                <w:sz w:val="17"/>
              </w:rPr>
              <w:t xml:space="preserve">Modèle procédural ; applicabilité aux impôts provinciaux à confirmer au regard de l’édit provincial de procédure</w:t>
            </w:r>
          </w:p>
        </w:tc>
      </w:tr>
      <w:tr>
        <w:tc>
          <w:tcPr>
            <w:shd w:val="clear" w:color="auto" w:fill="F5F7FB"/>
          </w:tcPr>
          <w:p>
            <w:pPr>
              <w:pStyle w:val="Compact"/>
            </w:pPr>
            <w:r>
              <w:rPr>
                <w:sz w:val="17"/>
              </w:rPr>
              <w:t xml:space="preserve">Édit provincial</w:t>
            </w:r>
          </w:p>
        </w:tc>
        <w:tc>
          <w:tcPr>
            <w:shd w:val="clear" w:color="auto" w:fill="F5F7FB"/>
          </w:tcPr>
          <w:p>
            <w:pPr>
              <w:pStyle w:val="Compact"/>
            </w:pPr>
            <w:r>
              <w:rPr>
                <w:b/>
                <w:bCs/>
                <w:sz w:val="17"/>
              </w:rPr>
              <w:t xml:space="preserve">Édit n° 005/2021 du 31 décembre 2021</w:t>
            </w:r>
            <w:r>
              <w:rPr>
                <w:sz w:val="17"/>
              </w:rPr>
              <w:t xml:space="preserve"> </w:t>
            </w:r>
            <w:r>
              <w:rPr>
                <w:sz w:val="17"/>
              </w:rPr>
              <w:t xml:space="preserve">portant réforme des procédures de perception des impôts, droits, taxes et redevances dus à la Ville de Kinshasa (JO n° spécial, 14 février 2022)</w:t>
            </w:r>
          </w:p>
        </w:tc>
        <w:tc>
          <w:tcPr>
            <w:shd w:val="clear" w:color="auto" w:fill="F5F7FB"/>
          </w:tcPr>
          <w:p>
            <w:pPr>
              <w:pStyle w:val="Compact"/>
            </w:pPr>
            <w:r>
              <w:rPr>
                <w:b/>
                <w:bCs/>
                <w:sz w:val="17"/>
              </w:rPr>
              <w:t xml:space="preserve">Procédure fiscale provinciale de Kinshasa</w:t>
            </w:r>
          </w:p>
        </w:tc>
        <w:tc>
          <w:tcPr>
            <w:shd w:val="clear" w:color="auto" w:fill="F5F7FB"/>
          </w:tcPr>
          <w:p>
            <w:pPr>
              <w:pStyle w:val="Compact"/>
            </w:pPr>
            <w:r>
              <w:rPr>
                <w:sz w:val="17"/>
              </w:rPr>
              <w:t xml:space="preserve">[CONFIRMÉ pour l’existence ; contenu À VÉRIFIER]</w:t>
            </w:r>
          </w:p>
        </w:tc>
        <w:tc>
          <w:tcPr>
            <w:shd w:val="clear" w:color="auto" w:fill="F5F7FB"/>
          </w:tcPr>
          <w:p>
            <w:pPr>
              <w:pStyle w:val="Compact"/>
            </w:pPr>
            <w:r>
              <w:rPr>
                <w:b/>
                <w:bCs/>
                <w:sz w:val="17"/>
              </w:rPr>
              <w:t xml:space="preserve">Texte clé</w:t>
            </w:r>
            <w:r>
              <w:rPr>
                <w:sz w:val="17"/>
              </w:rPr>
              <w:t xml:space="preserve"> </w:t>
            </w:r>
            <w:r>
              <w:rPr>
                <w:sz w:val="17"/>
              </w:rPr>
              <w:t xml:space="preserve">pour les états de l’obligation, les délais, les pénalités, les actes de poursuite et les recours. Son éventuelle modification après la réforme des régies de 2026 doit être vérifiée</w:t>
            </w:r>
          </w:p>
        </w:tc>
      </w:tr>
      <w:tr>
        <w:tc>
          <w:tcPr/>
          <w:p>
            <w:pPr>
              <w:pStyle w:val="Compact"/>
            </w:pPr>
            <w:r>
              <w:rPr>
                <w:sz w:val="17"/>
              </w:rPr>
              <w:t xml:space="preserve">Loi / OL</w:t>
            </w:r>
          </w:p>
        </w:tc>
        <w:tc>
          <w:tcPr/>
          <w:p>
            <w:pPr>
              <w:pStyle w:val="Compact"/>
            </w:pPr>
            <w:r>
              <w:rPr>
                <w:b/>
                <w:bCs/>
                <w:sz w:val="17"/>
              </w:rPr>
              <w:t xml:space="preserve">Loi n° 04/015 du 16 juillet 2004</w:t>
            </w:r>
            <w:r>
              <w:rPr>
                <w:sz w:val="17"/>
              </w:rPr>
              <w:t xml:space="preserve"> </w:t>
            </w:r>
            <w:r>
              <w:rPr>
                <w:sz w:val="17"/>
              </w:rPr>
              <w:t xml:space="preserve">(nomenclature des actes générateurs de recettes administratives, judiciaires, domaniales et de participations), modifiée ;</w:t>
            </w:r>
            <w:r>
              <w:rPr>
                <w:sz w:val="17"/>
              </w:rPr>
              <w:t xml:space="preserve"> </w:t>
            </w:r>
            <w:r>
              <w:rPr>
                <w:b/>
                <w:bCs/>
                <w:sz w:val="17"/>
              </w:rPr>
              <w:t xml:space="preserve">OL n° 13/003 du 23 février 2013</w:t>
            </w:r>
            <w:r>
              <w:rPr>
                <w:sz w:val="17"/>
              </w:rPr>
              <w:t xml:space="preserve"> </w:t>
            </w:r>
            <w:r>
              <w:rPr>
                <w:sz w:val="17"/>
              </w:rPr>
              <w:t xml:space="preserve">(procédures relatives aux recettes non fiscales)</w:t>
            </w:r>
          </w:p>
        </w:tc>
        <w:tc>
          <w:tcPr/>
          <w:p>
            <w:pPr>
              <w:pStyle w:val="Compact"/>
            </w:pPr>
            <w:r>
              <w:rPr>
                <w:sz w:val="17"/>
              </w:rPr>
              <w:t xml:space="preserve">Recettes non fiscales, surtout centrales</w:t>
            </w:r>
          </w:p>
        </w:tc>
        <w:tc>
          <w:tcPr/>
          <w:p>
            <w:pPr>
              <w:pStyle w:val="Compact"/>
            </w:pPr>
            <w:r>
              <w:rPr>
                <w:sz w:val="17"/>
              </w:rPr>
              <w:t xml:space="preserve">[PROBABLE]</w:t>
            </w:r>
          </w:p>
        </w:tc>
        <w:tc>
          <w:tcPr/>
          <w:p>
            <w:pPr>
              <w:pStyle w:val="Compact"/>
            </w:pPr>
            <w:r>
              <w:rPr>
                <w:sz w:val="17"/>
              </w:rPr>
              <w:t xml:space="preserve">Référence méthodologique pour les droits, taxes et redevances ; applicabilité provinciale À VÉRIFIER</w:t>
            </w:r>
          </w:p>
        </w:tc>
      </w:tr>
      <w:tr>
        <w:tc>
          <w:tcPr>
            <w:shd w:val="clear" w:color="auto" w:fill="F5F7FB"/>
          </w:tcPr>
          <w:p>
            <w:pPr>
              <w:pStyle w:val="Compact"/>
            </w:pPr>
            <w:r>
              <w:rPr>
                <w:sz w:val="17"/>
              </w:rPr>
              <w:t xml:space="preserve">Loi</w:t>
            </w:r>
          </w:p>
        </w:tc>
        <w:tc>
          <w:tcPr>
            <w:shd w:val="clear" w:color="auto" w:fill="F5F7FB"/>
          </w:tcPr>
          <w:p>
            <w:pPr>
              <w:pStyle w:val="Compact"/>
            </w:pPr>
            <w:r>
              <w:rPr>
                <w:b/>
                <w:bCs/>
                <w:sz w:val="17"/>
              </w:rPr>
              <w:t xml:space="preserve">Loi n° 11/011 du 13 juillet 2011</w:t>
            </w:r>
            <w:r>
              <w:rPr>
                <w:sz w:val="17"/>
              </w:rPr>
              <w:t xml:space="preserve"> </w:t>
            </w:r>
            <w:r>
              <w:rPr>
                <w:sz w:val="17"/>
              </w:rPr>
              <w:t xml:space="preserve">relative aux finances publiques (LOFIP), modifiée par la</w:t>
            </w:r>
            <w:r>
              <w:rPr>
                <w:sz w:val="17"/>
              </w:rPr>
              <w:t xml:space="preserve"> </w:t>
            </w:r>
            <w:r>
              <w:rPr>
                <w:b/>
                <w:bCs/>
                <w:sz w:val="17"/>
              </w:rPr>
              <w:t xml:space="preserve">Loi n° 18/010 du 9 juillet 2018</w:t>
            </w:r>
          </w:p>
        </w:tc>
        <w:tc>
          <w:tcPr>
            <w:shd w:val="clear" w:color="auto" w:fill="F5F7FB"/>
          </w:tcPr>
          <w:p>
            <w:pPr>
              <w:pStyle w:val="Compact"/>
            </w:pPr>
            <w:r>
              <w:rPr>
                <w:sz w:val="17"/>
              </w:rPr>
              <w:t xml:space="preserve">Budget, unité de caisse et de trésorerie, séparation ordonnateur–comptable, comptes publics</w:t>
            </w:r>
          </w:p>
        </w:tc>
        <w:tc>
          <w:tcPr>
            <w:shd w:val="clear" w:color="auto" w:fill="F5F7FB"/>
          </w:tcPr>
          <w:p>
            <w:pPr>
              <w:pStyle w:val="Compact"/>
            </w:pPr>
            <w:r>
              <w:rPr>
                <w:sz w:val="17"/>
              </w:rPr>
              <w:t xml:space="preserve">[CONFIRMÉ]</w:t>
            </w:r>
          </w:p>
        </w:tc>
        <w:tc>
          <w:tcPr>
            <w:shd w:val="clear" w:color="auto" w:fill="F5F7FB"/>
          </w:tcPr>
          <w:p>
            <w:pPr>
              <w:pStyle w:val="Compact"/>
            </w:pPr>
            <w:r>
              <w:rPr>
                <w:sz w:val="17"/>
              </w:rPr>
              <w:t xml:space="preserve">Voir § 6.8 : la plateforme ne détient aucun fonds et ne répartit aucune recette hors procédure budgétaire</w:t>
            </w:r>
          </w:p>
        </w:tc>
      </w:tr>
      <w:tr>
        <w:tc>
          <w:tcPr/>
          <w:p>
            <w:pPr>
              <w:pStyle w:val="Compact"/>
            </w:pPr>
            <w:r>
              <w:rPr>
                <w:sz w:val="17"/>
              </w:rPr>
              <w:t xml:space="preserve">Décret</w:t>
            </w:r>
          </w:p>
        </w:tc>
        <w:tc>
          <w:tcPr/>
          <w:p>
            <w:pPr>
              <w:pStyle w:val="Compact"/>
            </w:pPr>
            <w:r>
              <w:rPr>
                <w:b/>
                <w:bCs/>
                <w:sz w:val="17"/>
              </w:rPr>
              <w:t xml:space="preserve">Décret n° 13/050 du 6 novembre 2013</w:t>
            </w:r>
            <w:r>
              <w:rPr>
                <w:sz w:val="17"/>
              </w:rPr>
              <w:t xml:space="preserve"> </w:t>
            </w:r>
            <w:r>
              <w:rPr>
                <w:sz w:val="17"/>
              </w:rPr>
              <w:t xml:space="preserve">portant règlement général sur la comptabilité publique (RGCP)</w:t>
            </w:r>
          </w:p>
        </w:tc>
        <w:tc>
          <w:tcPr/>
          <w:p>
            <w:pPr>
              <w:pStyle w:val="Compact"/>
            </w:pPr>
            <w:r>
              <w:rPr>
                <w:sz w:val="17"/>
              </w:rPr>
              <w:t xml:space="preserve">Chaîne constatation–liquidation–recouvrement, rôle du comptable public</w:t>
            </w:r>
          </w:p>
        </w:tc>
        <w:tc>
          <w:tcPr/>
          <w:p>
            <w:pPr>
              <w:pStyle w:val="Compact"/>
            </w:pPr>
            <w:r>
              <w:rPr>
                <w:sz w:val="17"/>
              </w:rPr>
              <w:t xml:space="preserve">[PROBABLE — en vigueur, aucune abrogation trouvée]</w:t>
            </w:r>
          </w:p>
        </w:tc>
        <w:tc>
          <w:tcPr/>
          <w:p>
            <w:pPr>
              <w:pStyle w:val="Compact"/>
            </w:pPr>
            <w:r>
              <w:rPr>
                <w:sz w:val="17"/>
              </w:rPr>
              <w:t xml:space="preserve">Modèle des états de la recette ; habilitation du comptable dans les workflows</w:t>
            </w:r>
          </w:p>
        </w:tc>
      </w:tr>
      <w:tr>
        <w:tc>
          <w:tcPr>
            <w:shd w:val="clear" w:color="auto" w:fill="F5F7FB"/>
          </w:tcPr>
          <w:p>
            <w:pPr>
              <w:pStyle w:val="Compact"/>
            </w:pPr>
            <w:r>
              <w:rPr>
                <w:sz w:val="17"/>
              </w:rPr>
              <w:t xml:space="preserve">Édits annuels</w:t>
            </w:r>
          </w:p>
        </w:tc>
        <w:tc>
          <w:tcPr>
            <w:shd w:val="clear" w:color="auto" w:fill="F5F7FB"/>
          </w:tcPr>
          <w:p>
            <w:pPr>
              <w:pStyle w:val="Compact"/>
            </w:pPr>
            <w:r>
              <w:rPr>
                <w:b/>
                <w:bCs/>
                <w:sz w:val="17"/>
              </w:rPr>
              <w:t xml:space="preserve">Édit budgétaire de la Ville de Kinshasa pour 2026</w:t>
            </w:r>
            <w:r>
              <w:rPr>
                <w:sz w:val="17"/>
              </w:rPr>
              <w:t xml:space="preserve"> </w:t>
            </w:r>
            <w:r>
              <w:rPr>
                <w:sz w:val="17"/>
              </w:rPr>
              <w:t xml:space="preserve">et arrêtés du ministre provincial des Finances</w:t>
            </w:r>
          </w:p>
        </w:tc>
        <w:tc>
          <w:tcPr>
            <w:shd w:val="clear" w:color="auto" w:fill="F5F7FB"/>
          </w:tcPr>
          <w:p>
            <w:pPr>
              <w:pStyle w:val="Compact"/>
            </w:pPr>
            <w:r>
              <w:rPr>
                <w:sz w:val="17"/>
              </w:rPr>
              <w:t xml:space="preserve">Taux, tarifs, innovations d’assiette</w:t>
            </w:r>
          </w:p>
        </w:tc>
        <w:tc>
          <w:tcPr>
            <w:shd w:val="clear" w:color="auto" w:fill="F5F7FB"/>
          </w:tcPr>
          <w:p>
            <w:pPr>
              <w:pStyle w:val="Compact"/>
            </w:pPr>
            <w:r>
              <w:rPr>
                <w:sz w:val="17"/>
              </w:rPr>
              <w:t xml:space="preserve">[À VÉRIFIER : numéro, date, montant définitif]</w:t>
            </w:r>
          </w:p>
        </w:tc>
        <w:tc>
          <w:tcPr>
            <w:shd w:val="clear" w:color="auto" w:fill="F5F7FB"/>
          </w:tcPr>
          <w:p>
            <w:pPr>
              <w:pStyle w:val="Compact"/>
            </w:pPr>
            <w:r>
              <w:rPr>
                <w:sz w:val="17"/>
              </w:rPr>
              <w:t xml:space="preserve">Source directe des taux ; chaque exercice crée une nouvelle version de règle</w:t>
            </w:r>
          </w:p>
        </w:tc>
      </w:tr>
      <w:tr>
        <w:tc>
          <w:tcPr/>
          <w:p>
            <w:pPr>
              <w:pStyle w:val="Compact"/>
            </w:pPr>
            <w:r>
              <w:rPr>
                <w:sz w:val="17"/>
              </w:rPr>
              <w:t xml:space="preserve">Arrêtés provinciaux 2026</w:t>
            </w:r>
          </w:p>
        </w:tc>
        <w:tc>
          <w:tcPr/>
          <w:p>
            <w:pPr>
              <w:pStyle w:val="Compact"/>
            </w:pPr>
            <w:r>
              <w:rPr>
                <w:sz w:val="17"/>
              </w:rPr>
              <w:t xml:space="preserve">Arrêtés créant la</w:t>
            </w:r>
            <w:r>
              <w:rPr>
                <w:sz w:val="17"/>
              </w:rPr>
              <w:t xml:space="preserve"> </w:t>
            </w:r>
            <w:r>
              <w:rPr>
                <w:b/>
                <w:bCs/>
                <w:sz w:val="17"/>
              </w:rPr>
              <w:t xml:space="preserve">DGIPK</w:t>
            </w:r>
            <w:r>
              <w:rPr>
                <w:sz w:val="17"/>
              </w:rPr>
              <w:t xml:space="preserve"> </w:t>
            </w:r>
            <w:r>
              <w:rPr>
                <w:sz w:val="17"/>
              </w:rPr>
              <w:t xml:space="preserve">et la direction des droits, taxes et redevances (</w:t>
            </w:r>
            <w:r>
              <w:rPr>
                <w:b/>
                <w:bCs/>
                <w:sz w:val="17"/>
              </w:rPr>
              <w:t xml:space="preserve">DGTK</w:t>
            </w:r>
            <w:r>
              <w:rPr>
                <w:sz w:val="17"/>
              </w:rPr>
              <w:t xml:space="preserve">), en remplacement de la</w:t>
            </w:r>
            <w:r>
              <w:rPr>
                <w:sz w:val="17"/>
              </w:rPr>
              <w:t xml:space="preserve"> </w:t>
            </w:r>
            <w:r>
              <w:rPr>
                <w:b/>
                <w:bCs/>
                <w:sz w:val="17"/>
              </w:rPr>
              <w:t xml:space="preserve">DGRK</w:t>
            </w:r>
            <w:r>
              <w:rPr>
                <w:sz w:val="17"/>
              </w:rPr>
              <w:t xml:space="preserve"> </w:t>
            </w:r>
            <w:r>
              <w:rPr>
                <w:sz w:val="17"/>
              </w:rPr>
              <w:t xml:space="preserve">(créée par l’Édit n° 0001/08 du 22 janvier 2008)</w:t>
            </w:r>
          </w:p>
        </w:tc>
        <w:tc>
          <w:tcPr/>
          <w:p>
            <w:pPr>
              <w:pStyle w:val="Compact"/>
            </w:pPr>
            <w:r>
              <w:rPr>
                <w:sz w:val="17"/>
              </w:rPr>
              <w:t xml:space="preserve">Répartition des compétences d’assiette et de recouvrement</w:t>
            </w:r>
          </w:p>
        </w:tc>
        <w:tc>
          <w:tcPr/>
          <w:p>
            <w:pPr>
              <w:pStyle w:val="Compact"/>
            </w:pPr>
            <w:r>
              <w:rPr>
                <w:sz w:val="17"/>
              </w:rPr>
              <w:t xml:space="preserve">[CONFIRMÉ par la presse ; numéros et dates À VÉRIFIER]</w:t>
            </w:r>
          </w:p>
        </w:tc>
        <w:tc>
          <w:tcPr/>
          <w:p>
            <w:pPr>
              <w:pStyle w:val="Compact"/>
            </w:pPr>
            <w:r>
              <w:rPr>
                <w:sz w:val="17"/>
              </w:rPr>
              <w:t xml:space="preserve">L’administration compétente est une donnée de configuration de chaque règle</w:t>
            </w:r>
          </w:p>
        </w:tc>
      </w:tr>
      <w:tr>
        <w:tc>
          <w:tcPr>
            <w:shd w:val="clear" w:color="auto" w:fill="F5F7FB"/>
          </w:tcPr>
          <w:p>
            <w:pPr>
              <w:pStyle w:val="Compact"/>
            </w:pPr>
            <w:r>
              <w:rPr>
                <w:sz w:val="17"/>
              </w:rPr>
              <w:t xml:space="preserve">OL</w:t>
            </w:r>
          </w:p>
        </w:tc>
        <w:tc>
          <w:tcPr>
            <w:shd w:val="clear" w:color="auto" w:fill="F5F7FB"/>
          </w:tcPr>
          <w:p>
            <w:pPr>
              <w:pStyle w:val="Compact"/>
            </w:pPr>
            <w:r>
              <w:rPr>
                <w:b/>
                <w:bCs/>
                <w:sz w:val="17"/>
              </w:rPr>
              <w:t xml:space="preserve">Ordonnance-loi n° 23/010 du 13 mars 2023</w:t>
            </w:r>
            <w:r>
              <w:rPr>
                <w:sz w:val="17"/>
              </w:rPr>
              <w:t xml:space="preserve"> </w:t>
            </w:r>
            <w:r>
              <w:rPr>
                <w:sz w:val="17"/>
              </w:rPr>
              <w:t xml:space="preserve">portant Code du numérique (JO 11 avril 2023)</w:t>
            </w:r>
          </w:p>
        </w:tc>
        <w:tc>
          <w:tcPr>
            <w:shd w:val="clear" w:color="auto" w:fill="F5F7FB"/>
          </w:tcPr>
          <w:p>
            <w:pPr>
              <w:pStyle w:val="Compact"/>
            </w:pPr>
            <w:r>
              <w:rPr>
                <w:sz w:val="17"/>
              </w:rPr>
              <w:t xml:space="preserve">Écrit et signature électroniques, services de confiance, protection des données, cybersécurité</w:t>
            </w:r>
          </w:p>
        </w:tc>
        <w:tc>
          <w:tcPr>
            <w:shd w:val="clear" w:color="auto" w:fill="F5F7FB"/>
          </w:tcPr>
          <w:p>
            <w:pPr>
              <w:pStyle w:val="Compact"/>
            </w:pPr>
            <w:r>
              <w:rPr>
                <w:sz w:val="17"/>
              </w:rPr>
              <w:t xml:space="preserve">[CONFIRMÉ] ; ratification parlementaire [À VÉRIFIER]</w:t>
            </w:r>
          </w:p>
        </w:tc>
        <w:tc>
          <w:tcPr>
            <w:shd w:val="clear" w:color="auto" w:fill="F5F7FB"/>
          </w:tcPr>
          <w:p>
            <w:pPr>
              <w:pStyle w:val="Compact"/>
            </w:pPr>
            <w:r>
              <w:rPr>
                <w:sz w:val="17"/>
              </w:rPr>
              <w:t xml:space="preserve">Valeur probante de la quittance et de l’avis électroniques ; obligations de protection des données (§ 6.9)</w:t>
            </w:r>
          </w:p>
        </w:tc>
      </w:tr>
      <w:tr>
        <w:tc>
          <w:tcPr/>
          <w:p>
            <w:pPr>
              <w:pStyle w:val="Compact"/>
            </w:pPr>
            <w:r>
              <w:rPr>
                <w:sz w:val="17"/>
              </w:rPr>
              <w:t xml:space="preserve">Arrêtés ministériels</w:t>
            </w:r>
          </w:p>
        </w:tc>
        <w:tc>
          <w:tcPr/>
          <w:p>
            <w:pPr>
              <w:pStyle w:val="Compact"/>
            </w:pPr>
            <w:r>
              <w:rPr>
                <w:b/>
                <w:bCs/>
                <w:sz w:val="17"/>
              </w:rPr>
              <w:t xml:space="preserve">Arrêtés n° 004 et n° 005 du 11 mars 2026</w:t>
            </w:r>
            <w:r>
              <w:rPr>
                <w:sz w:val="17"/>
              </w:rPr>
              <w:t xml:space="preserve"> </w:t>
            </w:r>
            <w:r>
              <w:rPr>
                <w:sz w:val="17"/>
              </w:rPr>
              <w:t xml:space="preserve">du ministre de l’Économie numérique (régimes de déclaration et d’autorisation des activités et services numériques)</w:t>
            </w:r>
          </w:p>
        </w:tc>
        <w:tc>
          <w:tcPr/>
          <w:p>
            <w:pPr>
              <w:pStyle w:val="Compact"/>
            </w:pPr>
            <w:r>
              <w:rPr>
                <w:sz w:val="17"/>
              </w:rPr>
              <w:t xml:space="preserve">Pleine application depuis le 1er juillet 2026</w:t>
            </w:r>
          </w:p>
        </w:tc>
        <w:tc>
          <w:tcPr/>
          <w:p>
            <w:pPr>
              <w:pStyle w:val="Compact"/>
            </w:pPr>
            <w:r>
              <w:rPr>
                <w:sz w:val="17"/>
              </w:rPr>
              <w:t xml:space="preserve">[PROBABLE]</w:t>
            </w:r>
          </w:p>
        </w:tc>
        <w:tc>
          <w:tcPr/>
          <w:p>
            <w:pPr>
              <w:pStyle w:val="Compact"/>
            </w:pPr>
            <w:r>
              <w:rPr>
                <w:b/>
                <w:bCs/>
                <w:sz w:val="17"/>
              </w:rPr>
              <w:t xml:space="preserve">Vérifier si l’exploitation de MOSOLO, ou de ses prestataires, est soumise à déclaration ou à autorisation</w:t>
            </w:r>
          </w:p>
        </w:tc>
      </w:tr>
      <w:tr>
        <w:tc>
          <w:tcPr>
            <w:shd w:val="clear" w:color="auto" w:fill="F5F7FB"/>
          </w:tcPr>
          <w:p>
            <w:pPr>
              <w:pStyle w:val="Compact"/>
            </w:pPr>
            <w:r>
              <w:rPr>
                <w:sz w:val="17"/>
              </w:rPr>
              <w:t xml:space="preserve">Loi</w:t>
            </w:r>
          </w:p>
        </w:tc>
        <w:tc>
          <w:tcPr>
            <w:shd w:val="clear" w:color="auto" w:fill="F5F7FB"/>
          </w:tcPr>
          <w:p>
            <w:pPr>
              <w:pStyle w:val="Compact"/>
            </w:pPr>
            <w:r>
              <w:rPr>
                <w:b/>
                <w:bCs/>
                <w:sz w:val="17"/>
              </w:rPr>
              <w:t xml:space="preserve">Loi n° 20/017 du 25 novembre 2020</w:t>
            </w:r>
            <w:r>
              <w:rPr>
                <w:sz w:val="17"/>
              </w:rPr>
              <w:t xml:space="preserve"> </w:t>
            </w:r>
            <w:r>
              <w:rPr>
                <w:sz w:val="17"/>
              </w:rPr>
              <w:t xml:space="preserve">relative aux télécommunications et aux TIC</w:t>
            </w:r>
          </w:p>
        </w:tc>
        <w:tc>
          <w:tcPr>
            <w:shd w:val="clear" w:color="auto" w:fill="F5F7FB"/>
          </w:tcPr>
          <w:p>
            <w:pPr>
              <w:pStyle w:val="Compact"/>
            </w:pPr>
            <w:r>
              <w:rPr>
                <w:sz w:val="17"/>
              </w:rPr>
              <w:t xml:space="preserve">Régulation (ARPTIC)</w:t>
            </w:r>
          </w:p>
        </w:tc>
        <w:tc>
          <w:tcPr>
            <w:shd w:val="clear" w:color="auto" w:fill="F5F7FB"/>
          </w:tcPr>
          <w:p>
            <w:pPr>
              <w:pStyle w:val="Compact"/>
            </w:pPr>
            <w:r>
              <w:rPr>
                <w:sz w:val="17"/>
              </w:rPr>
              <w:t xml:space="preserve">[CONFIRMÉ]</w:t>
            </w:r>
          </w:p>
        </w:tc>
        <w:tc>
          <w:tcPr>
            <w:shd w:val="clear" w:color="auto" w:fill="F5F7FB"/>
          </w:tcPr>
          <w:p>
            <w:pPr>
              <w:pStyle w:val="Compact"/>
            </w:pPr>
            <w:r>
              <w:rPr>
                <w:sz w:val="17"/>
              </w:rPr>
              <w:t xml:space="preserve">Conventions USSD, SMS, codes courts</w:t>
            </w:r>
          </w:p>
        </w:tc>
      </w:tr>
      <w:tr>
        <w:tc>
          <w:tcPr/>
          <w:p>
            <w:pPr>
              <w:pStyle w:val="Compact"/>
            </w:pPr>
            <w:r>
              <w:rPr>
                <w:sz w:val="17"/>
              </w:rPr>
              <w:t xml:space="preserve">Loi</w:t>
            </w:r>
          </w:p>
        </w:tc>
        <w:tc>
          <w:tcPr/>
          <w:p>
            <w:pPr>
              <w:pStyle w:val="Compact"/>
            </w:pPr>
            <w:r>
              <w:rPr>
                <w:b/>
                <w:bCs/>
                <w:sz w:val="17"/>
              </w:rPr>
              <w:t xml:space="preserve">Loi n° 18/019 du 9 juillet 2018</w:t>
            </w:r>
            <w:r>
              <w:rPr>
                <w:sz w:val="17"/>
              </w:rPr>
              <w:t xml:space="preserve"> </w:t>
            </w:r>
            <w:r>
              <w:rPr>
                <w:sz w:val="17"/>
              </w:rPr>
              <w:t xml:space="preserve">relative aux systèmes de paiement et de règlement-titres</w:t>
            </w:r>
          </w:p>
        </w:tc>
        <w:tc>
          <w:tcPr/>
          <w:p>
            <w:pPr>
              <w:pStyle w:val="Compact"/>
            </w:pPr>
            <w:r>
              <w:rPr>
                <w:sz w:val="17"/>
              </w:rPr>
              <w:t xml:space="preserve">Instruments de paiement, caractère définitif du règlement, surveillance BCC</w:t>
            </w:r>
          </w:p>
        </w:tc>
        <w:tc>
          <w:tcPr/>
          <w:p>
            <w:pPr>
              <w:pStyle w:val="Compact"/>
            </w:pPr>
            <w:r>
              <w:rPr>
                <w:sz w:val="17"/>
              </w:rPr>
              <w:t xml:space="preserve">[CONFIRMÉ]</w:t>
            </w:r>
          </w:p>
        </w:tc>
        <w:tc>
          <w:tcPr/>
          <w:p>
            <w:pPr>
              <w:pStyle w:val="Compact"/>
            </w:pPr>
            <w:r>
              <w:rPr>
                <w:sz w:val="17"/>
              </w:rPr>
              <w:t xml:space="preserve">Cadre des paiements électroniques et mobiles (§ 6.10)</w:t>
            </w:r>
          </w:p>
        </w:tc>
      </w:tr>
      <w:tr>
        <w:tc>
          <w:tcPr>
            <w:shd w:val="clear" w:color="auto" w:fill="F5F7FB"/>
          </w:tcPr>
          <w:p>
            <w:pPr>
              <w:pStyle w:val="Compact"/>
            </w:pPr>
            <w:r>
              <w:rPr>
                <w:sz w:val="17"/>
              </w:rPr>
              <w:t xml:space="preserve">Loi organique</w:t>
            </w:r>
          </w:p>
        </w:tc>
        <w:tc>
          <w:tcPr>
            <w:shd w:val="clear" w:color="auto" w:fill="F5F7FB"/>
          </w:tcPr>
          <w:p>
            <w:pPr>
              <w:pStyle w:val="Compact"/>
            </w:pPr>
            <w:r>
              <w:rPr>
                <w:b/>
                <w:bCs/>
                <w:sz w:val="17"/>
              </w:rPr>
              <w:t xml:space="preserve">Loi organique n° 18/027 du 13 décembre 2018</w:t>
            </w:r>
            <w:r>
              <w:rPr>
                <w:sz w:val="17"/>
              </w:rPr>
              <w:t xml:space="preserve"> </w:t>
            </w:r>
            <w:r>
              <w:rPr>
                <w:sz w:val="17"/>
              </w:rPr>
              <w:t xml:space="preserve">portant organisation et fonctionnement de la Banque Centrale du Congo</w:t>
            </w:r>
          </w:p>
        </w:tc>
        <w:tc>
          <w:tcPr>
            <w:shd w:val="clear" w:color="auto" w:fill="F5F7FB"/>
          </w:tcPr>
          <w:p>
            <w:pPr>
              <w:pStyle w:val="Compact"/>
            </w:pPr>
            <w:r>
              <w:rPr>
                <w:sz w:val="17"/>
              </w:rPr>
              <w:t xml:space="preserve">BCC caissier de l’État, surveillance des paiements</w:t>
            </w:r>
          </w:p>
        </w:tc>
        <w:tc>
          <w:tcPr>
            <w:shd w:val="clear" w:color="auto" w:fill="F5F7FB"/>
          </w:tcPr>
          <w:p>
            <w:pPr>
              <w:pStyle w:val="Compact"/>
            </w:pPr>
            <w:r>
              <w:rPr>
                <w:sz w:val="17"/>
              </w:rPr>
              <w:t xml:space="preserve">[CONFIRMÉ]</w:t>
            </w:r>
          </w:p>
        </w:tc>
        <w:tc>
          <w:tcPr>
            <w:shd w:val="clear" w:color="auto" w:fill="F5F7FB"/>
          </w:tcPr>
          <w:p>
            <w:pPr>
              <w:pStyle w:val="Compact"/>
            </w:pPr>
            <w:r>
              <w:rPr>
                <w:sz w:val="17"/>
              </w:rPr>
              <w:t xml:space="preserve">Comptes publics provinciaux et habilitation des prestataires</w:t>
            </w:r>
          </w:p>
        </w:tc>
      </w:tr>
      <w:tr>
        <w:tc>
          <w:tcPr/>
          <w:p>
            <w:pPr>
              <w:pStyle w:val="Compact"/>
            </w:pPr>
            <w:r>
              <w:rPr>
                <w:sz w:val="17"/>
              </w:rPr>
              <w:t xml:space="preserve">Instructions BCC</w:t>
            </w:r>
          </w:p>
        </w:tc>
        <w:tc>
          <w:tcPr/>
          <w:p>
            <w:pPr>
              <w:pStyle w:val="Compact"/>
            </w:pPr>
            <w:r>
              <w:rPr>
                <w:b/>
                <w:bCs/>
                <w:sz w:val="17"/>
              </w:rPr>
              <w:t xml:space="preserve">Instruction n° 24</w:t>
            </w:r>
            <w:r>
              <w:rPr>
                <w:sz w:val="17"/>
              </w:rPr>
              <w:t xml:space="preserve"> </w:t>
            </w:r>
            <w:r>
              <w:rPr>
                <w:sz w:val="17"/>
              </w:rPr>
              <w:t xml:space="preserve">(monnaie électronique),</w:t>
            </w:r>
            <w:r>
              <w:rPr>
                <w:sz w:val="17"/>
              </w:rPr>
              <w:t xml:space="preserve"> </w:t>
            </w:r>
            <w:r>
              <w:rPr>
                <w:b/>
                <w:bCs/>
                <w:sz w:val="17"/>
              </w:rPr>
              <w:t xml:space="preserve">Instruction n° 42</w:t>
            </w:r>
            <w:r>
              <w:rPr>
                <w:sz w:val="17"/>
              </w:rPr>
              <w:t xml:space="preserve"> </w:t>
            </w:r>
            <w:r>
              <w:rPr>
                <w:sz w:val="17"/>
              </w:rPr>
              <w:t xml:space="preserve">(agrégateurs, fintechs),</w:t>
            </w:r>
            <w:r>
              <w:rPr>
                <w:sz w:val="17"/>
              </w:rPr>
              <w:t xml:space="preserve"> </w:t>
            </w:r>
            <w:r>
              <w:rPr>
                <w:b/>
                <w:bCs/>
                <w:sz w:val="17"/>
              </w:rPr>
              <w:t xml:space="preserve">Instruction n° 58/2024</w:t>
            </w:r>
            <w:r>
              <w:rPr>
                <w:sz w:val="17"/>
              </w:rPr>
              <w:t xml:space="preserve"> </w:t>
            </w:r>
            <w:r>
              <w:rPr>
                <w:sz w:val="17"/>
              </w:rPr>
              <w:t xml:space="preserve">(interopérabilité)</w:t>
            </w:r>
          </w:p>
        </w:tc>
        <w:tc>
          <w:tcPr/>
          <w:p>
            <w:pPr>
              <w:pStyle w:val="Compact"/>
            </w:pPr>
            <w:r>
              <w:rPr>
                <w:sz w:val="17"/>
              </w:rPr>
              <w:t xml:space="preserve">Habilitation des émetteurs de monnaie électronique et des agrégateurs</w:t>
            </w:r>
          </w:p>
        </w:tc>
        <w:tc>
          <w:tcPr/>
          <w:p>
            <w:pPr>
              <w:pStyle w:val="Compact"/>
            </w:pPr>
            <w:r>
              <w:rPr>
                <w:sz w:val="17"/>
              </w:rPr>
              <w:t xml:space="preserve">[PROBABLE / À VÉRIFIER pour les versions en vigueur]</w:t>
            </w:r>
          </w:p>
        </w:tc>
        <w:tc>
          <w:tcPr/>
          <w:p>
            <w:pPr>
              <w:pStyle w:val="Compact"/>
            </w:pPr>
            <w:r>
              <w:rPr>
                <w:b/>
                <w:bCs/>
                <w:sz w:val="17"/>
              </w:rPr>
              <w:t xml:space="preserve">Si MOSOLO ou un prestataire agrège des paiements, un agrément BCC est probablement requis</w:t>
            </w:r>
          </w:p>
        </w:tc>
      </w:tr>
      <w:tr>
        <w:tc>
          <w:tcPr>
            <w:shd w:val="clear" w:color="auto" w:fill="F5F7FB"/>
          </w:tcPr>
          <w:p>
            <w:pPr>
              <w:pStyle w:val="Compact"/>
            </w:pPr>
            <w:r>
              <w:rPr>
                <w:sz w:val="17"/>
              </w:rPr>
              <w:t xml:space="preserve">Loi</w:t>
            </w:r>
          </w:p>
        </w:tc>
        <w:tc>
          <w:tcPr>
            <w:shd w:val="clear" w:color="auto" w:fill="F5F7FB"/>
          </w:tcPr>
          <w:p>
            <w:pPr>
              <w:pStyle w:val="Compact"/>
            </w:pPr>
            <w:r>
              <w:rPr>
                <w:b/>
                <w:bCs/>
                <w:sz w:val="17"/>
              </w:rPr>
              <w:t xml:space="preserve">Loi n° 22/068 du 27 décembre 2022</w:t>
            </w:r>
            <w:r>
              <w:rPr>
                <w:sz w:val="17"/>
              </w:rPr>
              <w:t xml:space="preserve"> </w:t>
            </w:r>
            <w:r>
              <w:rPr>
                <w:sz w:val="17"/>
              </w:rPr>
              <w:t xml:space="preserve">(lutte contre le blanchiment et le financement du terrorisme)</w:t>
            </w:r>
          </w:p>
        </w:tc>
        <w:tc>
          <w:tcPr>
            <w:shd w:val="clear" w:color="auto" w:fill="F5F7FB"/>
          </w:tcPr>
          <w:p>
            <w:pPr>
              <w:pStyle w:val="Compact"/>
            </w:pPr>
            <w:r>
              <w:rPr>
                <w:sz w:val="17"/>
              </w:rPr>
              <w:t xml:space="preserve">Vigilance, identification, déclarations de soupçon à la CENAREF</w:t>
            </w:r>
          </w:p>
        </w:tc>
        <w:tc>
          <w:tcPr>
            <w:shd w:val="clear" w:color="auto" w:fill="F5F7FB"/>
          </w:tcPr>
          <w:p>
            <w:pPr>
              <w:pStyle w:val="Compact"/>
            </w:pPr>
            <w:r>
              <w:rPr>
                <w:sz w:val="17"/>
              </w:rPr>
              <w:t xml:space="preserve">[CONFIRMÉ]</w:t>
            </w:r>
          </w:p>
        </w:tc>
        <w:tc>
          <w:tcPr>
            <w:shd w:val="clear" w:color="auto" w:fill="F5F7FB"/>
          </w:tcPr>
          <w:p>
            <w:pPr>
              <w:pStyle w:val="Compact"/>
            </w:pPr>
            <w:r>
              <w:rPr>
                <w:sz w:val="17"/>
              </w:rPr>
              <w:t xml:space="preserve">Obligations portées par les banques et émetteurs partenaires ; clauses contractuelles</w:t>
            </w:r>
          </w:p>
        </w:tc>
      </w:tr>
      <w:tr>
        <w:tc>
          <w:tcPr/>
          <w:p>
            <w:pPr>
              <w:pStyle w:val="Compact"/>
            </w:pPr>
            <w:r>
              <w:rPr>
                <w:sz w:val="17"/>
              </w:rPr>
              <w:t xml:space="preserve">Loi</w:t>
            </w:r>
          </w:p>
        </w:tc>
        <w:tc>
          <w:tcPr/>
          <w:p>
            <w:pPr>
              <w:pStyle w:val="Compact"/>
            </w:pPr>
            <w:r>
              <w:rPr>
                <w:b/>
                <w:bCs/>
                <w:sz w:val="17"/>
              </w:rPr>
              <w:t xml:space="preserve">Loi n° 10/010 du 27 avril 2010</w:t>
            </w:r>
            <w:r>
              <w:rPr>
                <w:sz w:val="17"/>
              </w:rPr>
              <w:t xml:space="preserve"> </w:t>
            </w:r>
            <w:r>
              <w:rPr>
                <w:sz w:val="17"/>
              </w:rPr>
              <w:t xml:space="preserve">relative aux marchés publics (projet de révision validé en commission en janvier 2026)</w:t>
            </w:r>
          </w:p>
        </w:tc>
        <w:tc>
          <w:tcPr/>
          <w:p>
            <w:pPr>
              <w:pStyle w:val="Compact"/>
            </w:pPr>
            <w:r>
              <w:rPr>
                <w:sz w:val="17"/>
              </w:rPr>
              <w:t xml:space="preserve">Sélection des prestataires</w:t>
            </w:r>
          </w:p>
        </w:tc>
        <w:tc>
          <w:tcPr/>
          <w:p>
            <w:pPr>
              <w:pStyle w:val="Compact"/>
            </w:pPr>
            <w:r>
              <w:rPr>
                <w:sz w:val="17"/>
              </w:rPr>
              <w:t xml:space="preserve">[CONFIRMÉ ; révision À VÉRIFIER]</w:t>
            </w:r>
          </w:p>
        </w:tc>
        <w:tc>
          <w:tcPr/>
          <w:p>
            <w:pPr>
              <w:pStyle w:val="Compact"/>
            </w:pPr>
            <w:r>
              <w:rPr>
                <w:sz w:val="17"/>
              </w:rPr>
              <w:t xml:space="preserve">Chapitre 37</w:t>
            </w:r>
          </w:p>
        </w:tc>
      </w:tr>
      <w:tr>
        <w:tc>
          <w:tcPr>
            <w:shd w:val="clear" w:color="auto" w:fill="F5F7FB"/>
          </w:tcPr>
          <w:p>
            <w:pPr>
              <w:pStyle w:val="Compact"/>
            </w:pPr>
            <w:r>
              <w:rPr>
                <w:sz w:val="17"/>
              </w:rPr>
              <w:t xml:space="preserve">Loi</w:t>
            </w:r>
          </w:p>
        </w:tc>
        <w:tc>
          <w:tcPr>
            <w:shd w:val="clear" w:color="auto" w:fill="F5F7FB"/>
          </w:tcPr>
          <w:p>
            <w:pPr>
              <w:pStyle w:val="Compact"/>
            </w:pPr>
            <w:r>
              <w:rPr>
                <w:b/>
                <w:bCs/>
                <w:sz w:val="17"/>
              </w:rPr>
              <w:t xml:space="preserve">Loi n° 18/016 du 9 juillet 2018</w:t>
            </w:r>
            <w:r>
              <w:rPr>
                <w:sz w:val="17"/>
              </w:rPr>
              <w:t xml:space="preserve"> </w:t>
            </w:r>
            <w:r>
              <w:rPr>
                <w:sz w:val="17"/>
              </w:rPr>
              <w:t xml:space="preserve">relative au partenariat public-privé ; décrets d’application (dont décret n° 23/38 du 26 octobre 2023)</w:t>
            </w:r>
          </w:p>
        </w:tc>
        <w:tc>
          <w:tcPr>
            <w:shd w:val="clear" w:color="auto" w:fill="F5F7FB"/>
          </w:tcPr>
          <w:p>
            <w:pPr>
              <w:pStyle w:val="Compact"/>
            </w:pPr>
            <w:r>
              <w:rPr>
                <w:sz w:val="17"/>
              </w:rPr>
              <w:t xml:space="preserve">PPP, appel à la concurrence, rémunération</w:t>
            </w:r>
          </w:p>
        </w:tc>
        <w:tc>
          <w:tcPr>
            <w:shd w:val="clear" w:color="auto" w:fill="F5F7FB"/>
          </w:tcPr>
          <w:p>
            <w:pPr>
              <w:pStyle w:val="Compact"/>
            </w:pPr>
            <w:r>
              <w:rPr>
                <w:sz w:val="17"/>
              </w:rPr>
              <w:t xml:space="preserve">[CONFIRMÉ]</w:t>
            </w:r>
          </w:p>
        </w:tc>
        <w:tc>
          <w:tcPr>
            <w:shd w:val="clear" w:color="auto" w:fill="F5F7FB"/>
          </w:tcPr>
          <w:p>
            <w:pPr>
              <w:pStyle w:val="Compact"/>
            </w:pPr>
            <w:r>
              <w:rPr>
                <w:sz w:val="17"/>
              </w:rPr>
              <w:t xml:space="preserve">Chapitre 37 ; clauses de rémunération à lire dans le texte</w:t>
            </w:r>
          </w:p>
        </w:tc>
      </w:tr>
      <w:tr>
        <w:tc>
          <w:tcPr/>
          <w:p>
            <w:pPr>
              <w:pStyle w:val="Compact"/>
            </w:pPr>
            <w:r>
              <w:rPr>
                <w:sz w:val="17"/>
              </w:rPr>
              <w:t xml:space="preserve">Loi organique</w:t>
            </w:r>
          </w:p>
        </w:tc>
        <w:tc>
          <w:tcPr/>
          <w:p>
            <w:pPr>
              <w:pStyle w:val="Compact"/>
            </w:pPr>
            <w:r>
              <w:rPr>
                <w:b/>
                <w:bCs/>
                <w:sz w:val="17"/>
              </w:rPr>
              <w:t xml:space="preserve">Loi organique n° 18/024 du 13 novembre 2018</w:t>
            </w:r>
            <w:r>
              <w:rPr>
                <w:sz w:val="17"/>
              </w:rPr>
              <w:t xml:space="preserve"> </w:t>
            </w:r>
            <w:r>
              <w:rPr>
                <w:sz w:val="17"/>
              </w:rPr>
              <w:t xml:space="preserve">relative à la Cour des comptes</w:t>
            </w:r>
          </w:p>
        </w:tc>
        <w:tc>
          <w:tcPr/>
          <w:p>
            <w:pPr>
              <w:pStyle w:val="Compact"/>
            </w:pPr>
            <w:r>
              <w:rPr>
                <w:sz w:val="17"/>
              </w:rPr>
              <w:t xml:space="preserve">Contrôle des finances des provinces et de toute personne gérant des fonds publics ; chambres provinciales</w:t>
            </w:r>
          </w:p>
        </w:tc>
        <w:tc>
          <w:tcPr/>
          <w:p>
            <w:pPr>
              <w:pStyle w:val="Compact"/>
            </w:pPr>
            <w:r>
              <w:rPr>
                <w:sz w:val="17"/>
              </w:rPr>
              <w:t xml:space="preserve">[CONFIRMÉ]</w:t>
            </w:r>
          </w:p>
        </w:tc>
        <w:tc>
          <w:tcPr/>
          <w:p>
            <w:pPr>
              <w:pStyle w:val="Compact"/>
            </w:pPr>
            <w:r>
              <w:rPr>
                <w:sz w:val="17"/>
              </w:rPr>
              <w:t xml:space="preserve">Accès auditeur, risque de</w:t>
            </w:r>
            <w:r>
              <w:rPr>
                <w:sz w:val="17"/>
              </w:rPr>
              <w:t xml:space="preserve"> </w:t>
            </w:r>
            <w:r>
              <w:rPr>
                <w:b/>
                <w:bCs/>
                <w:sz w:val="17"/>
              </w:rPr>
              <w:t xml:space="preserve">gestion de fait</w:t>
            </w:r>
            <w:r>
              <w:rPr>
                <w:sz w:val="17"/>
              </w:rPr>
              <w:t xml:space="preserve"> </w:t>
            </w:r>
            <w:r>
              <w:rPr>
                <w:sz w:val="17"/>
              </w:rPr>
              <w:t xml:space="preserve">si un tiers manie des fonds publics</w:t>
            </w:r>
          </w:p>
        </w:tc>
      </w:tr>
      <w:tr>
        <w:tc>
          <w:tcPr>
            <w:shd w:val="clear" w:color="auto" w:fill="F5F7FB"/>
          </w:tcPr>
          <w:p>
            <w:pPr>
              <w:pStyle w:val="Compact"/>
            </w:pPr>
            <w:r>
              <w:rPr>
                <w:sz w:val="17"/>
              </w:rPr>
              <w:t xml:space="preserve">Loi</w:t>
            </w:r>
          </w:p>
        </w:tc>
        <w:tc>
          <w:tcPr>
            <w:shd w:val="clear" w:color="auto" w:fill="F5F7FB"/>
          </w:tcPr>
          <w:p>
            <w:pPr>
              <w:pStyle w:val="Compact"/>
            </w:pPr>
            <w:r>
              <w:rPr>
                <w:b/>
                <w:bCs/>
                <w:sz w:val="17"/>
              </w:rPr>
              <w:t xml:space="preserve">Loi n° 11/009 du 9 juillet 2011</w:t>
            </w:r>
            <w:r>
              <w:rPr>
                <w:sz w:val="17"/>
              </w:rPr>
              <w:t xml:space="preserve"> </w:t>
            </w:r>
            <w:r>
              <w:rPr>
                <w:sz w:val="17"/>
              </w:rPr>
              <w:t xml:space="preserve">relative à la protection de l’environnement, modifiée par l’</w:t>
            </w:r>
            <w:r>
              <w:rPr>
                <w:b/>
                <w:bCs/>
                <w:sz w:val="17"/>
              </w:rPr>
              <w:t xml:space="preserve">OL n° 23/007 du 3 mars 2023</w:t>
            </w:r>
          </w:p>
        </w:tc>
        <w:tc>
          <w:tcPr>
            <w:shd w:val="clear" w:color="auto" w:fill="F5F7FB"/>
          </w:tcPr>
          <w:p>
            <w:pPr>
              <w:pStyle w:val="Compact"/>
            </w:pPr>
            <w:r>
              <w:rPr>
                <w:sz w:val="17"/>
              </w:rPr>
              <w:t xml:space="preserve">Principe pollueur-payeur</w:t>
            </w:r>
          </w:p>
        </w:tc>
        <w:tc>
          <w:tcPr>
            <w:shd w:val="clear" w:color="auto" w:fill="F5F7FB"/>
          </w:tcPr>
          <w:p>
            <w:pPr>
              <w:pStyle w:val="Compact"/>
            </w:pPr>
            <w:r>
              <w:rPr>
                <w:sz w:val="17"/>
              </w:rPr>
              <w:t xml:space="preserve">[CONFIRMÉ pour l’existence]</w:t>
            </w:r>
          </w:p>
        </w:tc>
        <w:tc>
          <w:tcPr>
            <w:shd w:val="clear" w:color="auto" w:fill="F5F7FB"/>
          </w:tcPr>
          <w:p>
            <w:pPr>
              <w:pStyle w:val="Compact"/>
            </w:pPr>
            <w:r>
              <w:rPr>
                <w:sz w:val="17"/>
              </w:rPr>
              <w:t xml:space="preserve">Fondement possible d’une contribution environnementale, sous réserve de la nomenclature</w:t>
            </w:r>
          </w:p>
        </w:tc>
      </w:tr>
      <w:tr>
        <w:tc>
          <w:tcPr/>
          <w:p>
            <w:pPr>
              <w:pStyle w:val="Compact"/>
            </w:pPr>
            <w:r>
              <w:rPr>
                <w:sz w:val="17"/>
              </w:rPr>
              <w:t xml:space="preserve">Décret</w:t>
            </w:r>
          </w:p>
        </w:tc>
        <w:tc>
          <w:tcPr/>
          <w:p>
            <w:pPr>
              <w:pStyle w:val="Compact"/>
            </w:pPr>
            <w:r>
              <w:rPr>
                <w:b/>
                <w:bCs/>
                <w:sz w:val="17"/>
              </w:rPr>
              <w:t xml:space="preserve">Décret n° 17/018 du 30 décembre 2017</w:t>
            </w:r>
            <w:r>
              <w:rPr>
                <w:sz w:val="17"/>
              </w:rPr>
              <w:t xml:space="preserve"> </w:t>
            </w:r>
            <w:r>
              <w:rPr>
                <w:sz w:val="17"/>
              </w:rPr>
              <w:t xml:space="preserve">portant interdiction de production, d’importation, de commercialisation et d’utilisation des sacs, sachets, films et autres emballages en plastique (emballages alimentaires, eau, boissons, non biodégradables), avec exemptions ; arrêté d’exécution de 2018 fixant des amendes</w:t>
            </w:r>
          </w:p>
        </w:tc>
        <w:tc>
          <w:tcPr/>
          <w:p>
            <w:pPr>
              <w:pStyle w:val="Compact"/>
            </w:pPr>
            <w:r>
              <w:rPr>
                <w:sz w:val="17"/>
              </w:rPr>
              <w:t xml:space="preserve">Interdiction nationale</w:t>
            </w:r>
          </w:p>
        </w:tc>
        <w:tc>
          <w:tcPr/>
          <w:p>
            <w:pPr>
              <w:pStyle w:val="Compact"/>
            </w:pPr>
            <w:r>
              <w:rPr>
                <w:sz w:val="17"/>
              </w:rPr>
              <w:t xml:space="preserve">[CONFIRMÉ]</w:t>
            </w:r>
          </w:p>
        </w:tc>
        <w:tc>
          <w:tcPr/>
          <w:p>
            <w:pPr>
              <w:pStyle w:val="Compact"/>
            </w:pPr>
            <w:r>
              <w:rPr>
                <w:sz w:val="17"/>
              </w:rPr>
              <w:t xml:space="preserve">Toute contribution plastique doit s’articuler avec l’interdiction (§ 8.5)</w:t>
            </w:r>
          </w:p>
        </w:tc>
      </w:tr>
      <w:tr>
        <w:tc>
          <w:tcPr>
            <w:shd w:val="clear" w:color="auto" w:fill="F5F7FB"/>
          </w:tcPr>
          <w:p>
            <w:pPr>
              <w:pStyle w:val="Compact"/>
            </w:pPr>
            <w:r>
              <w:rPr>
                <w:sz w:val="17"/>
              </w:rPr>
              <w:t xml:space="preserve">Décrets</w:t>
            </w:r>
          </w:p>
        </w:tc>
        <w:tc>
          <w:tcPr>
            <w:shd w:val="clear" w:color="auto" w:fill="F5F7FB"/>
          </w:tcPr>
          <w:p>
            <w:pPr>
              <w:pStyle w:val="Compact"/>
            </w:pPr>
            <w:r>
              <w:rPr>
                <w:sz w:val="17"/>
              </w:rPr>
              <w:t xml:space="preserve">Décret n° 011/48 du 3 décembre 2011 (ONIP) ; décrets n° 22/07 et 22/08 du 2 mars 2022 (fichier général de la population, carte d’identité nationale)</w:t>
            </w:r>
          </w:p>
        </w:tc>
        <w:tc>
          <w:tcPr>
            <w:shd w:val="clear" w:color="auto" w:fill="F5F7FB"/>
          </w:tcPr>
          <w:p>
            <w:pPr>
              <w:pStyle w:val="Compact"/>
            </w:pPr>
            <w:r>
              <w:rPr>
                <w:sz w:val="17"/>
              </w:rPr>
              <w:t xml:space="preserve">Identification de la population</w:t>
            </w:r>
          </w:p>
        </w:tc>
        <w:tc>
          <w:tcPr>
            <w:shd w:val="clear" w:color="auto" w:fill="F5F7FB"/>
          </w:tcPr>
          <w:p>
            <w:pPr>
              <w:pStyle w:val="Compact"/>
            </w:pPr>
            <w:r>
              <w:rPr>
                <w:sz w:val="17"/>
              </w:rPr>
              <w:t xml:space="preserve">[PROBABLE] ; identification de masse annoncée pour fin 2026</w:t>
            </w:r>
          </w:p>
        </w:tc>
        <w:tc>
          <w:tcPr>
            <w:shd w:val="clear" w:color="auto" w:fill="F5F7FB"/>
          </w:tcPr>
          <w:p>
            <w:pPr>
              <w:pStyle w:val="Compact"/>
            </w:pPr>
            <w:r>
              <w:rPr>
                <w:sz w:val="17"/>
              </w:rPr>
              <w:t xml:space="preserve">Pas d’identifiant national universel fiable avant 2027 : conception tolérante (ch. 9)</w:t>
            </w:r>
          </w:p>
        </w:tc>
      </w:tr>
      <w:tr>
        <w:tc>
          <w:tcPr/>
          <w:p>
            <w:pPr>
              <w:pStyle w:val="Compact"/>
            </w:pPr>
            <w:r>
              <w:rPr>
                <w:sz w:val="17"/>
              </w:rPr>
              <w:t xml:space="preserve">Pratique</w:t>
            </w:r>
          </w:p>
        </w:tc>
        <w:tc>
          <w:tcPr/>
          <w:p>
            <w:pPr>
              <w:pStyle w:val="Compact"/>
            </w:pPr>
            <w:r>
              <w:rPr>
                <w:sz w:val="17"/>
              </w:rPr>
              <w:t xml:space="preserve">Numéro d’identification fiscale (NIF) délivré par la DGI, y compris pour les redevables des ETD</w:t>
            </w:r>
          </w:p>
        </w:tc>
        <w:tc>
          <w:tcPr/>
          <w:p>
            <w:pPr>
              <w:pStyle w:val="Compact"/>
            </w:pPr>
            <w:r>
              <w:rPr>
                <w:sz w:val="17"/>
              </w:rPr>
              <w:t xml:space="preserve">Identifiant fiscal national</w:t>
            </w:r>
          </w:p>
        </w:tc>
        <w:tc>
          <w:tcPr/>
          <w:p>
            <w:pPr>
              <w:pStyle w:val="Compact"/>
            </w:pPr>
            <w:r>
              <w:rPr>
                <w:sz w:val="17"/>
              </w:rPr>
              <w:t xml:space="preserve">[PROBABLE]</w:t>
            </w:r>
          </w:p>
        </w:tc>
        <w:tc>
          <w:tcPr/>
          <w:p>
            <w:pPr>
              <w:pStyle w:val="Compact"/>
            </w:pPr>
            <w:r>
              <w:rPr>
                <w:sz w:val="17"/>
              </w:rPr>
              <w:t xml:space="preserve">Clé de rapprochement privilégiée ; l’IUC MOSOLO n’est qu’un identifiant technique, pas un identifiant fiscal concurrent</w:t>
            </w:r>
          </w:p>
        </w:tc>
      </w:tr>
    </w:tbl>
    <w:bookmarkEnd w:id="36"/>
    <w:bookmarkStart w:id="37" w:name="X68b4bf328d00455273f45ccf6adae8febabb82f"/>
    <w:p>
      <w:pPr>
        <w:pStyle w:val="Heading2"/>
      </w:pPr>
      <w:r>
        <w:t xml:space="preserve">6.3 Statut de l’Ordonnance-loi n° 13/001 et des références héritées</w:t>
      </w:r>
    </w:p>
    <w:p>
      <w:pPr>
        <w:pStyle w:val="FirstParagraph"/>
      </w:pPr>
      <w:r>
        <w:t xml:space="preserve">Le document de projet d’origine (note KIN-RECETTES) s’appuyait sur l’Ordonnance-loi n° 13/001 du 23 février 2013.</w:t>
      </w:r>
      <w:r>
        <w:t xml:space="preserve"> </w:t>
      </w:r>
      <w:r>
        <w:rPr>
          <w:b/>
          <w:bCs/>
        </w:rPr>
        <w:t xml:space="preserve">Ce texte est abrogé</w:t>
      </w:r>
      <w:r>
        <w:t xml:space="preserve"> </w:t>
      </w:r>
      <w:r>
        <w:t xml:space="preserve">par l’Ordonnance-loi n° 18/004 du 13 mars 2018 [CONFIRMÉ]. Conséquences :</w:t>
      </w:r>
    </w:p>
    <w:p>
      <w:pPr>
        <w:pStyle w:val="Compact"/>
        <w:numPr>
          <w:ilvl w:val="0"/>
          <w:numId w:val="1005"/>
        </w:numPr>
      </w:pPr>
      <w:r>
        <w:t xml:space="preserve">aucune fiche de règle ne peut citer l’OL 13/001 comme fondement d’une obligation née après l’abrogation ;</w:t>
      </w:r>
    </w:p>
    <w:p>
      <w:pPr>
        <w:pStyle w:val="Compact"/>
        <w:numPr>
          <w:ilvl w:val="0"/>
          <w:numId w:val="1005"/>
        </w:numPr>
      </w:pPr>
      <w:r>
        <w:t xml:space="preserve">les arriérés nés sous l’empire de l’OL 13/001 (exercices antérieurs à 2018) ne peuvent être repris qu’avec leur base légale d’origine et sous réserve des règles de prescription, après avis juridique ;</w:t>
      </w:r>
    </w:p>
    <w:p>
      <w:pPr>
        <w:pStyle w:val="Compact"/>
        <w:numPr>
          <w:ilvl w:val="0"/>
          <w:numId w:val="1005"/>
        </w:numPr>
      </w:pPr>
      <w:r>
        <w:t xml:space="preserve">le moteur de règles tient une</w:t>
      </w:r>
      <w:r>
        <w:t xml:space="preserve"> </w:t>
      </w:r>
      <w:r>
        <w:rPr>
          <w:b/>
          <w:bCs/>
        </w:rPr>
        <w:t xml:space="preserve">liste noire des instruments abrogés</w:t>
      </w:r>
      <w:r>
        <w:t xml:space="preserve"> </w:t>
      </w:r>
      <w:r>
        <w:t xml:space="preserve">: toute tentative de publier une règle référençant un instrument au statut</w:t>
      </w:r>
      <w:r>
        <w:t xml:space="preserve"> </w:t>
      </w:r>
      <w:r>
        <w:rPr>
          <w:rStyle w:val="VerbatimChar"/>
        </w:rPr>
        <w:t xml:space="preserve">ABROGE</w:t>
      </w:r>
      <w:r>
        <w:t xml:space="preserve"> </w:t>
      </w:r>
      <w:r>
        <w:t xml:space="preserve">avec une date d’effet postérieure à l’abrogation est bloquée (test d’acceptation AC-LEG-03, ch. 41) ;</w:t>
      </w:r>
    </w:p>
    <w:p>
      <w:pPr>
        <w:pStyle w:val="Compact"/>
        <w:numPr>
          <w:ilvl w:val="0"/>
          <w:numId w:val="1005"/>
        </w:numPr>
      </w:pPr>
      <w:r>
        <w:t xml:space="preserve">les clés de répartition province–ETD souvent citées (par exemple « 40 % aux ETD ») proviennent de l’ancien régime ou de la rétrocession des recettes nationales ;</w:t>
      </w:r>
      <w:r>
        <w:t xml:space="preserve"> </w:t>
      </w:r>
      <w:r>
        <w:rPr>
          <w:b/>
          <w:bCs/>
        </w:rPr>
        <w:t xml:space="preserve">aucun pourcentage de répartition issu de l’OL 18/004 ne doit être paramétré avant lecture du texte</w:t>
      </w:r>
      <w:r>
        <w:t xml:space="preserve"> </w:t>
      </w:r>
      <w:r>
        <w:t xml:space="preserve">[À VÉRIFIER].</w:t>
      </w:r>
    </w:p>
    <w:bookmarkEnd w:id="37"/>
    <w:bookmarkStart w:id="41" w:name="X0fcc55779a10b25d5115f5edbbd0183d7a77b43"/>
    <w:p>
      <w:pPr>
        <w:pStyle w:val="Heading2"/>
      </w:pPr>
      <w:r>
        <w:t xml:space="preserve">6.4 Impôt sur les revenus locatifs : taux, retenue et assiette</w:t>
      </w:r>
    </w:p>
    <w:p>
      <w:pPr>
        <w:pStyle w:val="FirstParagraph"/>
      </w:pPr>
      <w:r>
        <w:t xml:space="preserve">La commande initiale mentionnait un taux de 20 %.</w:t>
      </w:r>
      <w:r>
        <w:t xml:space="preserve"> </w:t>
      </w:r>
      <w:r>
        <w:rPr>
          <w:b/>
          <w:bCs/>
        </w:rPr>
        <w:t xml:space="preserve">Ce chiffre ne doit pas être utilisé comme taux de l’impôt.</w:t>
      </w:r>
      <w:r>
        <w:t xml:space="preserve"> </w:t>
      </w:r>
      <w:r>
        <w:t xml:space="preserve">Selon le communiqué du Gouvernement provincial relayé par la presse en février 2026, qui reprend les taux applicables depuis le 1er janvier 2024 [CONFIRMÉ par recoupement de presse ;</w:t>
      </w:r>
      <w:r>
        <w:t xml:space="preserve"> </w:t>
      </w:r>
      <w:r>
        <w:rPr>
          <w:b/>
          <w:bCs/>
        </w:rPr>
        <w:t xml:space="preserve">arrêté de référence À VÉRIFIER</w:t>
      </w:r>
      <w:r>
        <w:t xml:space="preserve">] :</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Rang de localité</w:t>
            </w:r>
          </w:p>
        </w:tc>
        <w:tc>
          <w:tcPr>
            <w:shd w:val="clear" w:color="auto" w:fill="232C6B"/>
          </w:tcPr>
          <w:p>
            <w:pPr>
              <w:pStyle w:val="Compact"/>
            </w:pPr>
            <w:r>
              <w:rPr>
                <w:b/>
                <w:color w:val="FFFFFF"/>
                <w:sz w:val="17"/>
              </w:rPr>
              <w:t xml:space="preserve">Taux de l’impôt (sur le loyer effectivement perçu)</w:t>
            </w:r>
          </w:p>
        </w:tc>
        <w:tc>
          <w:tcPr>
            <w:shd w:val="clear" w:color="auto" w:fill="232C6B"/>
          </w:tcPr>
          <w:p>
            <w:pPr>
              <w:pStyle w:val="Compact"/>
            </w:pPr>
            <w:r>
              <w:rPr>
                <w:b/>
                <w:color w:val="FFFFFF"/>
                <w:sz w:val="17"/>
              </w:rPr>
              <w:t xml:space="preserve">Retenue à la source opérée par le locataire</w:t>
            </w:r>
          </w:p>
        </w:tc>
        <w:tc>
          <w:tcPr>
            <w:shd w:val="clear" w:color="auto" w:fill="232C6B"/>
          </w:tcPr>
          <w:p>
            <w:pPr>
              <w:pStyle w:val="Compact"/>
            </w:pPr>
            <w:r>
              <w:rPr>
                <w:b/>
                <w:color w:val="FFFFFF"/>
                <w:sz w:val="17"/>
              </w:rPr>
              <w:t xml:space="preserve">Complément à la charge du bailleur</w:t>
            </w:r>
          </w:p>
        </w:tc>
      </w:tr>
      <w:tr>
        <w:tc>
          <w:tcPr/>
          <w:p>
            <w:pPr>
              <w:pStyle w:val="Compact"/>
            </w:pPr>
            <w:r>
              <w:rPr>
                <w:sz w:val="17"/>
              </w:rPr>
              <w:t xml:space="preserve">1er rang</w:t>
            </w:r>
          </w:p>
        </w:tc>
        <w:tc>
          <w:tcPr/>
          <w:p>
            <w:pPr>
              <w:pStyle w:val="Compact"/>
            </w:pPr>
            <w:r>
              <w:rPr>
                <w:b/>
                <w:bCs/>
                <w:sz w:val="17"/>
              </w:rPr>
              <w:t xml:space="preserve">22 %</w:t>
            </w:r>
          </w:p>
        </w:tc>
        <w:tc>
          <w:tcPr/>
          <w:p>
            <w:pPr>
              <w:pStyle w:val="Compact"/>
            </w:pPr>
            <w:r>
              <w:rPr>
                <w:b/>
                <w:bCs/>
                <w:sz w:val="17"/>
              </w:rPr>
              <w:t xml:space="preserve">20 %</w:t>
            </w:r>
          </w:p>
        </w:tc>
        <w:tc>
          <w:tcPr/>
          <w:p>
            <w:pPr>
              <w:pStyle w:val="Compact"/>
            </w:pPr>
            <w:r>
              <w:rPr>
                <w:sz w:val="17"/>
              </w:rPr>
              <w:t xml:space="preserve">2 points</w:t>
            </w:r>
          </w:p>
        </w:tc>
      </w:tr>
      <w:tr>
        <w:tc>
          <w:tcPr>
            <w:shd w:val="clear" w:color="auto" w:fill="F5F7FB"/>
          </w:tcPr>
          <w:p>
            <w:pPr>
              <w:pStyle w:val="Compact"/>
            </w:pPr>
            <w:r>
              <w:rPr>
                <w:sz w:val="17"/>
              </w:rPr>
              <w:t xml:space="preserve">2e, 3e et 4e rangs</w:t>
            </w:r>
          </w:p>
        </w:tc>
        <w:tc>
          <w:tcPr>
            <w:shd w:val="clear" w:color="auto" w:fill="F5F7FB"/>
          </w:tcPr>
          <w:p>
            <w:pPr>
              <w:pStyle w:val="Compact"/>
            </w:pPr>
            <w:r>
              <w:rPr>
                <w:b/>
                <w:bCs/>
                <w:sz w:val="17"/>
              </w:rPr>
              <w:t xml:space="preserve">17 %</w:t>
            </w:r>
          </w:p>
        </w:tc>
        <w:tc>
          <w:tcPr>
            <w:shd w:val="clear" w:color="auto" w:fill="F5F7FB"/>
          </w:tcPr>
          <w:p>
            <w:pPr>
              <w:pStyle w:val="Compact"/>
            </w:pPr>
            <w:r>
              <w:rPr>
                <w:b/>
                <w:bCs/>
                <w:sz w:val="17"/>
              </w:rPr>
              <w:t xml:space="preserve">15 %</w:t>
            </w:r>
          </w:p>
        </w:tc>
        <w:tc>
          <w:tcPr>
            <w:shd w:val="clear" w:color="auto" w:fill="F5F7FB"/>
          </w:tcPr>
          <w:p>
            <w:pPr>
              <w:pStyle w:val="Compact"/>
            </w:pPr>
            <w:r>
              <w:rPr>
                <w:sz w:val="17"/>
              </w:rPr>
              <w:t xml:space="preserve">2 points</w:t>
            </w:r>
          </w:p>
        </w:tc>
      </w:tr>
    </w:tbl>
    <w:p>
      <w:pPr>
        <w:pStyle w:val="CaptionedFigure"/>
      </w:pPr>
      <w:r>
        <w:drawing>
          <wp:inline>
            <wp:extent cx="6108700" cy="3260310"/>
            <wp:effectExtent b="0" l="0" r="0" t="0"/>
            <wp:docPr descr="IRL : taux et retenue" title="" id="39" name="Picture"/>
            <a:graphic>
              <a:graphicData uri="http://schemas.openxmlformats.org/drawingml/2006/picture">
                <pic:pic>
                  <pic:nvPicPr>
                    <pic:cNvPr descr="figures/fig-irl-taux.png" id="40" name="Picture"/>
                    <pic:cNvPicPr>
                      <a:picLocks noChangeArrowheads="1" noChangeAspect="1"/>
                    </pic:cNvPicPr>
                  </pic:nvPicPr>
                  <pic:blipFill>
                    <a:blip r:embed="rId38"/>
                    <a:stretch>
                      <a:fillRect/>
                    </a:stretch>
                  </pic:blipFill>
                  <pic:spPr bwMode="auto">
                    <a:xfrm>
                      <a:off x="0" y="0"/>
                      <a:ext cx="6108700" cy="3260310"/>
                    </a:xfrm>
                    <a:prstGeom prst="rect">
                      <a:avLst/>
                    </a:prstGeom>
                    <a:noFill/>
                    <a:ln w="9525">
                      <a:noFill/>
                      <a:headEnd/>
                      <a:tailEnd/>
                    </a:ln>
                  </pic:spPr>
                </pic:pic>
              </a:graphicData>
            </a:graphic>
          </wp:inline>
        </w:drawing>
      </w:r>
    </w:p>
    <w:p>
      <w:pPr>
        <w:pStyle w:val="ImageCaption"/>
      </w:pPr>
      <w:r>
        <w:t xml:space="preserve">IRL : taux et retenue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Point</w:t>
            </w:r>
          </w:p>
        </w:tc>
        <w:tc>
          <w:tcPr>
            <w:shd w:val="clear" w:color="auto" w:fill="232C6B"/>
          </w:tcPr>
          <w:p>
            <w:pPr>
              <w:pStyle w:val="Compact"/>
            </w:pPr>
            <w:r>
              <w:rPr>
                <w:b/>
                <w:color w:val="FFFFFF"/>
                <w:sz w:val="17"/>
              </w:rPr>
              <w:t xml:space="preserve">État de la connaissance</w:t>
            </w:r>
          </w:p>
        </w:tc>
        <w:tc>
          <w:tcPr>
            <w:shd w:val="clear" w:color="auto" w:fill="232C6B"/>
          </w:tcPr>
          <w:p>
            <w:pPr>
              <w:pStyle w:val="Compact"/>
            </w:pPr>
            <w:r>
              <w:rPr>
                <w:b/>
                <w:color w:val="FFFFFF"/>
                <w:sz w:val="17"/>
              </w:rPr>
              <w:t xml:space="preserve">Hypothèse de conception sûre</w:t>
            </w:r>
          </w:p>
        </w:tc>
      </w:tr>
      <w:tr>
        <w:tc>
          <w:tcPr/>
          <w:p>
            <w:pPr>
              <w:pStyle w:val="Compact"/>
            </w:pPr>
            <w:r>
              <w:rPr>
                <w:sz w:val="17"/>
              </w:rPr>
              <w:t xml:space="preserve">Qui opère la retenue (tous locataires, ou seulement personnes morales et entités assimilées)</w:t>
            </w:r>
          </w:p>
        </w:tc>
        <w:tc>
          <w:tcPr/>
          <w:p>
            <w:pPr>
              <w:pStyle w:val="Compact"/>
            </w:pPr>
            <w:r>
              <w:rPr>
                <w:sz w:val="17"/>
              </w:rPr>
              <w:t xml:space="preserve">[À VÉRIFIER]</w:t>
            </w:r>
          </w:p>
        </w:tc>
        <w:tc>
          <w:tcPr/>
          <w:p>
            <w:pPr>
              <w:pStyle w:val="Compact"/>
            </w:pPr>
            <w:r>
              <w:rPr>
                <w:sz w:val="17"/>
              </w:rPr>
              <w:t xml:space="preserve">Paramètre</w:t>
            </w:r>
            <w:r>
              <w:rPr>
                <w:sz w:val="17"/>
              </w:rPr>
              <w:t xml:space="preserve"> </w:t>
            </w:r>
            <w:r>
              <w:rPr>
                <w:rStyle w:val="VerbatimChar"/>
                <w:sz w:val="17"/>
              </w:rPr>
              <w:t xml:space="preserve">withholding_agent_categories</w:t>
            </w:r>
            <w:r>
              <w:rPr>
                <w:sz w:val="17"/>
              </w:rPr>
              <w:t xml:space="preserve"> </w:t>
            </w:r>
            <w:r>
              <w:rPr>
                <w:sz w:val="17"/>
              </w:rPr>
              <w:t xml:space="preserve">de la règle ; à défaut de confirmation,</w:t>
            </w:r>
            <w:r>
              <w:rPr>
                <w:sz w:val="17"/>
              </w:rPr>
              <w:t xml:space="preserve"> </w:t>
            </w:r>
            <w:r>
              <w:rPr>
                <w:b/>
                <w:bCs/>
                <w:sz w:val="17"/>
              </w:rPr>
              <w:t xml:space="preserve">la retenue n’est proposée que pour les locataires personnes morales et administrations</w:t>
            </w:r>
            <w:r>
              <w:rPr>
                <w:sz w:val="17"/>
              </w:rPr>
              <w:t xml:space="preserve">, les autres cas relevant de la déclaration du bailleur</w:t>
            </w:r>
          </w:p>
        </w:tc>
      </w:tr>
      <w:tr>
        <w:tc>
          <w:tcPr>
            <w:shd w:val="clear" w:color="auto" w:fill="F5F7FB"/>
          </w:tcPr>
          <w:p>
            <w:pPr>
              <w:pStyle w:val="Compact"/>
            </w:pPr>
            <w:r>
              <w:rPr>
                <w:sz w:val="17"/>
              </w:rPr>
              <w:t xml:space="preserve">Délai de reversement de la retenue (dans les 10 jours de chaque paiement, ou avant le 10 du mois suivant)</w:t>
            </w:r>
          </w:p>
        </w:tc>
        <w:tc>
          <w:tcPr>
            <w:shd w:val="clear" w:color="auto" w:fill="F5F7FB"/>
          </w:tcPr>
          <w:p>
            <w:pPr>
              <w:pStyle w:val="Compact"/>
            </w:pPr>
            <w:r>
              <w:rPr>
                <w:sz w:val="17"/>
              </w:rPr>
              <w:t xml:space="preserve">[À VÉRIFIER — deux formulations circulent]</w:t>
            </w:r>
          </w:p>
        </w:tc>
        <w:tc>
          <w:tcPr>
            <w:shd w:val="clear" w:color="auto" w:fill="F5F7FB"/>
          </w:tcPr>
          <w:p>
            <w:pPr>
              <w:pStyle w:val="Compact"/>
            </w:pPr>
            <w:r>
              <w:rPr>
                <w:sz w:val="17"/>
              </w:rPr>
              <w:t xml:space="preserve">Paramètre</w:t>
            </w:r>
            <w:r>
              <w:rPr>
                <w:sz w:val="17"/>
              </w:rPr>
              <w:t xml:space="preserve"> </w:t>
            </w:r>
            <w:r>
              <w:rPr>
                <w:rStyle w:val="VerbatimChar"/>
                <w:sz w:val="17"/>
              </w:rPr>
              <w:t xml:space="preserve">remittance_due_rule</w:t>
            </w:r>
            <w:r>
              <w:rPr>
                <w:sz w:val="17"/>
              </w:rPr>
              <w:t xml:space="preserve"> </w:t>
            </w:r>
            <w:r>
              <w:rPr>
                <w:sz w:val="17"/>
              </w:rPr>
              <w:t xml:space="preserve">; aucune pénalité de retard calculée tant que la règle n’est pas certifiée</w:t>
            </w:r>
          </w:p>
        </w:tc>
      </w:tr>
      <w:tr>
        <w:tc>
          <w:tcPr/>
          <w:p>
            <w:pPr>
              <w:pStyle w:val="Compact"/>
            </w:pPr>
            <w:r>
              <w:rPr>
                <w:sz w:val="17"/>
              </w:rPr>
              <w:t xml:space="preserve">Échéance de la déclaration annuelle du bailleur</w:t>
            </w:r>
          </w:p>
        </w:tc>
        <w:tc>
          <w:tcPr/>
          <w:p>
            <w:pPr>
              <w:pStyle w:val="Compact"/>
            </w:pPr>
            <w:r>
              <w:rPr>
                <w:sz w:val="17"/>
              </w:rPr>
              <w:t xml:space="preserve">1er février, prorogée au 28 février en 2026 [CONFIRMÉ par la presse pour 2026]</w:t>
            </w:r>
          </w:p>
        </w:tc>
        <w:tc>
          <w:tcPr/>
          <w:p>
            <w:pPr>
              <w:pStyle w:val="Compact"/>
            </w:pPr>
            <w:r>
              <w:rPr>
                <w:sz w:val="17"/>
              </w:rPr>
              <w:t xml:space="preserve">Échéance annuelle paramétrable + mécanisme de prorogation par acte, versionné</w:t>
            </w:r>
          </w:p>
        </w:tc>
      </w:tr>
      <w:tr>
        <w:tc>
          <w:tcPr>
            <w:shd w:val="clear" w:color="auto" w:fill="F5F7FB"/>
          </w:tcPr>
          <w:p>
            <w:pPr>
              <w:pStyle w:val="Compact"/>
            </w:pPr>
            <w:r>
              <w:rPr>
                <w:sz w:val="17"/>
              </w:rPr>
              <w:t xml:space="preserve">Innovations de l’édit budgétaire 2026 : baux emphytéotiques entre entreprises et confessions ou ONG pour des constructions destinées à la location ; loyers perçus par les sociétés immobilières ; indemnités de logement de travailleurs occupant leur propre logement, celui du conjoint ou logés gratuitement</w:t>
            </w:r>
          </w:p>
        </w:tc>
        <w:tc>
          <w:tcPr>
            <w:shd w:val="clear" w:color="auto" w:fill="F5F7FB"/>
          </w:tcPr>
          <w:p>
            <w:pPr>
              <w:pStyle w:val="Compact"/>
            </w:pPr>
            <w:r>
              <w:rPr>
                <w:sz w:val="17"/>
              </w:rPr>
              <w:t xml:space="preserve">[PROBABLE — édit À VÉRIFIER]</w:t>
            </w:r>
          </w:p>
        </w:tc>
        <w:tc>
          <w:tcPr>
            <w:shd w:val="clear" w:color="auto" w:fill="F5F7FB"/>
          </w:tcPr>
          <w:p>
            <w:pPr>
              <w:pStyle w:val="Compact"/>
            </w:pPr>
            <w:r>
              <w:rPr>
                <w:sz w:val="17"/>
              </w:rPr>
              <w:t xml:space="preserve">Trois sous-règles distinctes, désactivées jusqu’à certification ; chacune avec formulaire, contrôle de cohérence et voie de recours ; attention au contentieux prévisible sur les indemnités de logement</w:t>
            </w:r>
          </w:p>
        </w:tc>
      </w:tr>
      <w:tr>
        <w:tc>
          <w:tcPr/>
          <w:p>
            <w:pPr>
              <w:pStyle w:val="Compact"/>
            </w:pPr>
            <w:r>
              <w:rPr>
                <w:sz w:val="17"/>
              </w:rPr>
              <w:t xml:space="preserve">Pénalités (retard de déclaration, de paiement, de reversement de retenue)</w:t>
            </w:r>
          </w:p>
        </w:tc>
        <w:tc>
          <w:tcPr/>
          <w:p>
            <w:pPr>
              <w:pStyle w:val="Compact"/>
            </w:pPr>
            <w:r>
              <w:rPr>
                <w:sz w:val="17"/>
              </w:rPr>
              <w:t xml:space="preserve">[À VÉRIFIER — Édit 005/2021 et textes d’application]</w:t>
            </w:r>
          </w:p>
        </w:tc>
        <w:tc>
          <w:tcPr/>
          <w:p>
            <w:pPr>
              <w:pStyle w:val="Compact"/>
            </w:pPr>
            <w:r>
              <w:rPr>
                <w:sz w:val="17"/>
              </w:rPr>
              <w:t xml:space="preserve">Aucune pénalité automatique ; calcul affiché comme « estimation non opposable » dans le simulateur interne uniquement</w:t>
            </w:r>
          </w:p>
        </w:tc>
      </w:tr>
      <w:tr>
        <w:tc>
          <w:tcPr>
            <w:shd w:val="clear" w:color="auto" w:fill="F5F7FB"/>
          </w:tcPr>
          <w:p>
            <w:pPr>
              <w:pStyle w:val="Compact"/>
            </w:pPr>
            <w:r>
              <w:rPr>
                <w:sz w:val="17"/>
              </w:rPr>
              <w:t xml:space="preserve">Déductions, abattements, exonérations</w:t>
            </w:r>
          </w:p>
        </w:tc>
        <w:tc>
          <w:tcPr>
            <w:shd w:val="clear" w:color="auto" w:fill="F5F7FB"/>
          </w:tcPr>
          <w:p>
            <w:pPr>
              <w:pStyle w:val="Compact"/>
            </w:pPr>
            <w:r>
              <w:rPr>
                <w:sz w:val="17"/>
              </w:rPr>
              <w:t xml:space="preserve">[À VÉRIFIER]</w:t>
            </w:r>
          </w:p>
        </w:tc>
        <w:tc>
          <w:tcPr>
            <w:shd w:val="clear" w:color="auto" w:fill="F5F7FB"/>
          </w:tcPr>
          <w:p>
            <w:pPr>
              <w:pStyle w:val="Compact"/>
            </w:pPr>
            <w:r>
              <w:rPr>
                <w:sz w:val="17"/>
              </w:rPr>
              <w:t xml:space="preserve">Champs prévus dans la fiche ; valeur nulle par défaut, bloquée tant que non certifiée</w:t>
            </w:r>
          </w:p>
        </w:tc>
      </w:tr>
    </w:tbl>
    <w:p>
      <w:pPr>
        <w:pStyle w:val="BodyText"/>
      </w:pPr>
      <w:r>
        <w:rPr>
          <w:b/>
          <w:bCs/>
        </w:rPr>
        <w:t xml:space="preserve">Règle de modélisation.</w:t>
      </w:r>
      <w:r>
        <w:t xml:space="preserve"> </w:t>
      </w:r>
      <w:r>
        <w:t xml:space="preserve">La fiche IRL porte deux paramètres distincts —</w:t>
      </w:r>
      <w:r>
        <w:t xml:space="preserve"> </w:t>
      </w:r>
      <w:r>
        <w:rPr>
          <w:rStyle w:val="VerbatimChar"/>
        </w:rPr>
        <w:t xml:space="preserve">tax_rate</w:t>
      </w:r>
      <w:r>
        <w:t xml:space="preserve"> </w:t>
      </w:r>
      <w:r>
        <w:t xml:space="preserve">et</w:t>
      </w:r>
      <w:r>
        <w:t xml:space="preserve"> </w:t>
      </w:r>
      <w:r>
        <w:rPr>
          <w:rStyle w:val="VerbatimChar"/>
        </w:rPr>
        <w:t xml:space="preserve">withholding_rate</w:t>
      </w:r>
      <w:r>
        <w:t xml:space="preserve"> </w:t>
      </w:r>
      <w:r>
        <w:t xml:space="preserve">— et un paramètre</w:t>
      </w:r>
      <w:r>
        <w:t xml:space="preserve"> </w:t>
      </w:r>
      <w:r>
        <w:rPr>
          <w:rStyle w:val="VerbatimChar"/>
        </w:rPr>
        <w:t xml:space="preserve">locality_rank</w:t>
      </w:r>
      <w:r>
        <w:t xml:space="preserve"> </w:t>
      </w:r>
      <w:r>
        <w:t xml:space="preserve">rattaché à la parcelle via le référentiel des rangs de localité (module 86). Le crédit de retenue est imputé sur l’obligation du bailleur ; le moteur empêche que la même période soit liquidée deux fois (retenue et déclaration) sans imputation.</w:t>
      </w:r>
    </w:p>
    <w:bookmarkEnd w:id="41"/>
    <w:bookmarkStart w:id="48" w:name="impôt-foncier-barèmes-2026-rapportés"/>
    <w:p>
      <w:pPr>
        <w:pStyle w:val="Heading2"/>
      </w:pPr>
      <w:r>
        <w:t xml:space="preserve">6.5 Impôt foncier : barèmes 2026 rapportés</w:t>
      </w:r>
    </w:p>
    <w:p>
      <w:pPr>
        <w:pStyle w:val="FirstParagraph"/>
      </w:pPr>
      <w:r>
        <w:t xml:space="preserve">Selon la presse économique de février 2026 [CONFIRMÉ par une source de presse unique ;</w:t>
      </w:r>
      <w:r>
        <w:t xml:space="preserve"> </w:t>
      </w:r>
      <w:r>
        <w:rPr>
          <w:b/>
          <w:bCs/>
        </w:rPr>
        <w:t xml:space="preserve">arrêté de référence À VÉRIFIER</w:t>
      </w:r>
      <w:r>
        <w:t xml:space="preserve">] :</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320"/>
        <w:gridCol w:w="1320"/>
        <w:gridCol w:w="1320"/>
        <w:gridCol w:w="1320"/>
        <w:gridCol w:w="1320"/>
        <w:gridCol w:w="1320"/>
      </w:tblGrid>
      <w:tr>
        <w:trPr>
          <w:tblHeader w:val="on"/>
        </w:trPr>
        <w:tc>
          <w:tcPr>
            <w:shd w:val="clear" w:color="auto" w:fill="232C6B"/>
          </w:tcPr>
          <w:p>
            <w:pPr>
              <w:pStyle w:val="Compact"/>
            </w:pPr>
            <w:r>
              <w:rPr>
                <w:b/>
                <w:color w:val="FFFFFF"/>
                <w:sz w:val="17"/>
              </w:rPr>
              <w:t xml:space="preserve">Redevable</w:t>
            </w:r>
          </w:p>
        </w:tc>
        <w:tc>
          <w:tcPr>
            <w:shd w:val="clear" w:color="auto" w:fill="232C6B"/>
          </w:tcPr>
          <w:p>
            <w:pPr>
              <w:pStyle w:val="Compact"/>
            </w:pPr>
            <w:r>
              <w:rPr>
                <w:b/>
                <w:color w:val="FFFFFF"/>
                <w:sz w:val="17"/>
              </w:rPr>
              <w:t xml:space="preserve">Assiette</w:t>
            </w:r>
          </w:p>
        </w:tc>
        <w:tc>
          <w:tcPr>
            <w:shd w:val="clear" w:color="auto" w:fill="232C6B"/>
          </w:tcPr>
          <w:p>
            <w:pPr>
              <w:pStyle w:val="Compact"/>
            </w:pPr>
            <w:r>
              <w:rPr>
                <w:b/>
                <w:color w:val="FFFFFF"/>
                <w:sz w:val="17"/>
              </w:rPr>
              <w:t xml:space="preserve">1er rang</w:t>
            </w:r>
          </w:p>
        </w:tc>
        <w:tc>
          <w:tcPr>
            <w:shd w:val="clear" w:color="auto" w:fill="232C6B"/>
          </w:tcPr>
          <w:p>
            <w:pPr>
              <w:pStyle w:val="Compact"/>
            </w:pPr>
            <w:r>
              <w:rPr>
                <w:b/>
                <w:color w:val="FFFFFF"/>
                <w:sz w:val="17"/>
              </w:rPr>
              <w:t xml:space="preserve">2e rang</w:t>
            </w:r>
          </w:p>
        </w:tc>
        <w:tc>
          <w:tcPr>
            <w:shd w:val="clear" w:color="auto" w:fill="232C6B"/>
          </w:tcPr>
          <w:p>
            <w:pPr>
              <w:pStyle w:val="Compact"/>
            </w:pPr>
            <w:r>
              <w:rPr>
                <w:b/>
                <w:color w:val="FFFFFF"/>
                <w:sz w:val="17"/>
              </w:rPr>
              <w:t xml:space="preserve">3e rang</w:t>
            </w:r>
          </w:p>
        </w:tc>
        <w:tc>
          <w:tcPr>
            <w:shd w:val="clear" w:color="auto" w:fill="232C6B"/>
          </w:tcPr>
          <w:p>
            <w:pPr>
              <w:pStyle w:val="Compact"/>
            </w:pPr>
            <w:r>
              <w:rPr>
                <w:b/>
                <w:color w:val="FFFFFF"/>
                <w:sz w:val="17"/>
              </w:rPr>
              <w:t xml:space="preserve">4e rang</w:t>
            </w:r>
          </w:p>
        </w:tc>
      </w:tr>
      <w:tr>
        <w:tc>
          <w:tcPr/>
          <w:p>
            <w:pPr>
              <w:pStyle w:val="Compact"/>
            </w:pPr>
            <w:r>
              <w:rPr>
                <w:sz w:val="17"/>
              </w:rPr>
              <w:t xml:space="preserve">Personnes physiques — bâti (forfait annuel)</w:t>
            </w:r>
          </w:p>
        </w:tc>
        <w:tc>
          <w:tcPr/>
          <w:p>
            <w:pPr>
              <w:pStyle w:val="Compact"/>
            </w:pPr>
            <w:r>
              <w:rPr>
                <w:sz w:val="17"/>
              </w:rPr>
              <w:t xml:space="preserve">Par propriété</w:t>
            </w:r>
          </w:p>
        </w:tc>
        <w:tc>
          <w:tcPr/>
          <w:p>
            <w:pPr>
              <w:pStyle w:val="Compact"/>
            </w:pPr>
            <w:r>
              <w:rPr>
                <w:sz w:val="17"/>
              </w:rPr>
              <w:t xml:space="preserve">450 USD (villas)</w:t>
            </w:r>
          </w:p>
        </w:tc>
        <w:tc>
          <w:tcPr/>
          <w:p>
            <w:pPr>
              <w:pStyle w:val="Compact"/>
            </w:pPr>
            <w:r>
              <w:rPr>
                <w:sz w:val="17"/>
              </w:rPr>
              <w:t xml:space="preserve">150 USD</w:t>
            </w:r>
          </w:p>
        </w:tc>
        <w:tc>
          <w:tcPr/>
          <w:p>
            <w:pPr>
              <w:pStyle w:val="Compact"/>
            </w:pPr>
            <w:r>
              <w:rPr>
                <w:sz w:val="17"/>
              </w:rPr>
              <w:t xml:space="preserve">50 USD</w:t>
            </w:r>
          </w:p>
        </w:tc>
        <w:tc>
          <w:tcPr/>
          <w:p>
            <w:pPr>
              <w:pStyle w:val="Compact"/>
            </w:pPr>
            <w:r>
              <w:rPr>
                <w:sz w:val="17"/>
              </w:rPr>
              <w:t xml:space="preserve">10 USD</w:t>
            </w:r>
          </w:p>
        </w:tc>
      </w:tr>
      <w:tr>
        <w:tc>
          <w:tcPr>
            <w:shd w:val="clear" w:color="auto" w:fill="F5F7FB"/>
          </w:tcPr>
          <w:p>
            <w:pPr>
              <w:pStyle w:val="Compact"/>
            </w:pPr>
            <w:r>
              <w:rPr>
                <w:sz w:val="17"/>
              </w:rPr>
              <w:t xml:space="preserve">Personnes morales</w:t>
            </w:r>
          </w:p>
        </w:tc>
        <w:tc>
          <w:tcPr>
            <w:shd w:val="clear" w:color="auto" w:fill="F5F7FB"/>
          </w:tcPr>
          <w:p>
            <w:pPr>
              <w:pStyle w:val="Compact"/>
            </w:pPr>
            <w:r>
              <w:rPr>
                <w:sz w:val="17"/>
              </w:rPr>
              <w:t xml:space="preserve">Par m²</w:t>
            </w:r>
          </w:p>
        </w:tc>
        <w:tc>
          <w:tcPr>
            <w:shd w:val="clear" w:color="auto" w:fill="F5F7FB"/>
          </w:tcPr>
          <w:p>
            <w:pPr>
              <w:pStyle w:val="Compact"/>
            </w:pPr>
            <w:r>
              <w:rPr>
                <w:sz w:val="17"/>
              </w:rPr>
              <w:t xml:space="preserve">3,5 USD</w:t>
            </w:r>
          </w:p>
        </w:tc>
        <w:tc>
          <w:tcPr>
            <w:shd w:val="clear" w:color="auto" w:fill="F5F7FB"/>
          </w:tcPr>
          <w:p>
            <w:pPr>
              <w:pStyle w:val="Compact"/>
            </w:pPr>
            <w:r>
              <w:rPr>
                <w:sz w:val="17"/>
              </w:rPr>
              <w:t xml:space="preserve">2,5 USD</w:t>
            </w:r>
          </w:p>
        </w:tc>
        <w:tc>
          <w:tcPr>
            <w:shd w:val="clear" w:color="auto" w:fill="F5F7FB"/>
          </w:tcPr>
          <w:p>
            <w:pPr>
              <w:pStyle w:val="Compact"/>
            </w:pPr>
            <w:r>
              <w:rPr>
                <w:sz w:val="17"/>
              </w:rPr>
              <w:t xml:space="preserve">2 USD</w:t>
            </w:r>
          </w:p>
        </w:tc>
        <w:tc>
          <w:tcPr>
            <w:shd w:val="clear" w:color="auto" w:fill="F5F7FB"/>
          </w:tcPr>
          <w:p>
            <w:pPr>
              <w:pStyle w:val="Compact"/>
            </w:pPr>
            <w:r>
              <w:rPr>
                <w:sz w:val="17"/>
              </w:rPr>
              <w:t xml:space="preserve">1,5 USD</w:t>
            </w:r>
          </w:p>
        </w:tc>
      </w:tr>
      <w:tr>
        <w:tc>
          <w:tcPr/>
          <w:p>
            <w:pPr>
              <w:pStyle w:val="Compact"/>
            </w:pPr>
            <w:r>
              <w:rPr>
                <w:sz w:val="17"/>
              </w:rPr>
              <w:t xml:space="preserve">Sociétés immobilières</w:t>
            </w:r>
          </w:p>
        </w:tc>
        <w:tc>
          <w:tcPr/>
          <w:p>
            <w:pPr>
              <w:pStyle w:val="Compact"/>
            </w:pPr>
            <w:r>
              <w:rPr>
                <w:sz w:val="17"/>
              </w:rPr>
              <w:t xml:space="preserve">Par m²</w:t>
            </w:r>
          </w:p>
        </w:tc>
        <w:tc>
          <w:tcPr/>
          <w:p>
            <w:pPr>
              <w:pStyle w:val="Compact"/>
            </w:pPr>
            <w:r>
              <w:rPr>
                <w:sz w:val="17"/>
              </w:rPr>
              <w:t xml:space="preserve">8 USD</w:t>
            </w:r>
          </w:p>
        </w:tc>
        <w:tc>
          <w:tcPr/>
          <w:p>
            <w:pPr>
              <w:pStyle w:val="Compact"/>
            </w:pPr>
            <w:r>
              <w:rPr>
                <w:sz w:val="17"/>
              </w:rPr>
              <w:t xml:space="preserve">5 USD</w:t>
            </w:r>
          </w:p>
        </w:tc>
        <w:tc>
          <w:tcPr/>
          <w:p>
            <w:pPr>
              <w:pStyle w:val="Compact"/>
            </w:pPr>
            <w:r>
              <w:rPr>
                <w:sz w:val="17"/>
              </w:rPr>
              <w:t xml:space="preserve">4 USD</w:t>
            </w:r>
          </w:p>
        </w:tc>
        <w:tc>
          <w:tcPr/>
          <w:p>
            <w:pPr>
              <w:pStyle w:val="Compact"/>
            </w:pPr>
            <w:r>
              <w:rPr>
                <w:sz w:val="17"/>
              </w:rPr>
              <w:t xml:space="preserve">3 USD</w:t>
            </w:r>
          </w:p>
        </w:tc>
      </w:tr>
      <w:tr>
        <w:tc>
          <w:tcPr>
            <w:shd w:val="clear" w:color="auto" w:fill="F5F7FB"/>
          </w:tcPr>
          <w:p>
            <w:pPr>
              <w:pStyle w:val="Compact"/>
            </w:pPr>
            <w:r>
              <w:rPr>
                <w:sz w:val="17"/>
              </w:rPr>
              <w:t xml:space="preserve">Personnes physiques — non bâti</w:t>
            </w:r>
          </w:p>
        </w:tc>
        <w:tc>
          <w:tcPr>
            <w:shd w:val="clear" w:color="auto" w:fill="F5F7FB"/>
          </w:tcPr>
          <w:p>
            <w:pPr>
              <w:pStyle w:val="Compact"/>
            </w:pPr>
            <w:r>
              <w:rPr>
                <w:sz w:val="17"/>
              </w:rPr>
              <w:t xml:space="preserve">Forfait par rang</w:t>
            </w:r>
          </w:p>
        </w:tc>
        <w:tc>
          <w:tcPr>
            <w:shd w:val="clear" w:color="auto" w:fill="F5F7FB"/>
          </w:tcPr>
          <w:p>
            <w:pPr>
              <w:pStyle w:val="Compact"/>
            </w:pPr>
            <w:r>
              <w:rPr>
                <w:sz w:val="17"/>
              </w:rPr>
              <w:t xml:space="preserve">[À VÉRIFIER]</w:t>
            </w:r>
          </w:p>
        </w:tc>
        <w:tc>
          <w:tcPr>
            <w:shd w:val="clear" w:color="auto" w:fill="F5F7FB"/>
          </w:tcPr>
          <w:p>
            <w:pPr>
              <w:pStyle w:val="Compact"/>
            </w:pPr>
            <w:r>
              <w:rPr>
                <w:sz w:val="17"/>
              </w:rPr>
              <w:t xml:space="preserve">[À VÉRIFIER]</w:t>
            </w:r>
          </w:p>
        </w:tc>
        <w:tc>
          <w:tcPr>
            <w:shd w:val="clear" w:color="auto" w:fill="F5F7FB"/>
          </w:tcPr>
          <w:p>
            <w:pPr>
              <w:pStyle w:val="Compact"/>
            </w:pPr>
            <w:r>
              <w:rPr>
                <w:sz w:val="17"/>
              </w:rPr>
              <w:t xml:space="preserve">[À VÉRIFIER]</w:t>
            </w:r>
          </w:p>
        </w:tc>
        <w:tc>
          <w:tcPr>
            <w:shd w:val="clear" w:color="auto" w:fill="F5F7FB"/>
          </w:tcPr>
          <w:p>
            <w:pPr>
              <w:pStyle w:val="Compact"/>
            </w:pPr>
            <w:r>
              <w:rPr>
                <w:sz w:val="17"/>
              </w:rPr>
              <w:t xml:space="preserve">[À VÉRIFIER]</w:t>
            </w:r>
          </w:p>
        </w:tc>
      </w:tr>
    </w:tbl>
    <w:p>
      <w:pPr>
        <w:pStyle w:val="CaptionedFigure"/>
      </w:pPr>
      <w:r>
        <w:drawing>
          <wp:inline>
            <wp:extent cx="6108700" cy="2172053"/>
            <wp:effectExtent b="0" l="0" r="0" t="0"/>
            <wp:docPr descr="Barèmes de l’impôt foncier 2026" title="" id="43" name="Picture"/>
            <a:graphic>
              <a:graphicData uri="http://schemas.openxmlformats.org/drawingml/2006/picture">
                <pic:pic>
                  <pic:nvPicPr>
                    <pic:cNvPr descr="figures/fig-if-baremes.png" id="44" name="Picture"/>
                    <pic:cNvPicPr>
                      <a:picLocks noChangeArrowheads="1" noChangeAspect="1"/>
                    </pic:cNvPicPr>
                  </pic:nvPicPr>
                  <pic:blipFill>
                    <a:blip r:embed="rId42"/>
                    <a:stretch>
                      <a:fillRect/>
                    </a:stretch>
                  </pic:blipFill>
                  <pic:spPr bwMode="auto">
                    <a:xfrm>
                      <a:off x="0" y="0"/>
                      <a:ext cx="6108700" cy="2172053"/>
                    </a:xfrm>
                    <a:prstGeom prst="rect">
                      <a:avLst/>
                    </a:prstGeom>
                    <a:noFill/>
                    <a:ln w="9525">
                      <a:noFill/>
                      <a:headEnd/>
                      <a:tailEnd/>
                    </a:ln>
                  </pic:spPr>
                </pic:pic>
              </a:graphicData>
            </a:graphic>
          </wp:inline>
        </w:drawing>
      </w:r>
    </w:p>
    <w:p>
      <w:pPr>
        <w:pStyle w:val="ImageCaption"/>
      </w:pPr>
      <w:r>
        <w:t xml:space="preserve">Barèmes de l’impôt foncier 2026</w:t>
      </w:r>
    </w:p>
    <w:p>
      <w:pPr>
        <w:pStyle w:val="BodyText"/>
      </w:pPr>
      <w:r>
        <w:t xml:space="preserve">Ces montants sont libellés en dollars ; la règle de conversion en francs congolais (taux applicable, date de référence) doit être certifiée (module 89). L’échéance déclarative 2026 a été le 1er février, prorogée au 28 février [CONFIRMÉ par la presse].</w:t>
      </w:r>
    </w:p>
    <w:p>
      <w:pPr>
        <w:pStyle w:val="BodyText"/>
      </w:pPr>
      <w:r>
        <w:rPr>
          <w:b/>
          <w:bCs/>
        </w:rPr>
        <w:t xml:space="preserve">Point d’attention d’équité.</w:t>
      </w:r>
      <w:r>
        <w:t xml:space="preserve"> </w:t>
      </w:r>
      <w:r>
        <w:t xml:space="preserve">Les travaux expérimentaux menés à Kananga (RDC) sur l’impôt foncier montrent que la conformité réagit fortement au niveau du forfait : une baisse du montant exigé augmente la conformité au point que la recette totale peut augmenter (élasticité de la conformité proche de −1,25) [CONFIRMÉ — publication académique, Econometrica 2024]. MOSOLO ne fixe pas les taux, mais son laboratoire de simulation (module 92) doit permettre au Gouvernement de tester ces effets sur données réelles avant tout arrêté.</w:t>
      </w:r>
    </w:p>
    <w:p>
      <w:pPr>
        <w:pStyle w:val="CaptionedFigure"/>
      </w:pPr>
      <w:r>
        <w:drawing>
          <wp:inline>
            <wp:extent cx="6108700" cy="2988617"/>
            <wp:effectExtent b="0" l="0" r="0" t="0"/>
            <wp:docPr descr="Kananga : conformité et niveau du forfait" title="" id="46" name="Picture"/>
            <a:graphic>
              <a:graphicData uri="http://schemas.openxmlformats.org/drawingml/2006/picture">
                <pic:pic>
                  <pic:nvPicPr>
                    <pic:cNvPr descr="figures/fig-kananga.png" id="47" name="Picture"/>
                    <pic:cNvPicPr>
                      <a:picLocks noChangeArrowheads="1" noChangeAspect="1"/>
                    </pic:cNvPicPr>
                  </pic:nvPicPr>
                  <pic:blipFill>
                    <a:blip r:embed="rId45"/>
                    <a:stretch>
                      <a:fillRect/>
                    </a:stretch>
                  </pic:blipFill>
                  <pic:spPr bwMode="auto">
                    <a:xfrm>
                      <a:off x="0" y="0"/>
                      <a:ext cx="6108700" cy="2988617"/>
                    </a:xfrm>
                    <a:prstGeom prst="rect">
                      <a:avLst/>
                    </a:prstGeom>
                    <a:noFill/>
                    <a:ln w="9525">
                      <a:noFill/>
                      <a:headEnd/>
                      <a:tailEnd/>
                    </a:ln>
                  </pic:spPr>
                </pic:pic>
              </a:graphicData>
            </a:graphic>
          </wp:inline>
        </w:drawing>
      </w:r>
    </w:p>
    <w:p>
      <w:pPr>
        <w:pStyle w:val="ImageCaption"/>
      </w:pPr>
      <w:r>
        <w:t xml:space="preserve">Kananga : conformité et niveau du forfait</w:t>
      </w:r>
    </w:p>
    <w:bookmarkEnd w:id="48"/>
    <w:bookmarkStart w:id="49" w:name="X9db74fecf9fbf8cdcf6cb7854d44d8638b0e21c"/>
    <w:p>
      <w:pPr>
        <w:pStyle w:val="Heading2"/>
      </w:pPr>
      <w:r>
        <w:t xml:space="preserve">6.6 Véhicules : impôt et taxe spéciale de circulation routière</w:t>
      </w:r>
    </w:p>
    <w:p>
      <w:pPr>
        <w:pStyle w:val="FirstParagraph"/>
      </w:pPr>
      <w:r>
        <w:t xml:space="preserve">La régie provinciale perçoit l’impôt sur les véhicules automoteurs et la taxe spéciale de circulation routière (vignette), avec déclaration en ligne obligatoire depuis janvier 2026, vignette dématérialisée à QR code et paiement dans des banques partenaires [CONFIRMÉ par la presse].</w:t>
      </w:r>
      <w:r>
        <w:t xml:space="preserve"> </w:t>
      </w:r>
      <w:r>
        <w:rPr>
          <w:b/>
          <w:bCs/>
        </w:rPr>
        <w:t xml:space="preserve">Les barèmes par catégorie de véhicule n’ont pas été retrouvés</w:t>
      </w:r>
      <w:r>
        <w:t xml:space="preserve"> </w:t>
      </w:r>
      <w:r>
        <w:t xml:space="preserve">[À VÉRIFIER]. La répartition de la TSCR (taxe d’intérêt commun) entre niveaux de gouvernement doit être confirmée dans l’OL 18/004. Le rapprochement avec le fichier des immatriculations (pouvoir central) exige un protocole.</w:t>
      </w:r>
    </w:p>
    <w:bookmarkEnd w:id="49"/>
    <w:bookmarkStart w:id="50" w:name="X49a63b700759b10961d647d04a5207a3d4e831c"/>
    <w:p>
      <w:pPr>
        <w:pStyle w:val="Heading2"/>
      </w:pPr>
      <w:r>
        <w:t xml:space="preserve">6.7 Procédure fiscale, recouvrement et recours</w:t>
      </w:r>
    </w:p>
    <w:p>
      <w:pPr>
        <w:pStyle w:val="FirstParagraph"/>
      </w:pPr>
      <w:r>
        <w:t xml:space="preserve">La procédure applicable aux recettes de la Ville repose sur l’</w:t>
      </w:r>
      <w:r>
        <w:rPr>
          <w:b/>
          <w:bCs/>
        </w:rPr>
        <w:t xml:space="preserve">Édit n° 005/2021</w:t>
      </w:r>
      <w:r>
        <w:t xml:space="preserve"> </w:t>
      </w:r>
      <w:r>
        <w:t xml:space="preserve">[contenu À VÉRIFIER], articulé avec les principes de la Loi n° 004/2003 modifiée. Le relevé juridique certifié doit fournir, pour chaque recette, les éléments suivants, qui paramètrent directement les modules 27, 32, 33, 36 et 37 :</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Élément de procédure</w:t>
            </w:r>
          </w:p>
        </w:tc>
        <w:tc>
          <w:tcPr>
            <w:shd w:val="clear" w:color="auto" w:fill="232C6B"/>
          </w:tcPr>
          <w:p>
            <w:pPr>
              <w:pStyle w:val="Compact"/>
            </w:pPr>
            <w:r>
              <w:rPr>
                <w:b/>
                <w:color w:val="FFFFFF"/>
                <w:sz w:val="17"/>
              </w:rPr>
              <w:t xml:space="preserve">Paramètre de la plateforme</w:t>
            </w:r>
          </w:p>
        </w:tc>
        <w:tc>
          <w:tcPr>
            <w:shd w:val="clear" w:color="auto" w:fill="232C6B"/>
          </w:tcPr>
          <w:p>
            <w:pPr>
              <w:pStyle w:val="Compact"/>
            </w:pPr>
            <w:r>
              <w:rPr>
                <w:b/>
                <w:color w:val="FFFFFF"/>
                <w:sz w:val="17"/>
              </w:rPr>
              <w:t xml:space="preserve">Statut</w:t>
            </w:r>
          </w:p>
        </w:tc>
      </w:tr>
      <w:tr>
        <w:tc>
          <w:tcPr/>
          <w:p>
            <w:pPr>
              <w:pStyle w:val="Compact"/>
            </w:pPr>
            <w:r>
              <w:rPr>
                <w:sz w:val="17"/>
              </w:rPr>
              <w:t xml:space="preserve">Mode d’établissement (déclaration, auto-liquidation, liquidation d’office, rôle)</w:t>
            </w:r>
          </w:p>
        </w:tc>
        <w:tc>
          <w:tcPr/>
          <w:p>
            <w:pPr>
              <w:pStyle w:val="Compact"/>
            </w:pPr>
            <w:r>
              <w:rPr>
                <w:rStyle w:val="VerbatimChar"/>
                <w:sz w:val="17"/>
              </w:rPr>
              <w:t xml:space="preserve">assessment_mode</w:t>
            </w:r>
          </w:p>
        </w:tc>
        <w:tc>
          <w:tcPr/>
          <w:p>
            <w:pPr>
              <w:pStyle w:val="Compact"/>
            </w:pPr>
            <w:r>
              <w:rPr>
                <w:sz w:val="17"/>
              </w:rPr>
              <w:t xml:space="preserve">À VÉRIFIER par recette</w:t>
            </w:r>
          </w:p>
        </w:tc>
      </w:tr>
      <w:tr>
        <w:tc>
          <w:tcPr>
            <w:shd w:val="clear" w:color="auto" w:fill="F5F7FB"/>
          </w:tcPr>
          <w:p>
            <w:pPr>
              <w:pStyle w:val="Compact"/>
            </w:pPr>
            <w:r>
              <w:rPr>
                <w:sz w:val="17"/>
              </w:rPr>
              <w:t xml:space="preserve">Titre de perception (avis de mise en recouvrement, note de perception, etc.) et mentions obligatoires</w:t>
            </w:r>
          </w:p>
        </w:tc>
        <w:tc>
          <w:tcPr>
            <w:shd w:val="clear" w:color="auto" w:fill="F5F7FB"/>
          </w:tcPr>
          <w:p>
            <w:pPr>
              <w:pStyle w:val="Compact"/>
            </w:pPr>
            <w:r>
              <w:rPr>
                <w:sz w:val="17"/>
              </w:rPr>
              <w:t xml:space="preserve">Modèle d’avis versionné</w:t>
            </w:r>
          </w:p>
        </w:tc>
        <w:tc>
          <w:tcPr>
            <w:shd w:val="clear" w:color="auto" w:fill="F5F7FB"/>
          </w:tcPr>
          <w:p>
            <w:pPr>
              <w:pStyle w:val="Compact"/>
            </w:pPr>
            <w:r>
              <w:rPr>
                <w:sz w:val="17"/>
              </w:rPr>
              <w:t xml:space="preserve">À VÉRIFIER</w:t>
            </w:r>
          </w:p>
        </w:tc>
      </w:tr>
      <w:tr>
        <w:tc>
          <w:tcPr/>
          <w:p>
            <w:pPr>
              <w:pStyle w:val="Compact"/>
            </w:pPr>
            <w:r>
              <w:rPr>
                <w:sz w:val="17"/>
              </w:rPr>
              <w:t xml:space="preserve">Délai de paiement après notification</w:t>
            </w:r>
          </w:p>
        </w:tc>
        <w:tc>
          <w:tcPr/>
          <w:p>
            <w:pPr>
              <w:pStyle w:val="Compact"/>
            </w:pPr>
            <w:r>
              <w:rPr>
                <w:rStyle w:val="VerbatimChar"/>
                <w:sz w:val="17"/>
              </w:rPr>
              <w:t xml:space="preserve">payment_term_days</w:t>
            </w:r>
          </w:p>
        </w:tc>
        <w:tc>
          <w:tcPr/>
          <w:p>
            <w:pPr>
              <w:pStyle w:val="Compact"/>
            </w:pPr>
            <w:r>
              <w:rPr>
                <w:sz w:val="17"/>
              </w:rPr>
              <w:t xml:space="preserve">À VÉRIFIER</w:t>
            </w:r>
          </w:p>
        </w:tc>
      </w:tr>
      <w:tr>
        <w:tc>
          <w:tcPr>
            <w:shd w:val="clear" w:color="auto" w:fill="F5F7FB"/>
          </w:tcPr>
          <w:p>
            <w:pPr>
              <w:pStyle w:val="Compact"/>
            </w:pPr>
            <w:r>
              <w:rPr>
                <w:sz w:val="17"/>
              </w:rPr>
              <w:t xml:space="preserve">Pénalités d’assiette et de recouvrement, plafonds</w:t>
            </w:r>
          </w:p>
        </w:tc>
        <w:tc>
          <w:tcPr>
            <w:shd w:val="clear" w:color="auto" w:fill="F5F7FB"/>
          </w:tcPr>
          <w:p>
            <w:pPr>
              <w:pStyle w:val="Compact"/>
            </w:pPr>
            <w:r>
              <w:rPr>
                <w:rStyle w:val="VerbatimChar"/>
                <w:sz w:val="17"/>
              </w:rPr>
              <w:t xml:space="preserve">penalty_rules[]</w:t>
            </w:r>
          </w:p>
        </w:tc>
        <w:tc>
          <w:tcPr>
            <w:shd w:val="clear" w:color="auto" w:fill="F5F7FB"/>
          </w:tcPr>
          <w:p>
            <w:pPr>
              <w:pStyle w:val="Compact"/>
            </w:pPr>
            <w:r>
              <w:rPr>
                <w:sz w:val="17"/>
              </w:rPr>
              <w:t xml:space="preserve">À VÉRIFIER</w:t>
            </w:r>
          </w:p>
        </w:tc>
      </w:tr>
      <w:tr>
        <w:tc>
          <w:tcPr/>
          <w:p>
            <w:pPr>
              <w:pStyle w:val="Compact"/>
            </w:pPr>
            <w:r>
              <w:rPr>
                <w:sz w:val="17"/>
              </w:rPr>
              <w:t xml:space="preserve">Actes de poursuite (commandement, saisie, fermeture) et autorité compétente</w:t>
            </w:r>
          </w:p>
        </w:tc>
        <w:tc>
          <w:tcPr/>
          <w:p>
            <w:pPr>
              <w:pStyle w:val="Compact"/>
            </w:pPr>
            <w:r>
              <w:rPr>
                <w:sz w:val="17"/>
              </w:rPr>
              <w:t xml:space="preserve">Workflow du module 36</w:t>
            </w:r>
          </w:p>
        </w:tc>
        <w:tc>
          <w:tcPr/>
          <w:p>
            <w:pPr>
              <w:pStyle w:val="Compact"/>
            </w:pPr>
            <w:r>
              <w:rPr>
                <w:sz w:val="17"/>
              </w:rPr>
              <w:t xml:space="preserve">À VÉRIFIER</w:t>
            </w:r>
          </w:p>
        </w:tc>
      </w:tr>
      <w:tr>
        <w:tc>
          <w:tcPr>
            <w:shd w:val="clear" w:color="auto" w:fill="F5F7FB"/>
          </w:tcPr>
          <w:p>
            <w:pPr>
              <w:pStyle w:val="Compact"/>
            </w:pPr>
            <w:r>
              <w:rPr>
                <w:sz w:val="17"/>
              </w:rPr>
              <w:t xml:space="preserve">Délai et forme de la réclamation ; effet suspensif éventuel</w:t>
            </w:r>
          </w:p>
        </w:tc>
        <w:tc>
          <w:tcPr>
            <w:shd w:val="clear" w:color="auto" w:fill="F5F7FB"/>
          </w:tcPr>
          <w:p>
            <w:pPr>
              <w:pStyle w:val="Compact"/>
            </w:pPr>
            <w:r>
              <w:rPr>
                <w:rStyle w:val="VerbatimChar"/>
                <w:sz w:val="17"/>
              </w:rPr>
              <w:t xml:space="preserve">appeal_path</w:t>
            </w:r>
            <w:r>
              <w:rPr>
                <w:sz w:val="17"/>
              </w:rPr>
              <w:t xml:space="preserve">,</w:t>
            </w:r>
            <w:r>
              <w:rPr>
                <w:sz w:val="17"/>
              </w:rPr>
              <w:t xml:space="preserve"> </w:t>
            </w:r>
            <w:r>
              <w:rPr>
                <w:rStyle w:val="VerbatimChar"/>
                <w:sz w:val="17"/>
              </w:rPr>
              <w:t xml:space="preserve">suspensive_effect</w:t>
            </w:r>
          </w:p>
        </w:tc>
        <w:tc>
          <w:tcPr>
            <w:shd w:val="clear" w:color="auto" w:fill="F5F7FB"/>
          </w:tcPr>
          <w:p>
            <w:pPr>
              <w:pStyle w:val="Compact"/>
            </w:pPr>
            <w:r>
              <w:rPr>
                <w:sz w:val="17"/>
              </w:rPr>
              <w:t xml:space="preserve">À VÉRIFIER</w:t>
            </w:r>
          </w:p>
        </w:tc>
      </w:tr>
      <w:tr>
        <w:tc>
          <w:tcPr/>
          <w:p>
            <w:pPr>
              <w:pStyle w:val="Compact"/>
            </w:pPr>
            <w:r>
              <w:rPr>
                <w:sz w:val="17"/>
              </w:rPr>
              <w:t xml:space="preserve">Voies de recours juridictionnel</w:t>
            </w:r>
          </w:p>
        </w:tc>
        <w:tc>
          <w:tcPr/>
          <w:p>
            <w:pPr>
              <w:pStyle w:val="Compact"/>
            </w:pPr>
            <w:r>
              <w:rPr>
                <w:sz w:val="17"/>
              </w:rPr>
              <w:t xml:space="preserve">Texte d’information du contribuable</w:t>
            </w:r>
          </w:p>
        </w:tc>
        <w:tc>
          <w:tcPr/>
          <w:p>
            <w:pPr>
              <w:pStyle w:val="Compact"/>
            </w:pPr>
            <w:r>
              <w:rPr>
                <w:sz w:val="17"/>
              </w:rPr>
              <w:t xml:space="preserve">À VÉRIFIER</w:t>
            </w:r>
          </w:p>
        </w:tc>
      </w:tr>
      <w:tr>
        <w:tc>
          <w:tcPr>
            <w:shd w:val="clear" w:color="auto" w:fill="F5F7FB"/>
          </w:tcPr>
          <w:p>
            <w:pPr>
              <w:pStyle w:val="Compact"/>
            </w:pPr>
            <w:r>
              <w:rPr>
                <w:sz w:val="17"/>
              </w:rPr>
              <w:t xml:space="preserve">Prescription de l’action en recouvrement et du droit de reprise</w:t>
            </w:r>
          </w:p>
        </w:tc>
        <w:tc>
          <w:tcPr>
            <w:shd w:val="clear" w:color="auto" w:fill="F5F7FB"/>
          </w:tcPr>
          <w:p>
            <w:pPr>
              <w:pStyle w:val="Compact"/>
            </w:pPr>
            <w:r>
              <w:rPr>
                <w:rStyle w:val="VerbatimChar"/>
                <w:sz w:val="17"/>
              </w:rPr>
              <w:t xml:space="preserve">limitation_period</w:t>
            </w:r>
          </w:p>
        </w:tc>
        <w:tc>
          <w:tcPr>
            <w:shd w:val="clear" w:color="auto" w:fill="F5F7FB"/>
          </w:tcPr>
          <w:p>
            <w:pPr>
              <w:pStyle w:val="Compact"/>
            </w:pPr>
            <w:r>
              <w:rPr>
                <w:sz w:val="17"/>
              </w:rPr>
              <w:t xml:space="preserve">À VÉRIFIER (le régime national prévoit un droit de rappel de cinq ans : applicabilité provinciale à confirmer)</w:t>
            </w:r>
          </w:p>
        </w:tc>
      </w:tr>
      <w:tr>
        <w:tc>
          <w:tcPr/>
          <w:p>
            <w:pPr>
              <w:pStyle w:val="Compact"/>
            </w:pPr>
            <w:r>
              <w:rPr>
                <w:sz w:val="17"/>
              </w:rPr>
              <w:t xml:space="preserve">Remises gracieuses, transactions, échéanciers</w:t>
            </w:r>
          </w:p>
        </w:tc>
        <w:tc>
          <w:tcPr/>
          <w:p>
            <w:pPr>
              <w:pStyle w:val="Compact"/>
            </w:pPr>
            <w:r>
              <w:rPr>
                <w:sz w:val="17"/>
              </w:rPr>
              <w:t xml:space="preserve">Modules 83 et 90</w:t>
            </w:r>
          </w:p>
        </w:tc>
        <w:tc>
          <w:tcPr/>
          <w:p>
            <w:pPr>
              <w:pStyle w:val="Compact"/>
            </w:pPr>
            <w:r>
              <w:rPr>
                <w:sz w:val="17"/>
              </w:rPr>
              <w:t xml:space="preserve">À VÉRIFIER</w:t>
            </w:r>
          </w:p>
        </w:tc>
      </w:tr>
      <w:tr>
        <w:tc>
          <w:tcPr>
            <w:shd w:val="clear" w:color="auto" w:fill="F5F7FB"/>
          </w:tcPr>
          <w:p>
            <w:pPr>
              <w:pStyle w:val="Compact"/>
            </w:pPr>
            <w:r>
              <w:rPr>
                <w:sz w:val="17"/>
              </w:rPr>
              <w:t xml:space="preserve">Valeur de la notification électronique</w:t>
            </w:r>
          </w:p>
        </w:tc>
        <w:tc>
          <w:tcPr>
            <w:shd w:val="clear" w:color="auto" w:fill="F5F7FB"/>
          </w:tcPr>
          <w:p>
            <w:pPr>
              <w:pStyle w:val="Compact"/>
            </w:pPr>
            <w:r>
              <w:rPr>
                <w:sz w:val="17"/>
              </w:rPr>
              <w:t xml:space="preserve">Module 39</w:t>
            </w:r>
          </w:p>
        </w:tc>
        <w:tc>
          <w:tcPr>
            <w:shd w:val="clear" w:color="auto" w:fill="F5F7FB"/>
          </w:tcPr>
          <w:p>
            <w:pPr>
              <w:pStyle w:val="Compact"/>
            </w:pPr>
            <w:r>
              <w:rPr>
                <w:sz w:val="17"/>
              </w:rPr>
              <w:t xml:space="preserve">À VÉRIFIER au regard du Code du numérique et de l’édit</w:t>
            </w:r>
          </w:p>
        </w:tc>
      </w:tr>
    </w:tbl>
    <w:bookmarkEnd w:id="50"/>
    <w:bookmarkStart w:id="51" w:name="X8b8f6d9dc9f915a9f91b134aa48c5f382d44cbe"/>
    <w:p>
      <w:pPr>
        <w:pStyle w:val="Heading2"/>
      </w:pPr>
      <w:r>
        <w:t xml:space="preserve">6.8 Finances publiques : ce que la LOFIP impose à l’architecture</w:t>
      </w:r>
    </w:p>
    <w:p>
      <w:pPr>
        <w:pStyle w:val="FirstParagraph"/>
      </w:pPr>
      <w:r>
        <w:t xml:space="preserve">La LOFIP pose le principe d’</w:t>
      </w:r>
      <w:r>
        <w:rPr>
          <w:b/>
          <w:bCs/>
        </w:rPr>
        <w:t xml:space="preserve">unité de caisse et de trésorerie</w:t>
      </w:r>
      <w:r>
        <w:t xml:space="preserve"> </w:t>
      </w:r>
      <w:r>
        <w:t xml:space="preserve">et prévoit la tenue des disponibilités de la province dans un compte ouvert auprès de la Banque Centrale du Congo, avec séparation des fonctions d’ordonnateur et de comptable [CONFIRMÉ pour le principe ; articles À VÉRIFIER]. Quatre conséquences de conception sont non négociables :</w:t>
      </w:r>
    </w:p>
    <w:p>
      <w:pPr>
        <w:pStyle w:val="Compact"/>
        <w:numPr>
          <w:ilvl w:val="0"/>
          <w:numId w:val="1006"/>
        </w:numPr>
      </w:pPr>
      <w:r>
        <w:rPr>
          <w:b/>
          <w:bCs/>
        </w:rPr>
        <w:t xml:space="preserve">MOSOLO ne détient jamais de fonds.</w:t>
      </w:r>
      <w:r>
        <w:t xml:space="preserve"> </w:t>
      </w:r>
      <w:r>
        <w:t xml:space="preserve">Tous les paiements sont dirigés vers les comptes publics désignés (compte de recettes auprès des banques partenaires, puis compte de la province). La plateforme orchestre, trace, rapproche et prouve.</w:t>
      </w:r>
    </w:p>
    <w:p>
      <w:pPr>
        <w:pStyle w:val="Compact"/>
        <w:numPr>
          <w:ilvl w:val="0"/>
          <w:numId w:val="1006"/>
        </w:numPr>
      </w:pPr>
      <w:r>
        <w:rPr>
          <w:b/>
          <w:bCs/>
        </w:rPr>
        <w:t xml:space="preserve">Aucune répartition à la source hors texte.</w:t>
      </w:r>
      <w:r>
        <w:t xml:space="preserve"> </w:t>
      </w:r>
      <w:r>
        <w:t xml:space="preserve">Un prélèvement automatique d’une partie des recettes au profit d’un tiers (prestataire, agents, ministères) avant leur entrée dans la caisse publique est</w:t>
      </w:r>
      <w:r>
        <w:t xml:space="preserve"> </w:t>
      </w:r>
      <w:r>
        <w:rPr>
          <w:b/>
          <w:bCs/>
        </w:rPr>
        <w:t xml:space="preserve">juridiquement très exposé</w:t>
      </w:r>
      <w:r>
        <w:t xml:space="preserve"> </w:t>
      </w:r>
      <w:r>
        <w:t xml:space="preserve">au regard de l’unité de caisse, de l’universalité budgétaire et du risque de gestion de fait contrôlé par la Cour des comptes. Voir chapitre 37 pour l’analyse du modèle de rémunération proposé dans le Cahier v2.9.</w:t>
      </w:r>
    </w:p>
    <w:p>
      <w:pPr>
        <w:pStyle w:val="Compact"/>
        <w:numPr>
          <w:ilvl w:val="0"/>
          <w:numId w:val="1006"/>
        </w:numPr>
      </w:pPr>
      <w:r>
        <w:rPr>
          <w:b/>
          <w:bCs/>
        </w:rPr>
        <w:t xml:space="preserve">Le comptable public reste l’autorité de prise en charge.</w:t>
      </w:r>
      <w:r>
        <w:t xml:space="preserve"> </w:t>
      </w:r>
      <w:r>
        <w:t xml:space="preserve">Les workflows de règlement et de rapprochement (modules 29, 30, 59) prévoient la validation par le comptable habilité ; MOSOLO fournit les pièces.</w:t>
      </w:r>
    </w:p>
    <w:p>
      <w:pPr>
        <w:pStyle w:val="Compact"/>
        <w:numPr>
          <w:ilvl w:val="0"/>
          <w:numId w:val="1006"/>
        </w:numPr>
      </w:pPr>
      <w:r>
        <w:rPr>
          <w:b/>
          <w:bCs/>
        </w:rPr>
        <w:t xml:space="preserve">L’affectation relève du budget.</w:t>
      </w:r>
      <w:r>
        <w:t xml:space="preserve"> </w:t>
      </w:r>
      <w:r>
        <w:t xml:space="preserve">Le module 48 recommande ; il n’affecte pas (chapitre 27).</w:t>
      </w:r>
    </w:p>
    <w:bookmarkEnd w:id="51"/>
    <w:bookmarkStart w:id="52" w:name="X3579af9d14b038a8c3767ab5c4ee3e69d2d38f8"/>
    <w:p>
      <w:pPr>
        <w:pStyle w:val="Heading2"/>
      </w:pPr>
      <w:r>
        <w:t xml:space="preserve">6.9 Numérique, protection des données et signature électronique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Sujet</w:t>
            </w:r>
          </w:p>
        </w:tc>
        <w:tc>
          <w:tcPr>
            <w:shd w:val="clear" w:color="auto" w:fill="232C6B"/>
          </w:tcPr>
          <w:p>
            <w:pPr>
              <w:pStyle w:val="Compact"/>
            </w:pPr>
            <w:r>
              <w:rPr>
                <w:b/>
                <w:color w:val="FFFFFF"/>
                <w:sz w:val="17"/>
              </w:rPr>
              <w:t xml:space="preserve">État</w:t>
            </w:r>
          </w:p>
        </w:tc>
        <w:tc>
          <w:tcPr>
            <w:shd w:val="clear" w:color="auto" w:fill="232C6B"/>
          </w:tcPr>
          <w:p>
            <w:pPr>
              <w:pStyle w:val="Compact"/>
            </w:pPr>
            <w:r>
              <w:rPr>
                <w:b/>
                <w:color w:val="FFFFFF"/>
                <w:sz w:val="17"/>
              </w:rPr>
              <w:t xml:space="preserve">Conséquence de conception</w:t>
            </w:r>
          </w:p>
        </w:tc>
      </w:tr>
      <w:tr>
        <w:tc>
          <w:tcPr/>
          <w:p>
            <w:pPr>
              <w:pStyle w:val="Compact"/>
            </w:pPr>
            <w:r>
              <w:rPr>
                <w:sz w:val="17"/>
              </w:rPr>
              <w:t xml:space="preserve">Valeur de l’écrit et de la signature électroniques</w:t>
            </w:r>
          </w:p>
        </w:tc>
        <w:tc>
          <w:tcPr/>
          <w:p>
            <w:pPr>
              <w:pStyle w:val="Compact"/>
            </w:pPr>
            <w:r>
              <w:rPr>
                <w:sz w:val="17"/>
              </w:rPr>
              <w:t xml:space="preserve">Reconnue par le Code du numérique [CONFIRMÉ]</w:t>
            </w:r>
          </w:p>
        </w:tc>
        <w:tc>
          <w:tcPr/>
          <w:p>
            <w:pPr>
              <w:pStyle w:val="Compact"/>
            </w:pPr>
            <w:r>
              <w:rPr>
                <w:sz w:val="17"/>
              </w:rPr>
              <w:t xml:space="preserve">Quittance et avis électroniques signés ; la valeur probante exacte (signature simple, avancée, qualifiée) dépend des textes d’application</w:t>
            </w:r>
          </w:p>
        </w:tc>
      </w:tr>
      <w:tr>
        <w:tc>
          <w:tcPr>
            <w:shd w:val="clear" w:color="auto" w:fill="F5F7FB"/>
          </w:tcPr>
          <w:p>
            <w:pPr>
              <w:pStyle w:val="Compact"/>
            </w:pPr>
            <w:r>
              <w:rPr>
                <w:sz w:val="17"/>
              </w:rPr>
              <w:t xml:space="preserve">Autorité nationale de certification électronique (ANCE)</w:t>
            </w:r>
          </w:p>
        </w:tc>
        <w:tc>
          <w:tcPr>
            <w:shd w:val="clear" w:color="auto" w:fill="F5F7FB"/>
          </w:tcPr>
          <w:p>
            <w:pPr>
              <w:pStyle w:val="Compact"/>
            </w:pPr>
            <w:r>
              <w:rPr>
                <w:sz w:val="17"/>
              </w:rPr>
              <w:t xml:space="preserve">Non opérationnelle ; missions exercées à titre intérimaire par l’ARPTIC [PROBABLE]</w:t>
            </w:r>
          </w:p>
        </w:tc>
        <w:tc>
          <w:tcPr>
            <w:shd w:val="clear" w:color="auto" w:fill="F5F7FB"/>
          </w:tcPr>
          <w:p>
            <w:pPr>
              <w:pStyle w:val="Compact"/>
            </w:pPr>
            <w:r>
              <w:rPr>
                <w:b/>
                <w:bCs/>
                <w:sz w:val="17"/>
              </w:rPr>
              <w:t xml:space="preserve">Pas de PKI qualifiée nationale disponible</w:t>
            </w:r>
            <w:r>
              <w:rPr>
                <w:sz w:val="17"/>
              </w:rPr>
              <w:t xml:space="preserve"> </w:t>
            </w:r>
            <w:r>
              <w:rPr>
                <w:sz w:val="17"/>
              </w:rPr>
              <w:t xml:space="preserve">: MOSOLO opère une PKI provinciale (HSM) à titre de signature avancée, avec chaîne de certification documentée, transitoire jusqu’à la reconnaissance d’un prestataire qualifié</w:t>
            </w:r>
          </w:p>
        </w:tc>
      </w:tr>
      <w:tr>
        <w:tc>
          <w:tcPr/>
          <w:p>
            <w:pPr>
              <w:pStyle w:val="Compact"/>
            </w:pPr>
            <w:r>
              <w:rPr>
                <w:sz w:val="17"/>
              </w:rPr>
              <w:t xml:space="preserve">Autorité de protection des données (APD)</w:t>
            </w:r>
          </w:p>
        </w:tc>
        <w:tc>
          <w:tcPr/>
          <w:p>
            <w:pPr>
              <w:pStyle w:val="Compact"/>
            </w:pPr>
            <w:r>
              <w:rPr>
                <w:sz w:val="17"/>
              </w:rPr>
              <w:t xml:space="preserve">Non créée ; missions intérimaires confiées à l’ARPTIC par arrêté de 2024, dont la légalité est discutée [PROBABLE]</w:t>
            </w:r>
          </w:p>
        </w:tc>
        <w:tc>
          <w:tcPr/>
          <w:p>
            <w:pPr>
              <w:pStyle w:val="Compact"/>
            </w:pPr>
            <w:r>
              <w:rPr>
                <w:sz w:val="17"/>
              </w:rPr>
              <w:t xml:space="preserve">Formalités préalables auprès de l’autorité intérimaire à vérifier ; registre des traitements tenu dès le premier jour ; analyse d’impact sur la protection des données avant le pilote</w:t>
            </w:r>
          </w:p>
        </w:tc>
      </w:tr>
      <w:tr>
        <w:tc>
          <w:tcPr>
            <w:shd w:val="clear" w:color="auto" w:fill="F5F7FB"/>
          </w:tcPr>
          <w:p>
            <w:pPr>
              <w:pStyle w:val="Compact"/>
            </w:pPr>
            <w:r>
              <w:rPr>
                <w:sz w:val="17"/>
              </w:rPr>
              <w:t xml:space="preserve">Transferts de données hors du territoire</w:t>
            </w:r>
          </w:p>
        </w:tc>
        <w:tc>
          <w:tcPr>
            <w:shd w:val="clear" w:color="auto" w:fill="F5F7FB"/>
          </w:tcPr>
          <w:p>
            <w:pPr>
              <w:pStyle w:val="Compact"/>
            </w:pPr>
            <w:r>
              <w:rPr>
                <w:sz w:val="17"/>
              </w:rPr>
              <w:t xml:space="preserve">Régime à vérifier dans le Code du numérique</w:t>
            </w:r>
          </w:p>
        </w:tc>
        <w:tc>
          <w:tcPr>
            <w:shd w:val="clear" w:color="auto" w:fill="F5F7FB"/>
          </w:tcPr>
          <w:p>
            <w:pPr>
              <w:pStyle w:val="Compact"/>
            </w:pPr>
            <w:r>
              <w:rPr>
                <w:sz w:val="17"/>
              </w:rPr>
              <w:t xml:space="preserve">Hébergement primaire en RDC (ch. 33) ; aucun transfert de données personnelles fiscales hors du territoire sans base légale</w:t>
            </w:r>
          </w:p>
        </w:tc>
      </w:tr>
      <w:tr>
        <w:tc>
          <w:tcPr/>
          <w:p>
            <w:pPr>
              <w:pStyle w:val="Compact"/>
            </w:pPr>
            <w:r>
              <w:rPr>
                <w:sz w:val="17"/>
              </w:rPr>
              <w:t xml:space="preserve">Régime de déclaration ou d’autorisation des services numériques (arrêtés du 11 mars 2026)</w:t>
            </w:r>
          </w:p>
        </w:tc>
        <w:tc>
          <w:tcPr/>
          <w:p>
            <w:pPr>
              <w:pStyle w:val="Compact"/>
            </w:pPr>
            <w:r>
              <w:rPr>
                <w:sz w:val="17"/>
              </w:rPr>
              <w:t xml:space="preserve">[PROBABLE]</w:t>
            </w:r>
          </w:p>
        </w:tc>
        <w:tc>
          <w:tcPr/>
          <w:p>
            <w:pPr>
              <w:pStyle w:val="Compact"/>
            </w:pPr>
            <w:r>
              <w:rPr>
                <w:sz w:val="17"/>
              </w:rPr>
              <w:t xml:space="preserve">Vérifier l’assujettissement de l’opérateur de la plateforme et des prestataires avant le pilote</w:t>
            </w:r>
          </w:p>
        </w:tc>
      </w:tr>
    </w:tbl>
    <w:bookmarkEnd w:id="52"/>
    <w:bookmarkStart w:id="53" w:name="paiements-électroniques"/>
    <w:p>
      <w:pPr>
        <w:pStyle w:val="Heading2"/>
      </w:pPr>
      <w:r>
        <w:t xml:space="preserve">6.10 Paiements électroniques</w:t>
      </w:r>
    </w:p>
    <w:p>
      <w:pPr>
        <w:pStyle w:val="FirstParagraph"/>
      </w:pPr>
      <w:r>
        <w:t xml:space="preserve">Le cadre repose sur la Loi n° 18/019 (systèmes de paiement), la loi organique de la BCC et les instructions de la BCC relatives à la monnaie électronique, aux agrégateurs et à l’interopérabilité.</w:t>
      </w:r>
      <w:r>
        <w:t xml:space="preserve"> </w:t>
      </w:r>
      <w:r>
        <w:rPr>
          <w:b/>
          <w:bCs/>
        </w:rPr>
        <w:t xml:space="preserve">Règle de conception : MOSOLO n’est ni un établissement de paiement, ni un émetteur de monnaie électronique, ni un agrégateur, sauf agrément formel.</w:t>
      </w:r>
      <w:r>
        <w:t xml:space="preserve"> </w:t>
      </w:r>
      <w:r>
        <w:t xml:space="preserve">Les paiements sont initiés vers des comptes publics par des prestataires eux-mêmes habilités (banques, émetteurs de monnaie électronique) ; MOSOLO émet la référence de paiement, reçoit les confirmations signées et rapproche. Si l’architecture retenue exige une fonction d’agrégation (un seul point d’intégration pour plusieurs opérateurs), cette fonction est confiée à un</w:t>
      </w:r>
      <w:r>
        <w:t xml:space="preserve"> </w:t>
      </w:r>
      <w:r>
        <w:rPr>
          <w:b/>
          <w:bCs/>
        </w:rPr>
        <w:t xml:space="preserve">agrégateur agréé par la BCC</w:t>
      </w:r>
      <w:r>
        <w:t xml:space="preserve">, sous contrat avec la Province, et non à l’opérateur de la plateforme [ACTE REQUIS : vérification de l’agrément].</w:t>
      </w:r>
    </w:p>
    <w:bookmarkEnd w:id="53"/>
    <w:bookmarkStart w:id="54" w:name="X1401bafbeb5231e68ee4d979f210939b2ec8ec6"/>
    <w:p>
      <w:pPr>
        <w:pStyle w:val="Heading2"/>
      </w:pPr>
      <w:r>
        <w:t xml:space="preserve">6.11 Typologie des recettes et séparation des compétences</w:t>
      </w:r>
    </w:p>
    <w:p>
      <w:pPr>
        <w:pStyle w:val="FirstParagraph"/>
      </w:pPr>
      <w:r>
        <w:t xml:space="preserve">Chaque ligne du catalogue porte obligatoirement l’une des catégories suivantes. Le moteur de règles refuse toute obligation qui reproduirait, pour un même fait générateur, un même redevable et une même période, une obligation déjà portée par une autre administration.</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Catégorie</w:t>
            </w:r>
          </w:p>
        </w:tc>
        <w:tc>
          <w:tcPr>
            <w:shd w:val="clear" w:color="auto" w:fill="232C6B"/>
          </w:tcPr>
          <w:p>
            <w:pPr>
              <w:pStyle w:val="Compact"/>
            </w:pPr>
            <w:r>
              <w:rPr>
                <w:b/>
                <w:color w:val="FFFFFF"/>
                <w:sz w:val="17"/>
              </w:rPr>
              <w:t xml:space="preserve">Définition</w:t>
            </w:r>
          </w:p>
        </w:tc>
        <w:tc>
          <w:tcPr>
            <w:shd w:val="clear" w:color="auto" w:fill="232C6B"/>
          </w:tcPr>
          <w:p>
            <w:pPr>
              <w:pStyle w:val="Compact"/>
            </w:pPr>
            <w:r>
              <w:rPr>
                <w:b/>
                <w:color w:val="FFFFFF"/>
                <w:sz w:val="17"/>
              </w:rPr>
              <w:t xml:space="preserve">Exemples</w:t>
            </w:r>
          </w:p>
        </w:tc>
        <w:tc>
          <w:tcPr>
            <w:shd w:val="clear" w:color="auto" w:fill="232C6B"/>
          </w:tcPr>
          <w:p>
            <w:pPr>
              <w:pStyle w:val="Compact"/>
            </w:pPr>
            <w:r>
              <w:rPr>
                <w:b/>
                <w:color w:val="FFFFFF"/>
                <w:sz w:val="17"/>
              </w:rPr>
              <w:t xml:space="preserve">Traitement MOSOLO</w:t>
            </w:r>
          </w:p>
        </w:tc>
      </w:tr>
      <w:tr>
        <w:tc>
          <w:tcPr/>
          <w:p>
            <w:pPr>
              <w:pStyle w:val="Compact"/>
            </w:pPr>
            <w:r>
              <w:rPr>
                <w:b/>
                <w:bCs/>
                <w:sz w:val="17"/>
              </w:rPr>
              <w:t xml:space="preserve">IMPOT_PROVINCIAL</w:t>
            </w:r>
          </w:p>
        </w:tc>
        <w:tc>
          <w:tcPr/>
          <w:p>
            <w:pPr>
              <w:pStyle w:val="Compact"/>
            </w:pPr>
            <w:r>
              <w:rPr>
                <w:sz w:val="17"/>
              </w:rPr>
              <w:t xml:space="preserve">Impôt attribué à la province par la Constitution et la nomenclature</w:t>
            </w:r>
          </w:p>
        </w:tc>
        <w:tc>
          <w:tcPr/>
          <w:p>
            <w:pPr>
              <w:pStyle w:val="Compact"/>
            </w:pPr>
            <w:r>
              <w:rPr>
                <w:sz w:val="17"/>
              </w:rPr>
              <w:t xml:space="preserve">Impôt foncier, IRL, impôt sur les véhicules, superficie des concessions</w:t>
            </w:r>
          </w:p>
        </w:tc>
        <w:tc>
          <w:tcPr/>
          <w:p>
            <w:pPr>
              <w:pStyle w:val="Compact"/>
            </w:pPr>
            <w:r>
              <w:rPr>
                <w:sz w:val="17"/>
              </w:rPr>
              <w:t xml:space="preserve">Liquidation par la régie des impôts provinciaux</w:t>
            </w:r>
          </w:p>
        </w:tc>
      </w:tr>
      <w:tr>
        <w:tc>
          <w:tcPr>
            <w:shd w:val="clear" w:color="auto" w:fill="F5F7FB"/>
          </w:tcPr>
          <w:p>
            <w:pPr>
              <w:pStyle w:val="Compact"/>
            </w:pPr>
            <w:r>
              <w:rPr>
                <w:b/>
                <w:bCs/>
                <w:sz w:val="17"/>
              </w:rPr>
              <w:t xml:space="preserve">INTERET_COMMUN</w:t>
            </w:r>
          </w:p>
        </w:tc>
        <w:tc>
          <w:tcPr>
            <w:shd w:val="clear" w:color="auto" w:fill="F5F7FB"/>
          </w:tcPr>
          <w:p>
            <w:pPr>
              <w:pStyle w:val="Compact"/>
            </w:pPr>
            <w:r>
              <w:rPr>
                <w:sz w:val="17"/>
              </w:rPr>
              <w:t xml:space="preserve">Impôt ou taxe d’intérêt commun, avec clé de répartition légale</w:t>
            </w:r>
          </w:p>
        </w:tc>
        <w:tc>
          <w:tcPr>
            <w:shd w:val="clear" w:color="auto" w:fill="F5F7FB"/>
          </w:tcPr>
          <w:p>
            <w:pPr>
              <w:pStyle w:val="Compact"/>
            </w:pPr>
            <w:r>
              <w:rPr>
                <w:sz w:val="17"/>
              </w:rPr>
              <w:t xml:space="preserve">Selon OL 18/004 [liste À VÉRIFIER] : TSCR, patente, consommation bière et tabac, superficie des concessions forestières et minières, ventes de matières précieuses artisanales</w:t>
            </w:r>
          </w:p>
        </w:tc>
        <w:tc>
          <w:tcPr>
            <w:shd w:val="clear" w:color="auto" w:fill="F5F7FB"/>
          </w:tcPr>
          <w:p>
            <w:pPr>
              <w:pStyle w:val="Compact"/>
            </w:pPr>
            <w:r>
              <w:rPr>
                <w:sz w:val="17"/>
              </w:rPr>
              <w:t xml:space="preserve">Liquidation + calcul des parts légales (module 73)</w:t>
            </w:r>
          </w:p>
        </w:tc>
      </w:tr>
      <w:tr>
        <w:tc>
          <w:tcPr/>
          <w:p>
            <w:pPr>
              <w:pStyle w:val="Compact"/>
            </w:pPr>
            <w:r>
              <w:rPr>
                <w:b/>
                <w:bCs/>
                <w:sz w:val="17"/>
              </w:rPr>
              <w:t xml:space="preserve">PROVINCIAL_SPECIFIQUE</w:t>
            </w:r>
          </w:p>
        </w:tc>
        <w:tc>
          <w:tcPr/>
          <w:p>
            <w:pPr>
              <w:pStyle w:val="Compact"/>
            </w:pPr>
            <w:r>
              <w:rPr>
                <w:sz w:val="17"/>
              </w:rPr>
              <w:t xml:space="preserve">Droits, taxes et redevances propres à la province</w:t>
            </w:r>
          </w:p>
        </w:tc>
        <w:tc>
          <w:tcPr/>
          <w:p>
            <w:pPr>
              <w:pStyle w:val="Compact"/>
            </w:pPr>
            <w:r>
              <w:rPr>
                <w:sz w:val="17"/>
              </w:rPr>
              <w:t xml:space="preserve">Transport, embarquement, publicité, antennes, voirie et drainage, assainissement, débits de boissons, spectacles, carrières, péages, accostage, produits forestiers non ligneux</w:t>
            </w:r>
          </w:p>
        </w:tc>
        <w:tc>
          <w:tcPr/>
          <w:p>
            <w:pPr>
              <w:pStyle w:val="Compact"/>
            </w:pPr>
            <w:r>
              <w:rPr>
                <w:sz w:val="17"/>
              </w:rPr>
              <w:t xml:space="preserve">Liquidation par la régie des taxes</w:t>
            </w:r>
          </w:p>
        </w:tc>
      </w:tr>
      <w:tr>
        <w:tc>
          <w:tcPr>
            <w:shd w:val="clear" w:color="auto" w:fill="F5F7FB"/>
          </w:tcPr>
          <w:p>
            <w:pPr>
              <w:pStyle w:val="Compact"/>
            </w:pPr>
            <w:r>
              <w:rPr>
                <w:b/>
                <w:bCs/>
                <w:sz w:val="17"/>
              </w:rPr>
              <w:t xml:space="preserve">RECETTE_ETD</w:t>
            </w:r>
          </w:p>
        </w:tc>
        <w:tc>
          <w:tcPr>
            <w:shd w:val="clear" w:color="auto" w:fill="F5F7FB"/>
          </w:tcPr>
          <w:p>
            <w:pPr>
              <w:pStyle w:val="Compact"/>
            </w:pPr>
            <w:r>
              <w:rPr>
                <w:sz w:val="17"/>
              </w:rPr>
              <w:t xml:space="preserve">Recette des communes ou autres ETD</w:t>
            </w:r>
          </w:p>
        </w:tc>
        <w:tc>
          <w:tcPr>
            <w:shd w:val="clear" w:color="auto" w:fill="F5F7FB"/>
          </w:tcPr>
          <w:p>
            <w:pPr>
              <w:pStyle w:val="Compact"/>
            </w:pPr>
            <w:r>
              <w:rPr>
                <w:sz w:val="17"/>
              </w:rPr>
              <w:t xml:space="preserve">Impôt personnel minimum selon les informations disponibles [rattachement exact À VÉRIFIER], droits communaux</w:t>
            </w:r>
          </w:p>
        </w:tc>
        <w:tc>
          <w:tcPr>
            <w:shd w:val="clear" w:color="auto" w:fill="F5F7FB"/>
          </w:tcPr>
          <w:p>
            <w:pPr>
              <w:pStyle w:val="Compact"/>
            </w:pPr>
            <w:r>
              <w:rPr>
                <w:b/>
                <w:bCs/>
                <w:sz w:val="17"/>
              </w:rPr>
              <w:t xml:space="preserve">Non liquidée par la province</w:t>
            </w:r>
            <w:r>
              <w:rPr>
                <w:sz w:val="17"/>
              </w:rPr>
              <w:t xml:space="preserve"> </w:t>
            </w:r>
            <w:r>
              <w:rPr>
                <w:sz w:val="17"/>
              </w:rPr>
              <w:t xml:space="preserve">; espace communal séparé ultérieur</w:t>
            </w:r>
          </w:p>
        </w:tc>
      </w:tr>
      <w:tr>
        <w:tc>
          <w:tcPr/>
          <w:p>
            <w:pPr>
              <w:pStyle w:val="Compact"/>
            </w:pPr>
            <w:r>
              <w:rPr>
                <w:b/>
                <w:bCs/>
                <w:sz w:val="17"/>
              </w:rPr>
              <w:t xml:space="preserve">RECETTE_CENTRALE</w:t>
            </w:r>
          </w:p>
        </w:tc>
        <w:tc>
          <w:tcPr/>
          <w:p>
            <w:pPr>
              <w:pStyle w:val="Compact"/>
            </w:pPr>
            <w:r>
              <w:rPr>
                <w:sz w:val="17"/>
              </w:rPr>
              <w:t xml:space="preserve">Recette du pouvoir central</w:t>
            </w:r>
          </w:p>
        </w:tc>
        <w:tc>
          <w:tcPr/>
          <w:p>
            <w:pPr>
              <w:pStyle w:val="Compact"/>
            </w:pPr>
            <w:r>
              <w:rPr>
                <w:sz w:val="17"/>
              </w:rPr>
              <w:t xml:space="preserve">Nomenclature OL 18/003, impôts DGI</w:t>
            </w:r>
          </w:p>
        </w:tc>
        <w:tc>
          <w:tcPr/>
          <w:p>
            <w:pPr>
              <w:pStyle w:val="Compact"/>
            </w:pPr>
            <w:r>
              <w:rPr>
                <w:sz w:val="17"/>
              </w:rPr>
              <w:t xml:space="preserve">Exclue ; sert uniquement à prévenir la double imposition</w:t>
            </w:r>
          </w:p>
        </w:tc>
      </w:tr>
      <w:tr>
        <w:tc>
          <w:tcPr>
            <w:shd w:val="clear" w:color="auto" w:fill="F5F7FB"/>
          </w:tcPr>
          <w:p>
            <w:pPr>
              <w:pStyle w:val="Compact"/>
            </w:pPr>
            <w:r>
              <w:rPr>
                <w:b/>
                <w:bCs/>
                <w:sz w:val="17"/>
              </w:rPr>
              <w:t xml:space="preserve">PARTAGEE</w:t>
            </w:r>
          </w:p>
        </w:tc>
        <w:tc>
          <w:tcPr>
            <w:shd w:val="clear" w:color="auto" w:fill="F5F7FB"/>
          </w:tcPr>
          <w:p>
            <w:pPr>
              <w:pStyle w:val="Compact"/>
            </w:pPr>
            <w:r>
              <w:rPr>
                <w:sz w:val="17"/>
              </w:rPr>
              <w:t xml:space="preserve">Recette dont le produit est légalement partagé</w:t>
            </w:r>
          </w:p>
        </w:tc>
        <w:tc>
          <w:tcPr>
            <w:shd w:val="clear" w:color="auto" w:fill="F5F7FB"/>
          </w:tcPr>
          <w:p>
            <w:pPr>
              <w:pStyle w:val="Compact"/>
            </w:pPr>
            <w:r>
              <w:rPr>
                <w:sz w:val="17"/>
              </w:rPr>
              <w:t xml:space="preserve">Selon texte</w:t>
            </w:r>
          </w:p>
        </w:tc>
        <w:tc>
          <w:tcPr>
            <w:shd w:val="clear" w:color="auto" w:fill="F5F7FB"/>
          </w:tcPr>
          <w:p>
            <w:pPr>
              <w:pStyle w:val="Compact"/>
            </w:pPr>
            <w:r>
              <w:rPr>
                <w:sz w:val="17"/>
              </w:rPr>
              <w:t xml:space="preserve">Parts calculées sur recettes rapprochées ; aucune clé modifiable par un utilisateur</w:t>
            </w:r>
          </w:p>
        </w:tc>
      </w:tr>
      <w:tr>
        <w:tc>
          <w:tcPr/>
          <w:p>
            <w:pPr>
              <w:pStyle w:val="Compact"/>
            </w:pPr>
            <w:r>
              <w:rPr>
                <w:b/>
                <w:bCs/>
                <w:sz w:val="17"/>
              </w:rPr>
              <w:t xml:space="preserve">DROIT_ADMINISTRATIF</w:t>
            </w:r>
          </w:p>
        </w:tc>
        <w:tc>
          <w:tcPr/>
          <w:p>
            <w:pPr>
              <w:pStyle w:val="Compact"/>
            </w:pPr>
            <w:r>
              <w:rPr>
                <w:sz w:val="17"/>
              </w:rPr>
              <w:t xml:space="preserve">Contrepartie d’un acte administratif</w:t>
            </w:r>
          </w:p>
        </w:tc>
        <w:tc>
          <w:tcPr/>
          <w:p>
            <w:pPr>
              <w:pStyle w:val="Compact"/>
            </w:pPr>
            <w:r>
              <w:rPr>
                <w:sz w:val="17"/>
              </w:rPr>
              <w:t xml:space="preserve">Autorisations, permis, duplicatas, attestations</w:t>
            </w:r>
          </w:p>
        </w:tc>
        <w:tc>
          <w:tcPr/>
          <w:p>
            <w:pPr>
              <w:pStyle w:val="Compact"/>
            </w:pPr>
            <w:r>
              <w:rPr>
                <w:sz w:val="17"/>
              </w:rPr>
              <w:t xml:space="preserve">Liquidation à la demande de l’acte</w:t>
            </w:r>
          </w:p>
        </w:tc>
      </w:tr>
      <w:tr>
        <w:tc>
          <w:tcPr>
            <w:shd w:val="clear" w:color="auto" w:fill="F5F7FB"/>
          </w:tcPr>
          <w:p>
            <w:pPr>
              <w:pStyle w:val="Compact"/>
            </w:pPr>
            <w:r>
              <w:rPr>
                <w:b/>
                <w:bCs/>
                <w:sz w:val="17"/>
              </w:rPr>
              <w:t xml:space="preserve">REDEVANCE_SERVICE</w:t>
            </w:r>
          </w:p>
        </w:tc>
        <w:tc>
          <w:tcPr>
            <w:shd w:val="clear" w:color="auto" w:fill="F5F7FB"/>
          </w:tcPr>
          <w:p>
            <w:pPr>
              <w:pStyle w:val="Compact"/>
            </w:pPr>
            <w:r>
              <w:rPr>
                <w:sz w:val="17"/>
              </w:rPr>
              <w:t xml:space="preserve">Contrepartie d’un service rendu</w:t>
            </w:r>
          </w:p>
        </w:tc>
        <w:tc>
          <w:tcPr>
            <w:shd w:val="clear" w:color="auto" w:fill="F5F7FB"/>
          </w:tcPr>
          <w:p>
            <w:pPr>
              <w:pStyle w:val="Compact"/>
            </w:pPr>
            <w:r>
              <w:rPr>
                <w:sz w:val="17"/>
              </w:rPr>
              <w:t xml:space="preserve">Stationnement, marchés, enlèvement de déchets</w:t>
            </w:r>
          </w:p>
        </w:tc>
        <w:tc>
          <w:tcPr>
            <w:shd w:val="clear" w:color="auto" w:fill="F5F7FB"/>
          </w:tcPr>
          <w:p>
            <w:pPr>
              <w:pStyle w:val="Compact"/>
            </w:pPr>
            <w:r>
              <w:rPr>
                <w:sz w:val="17"/>
              </w:rPr>
              <w:t xml:space="preserve">Titres à durée (module 70)</w:t>
            </w:r>
          </w:p>
        </w:tc>
      </w:tr>
      <w:tr>
        <w:tc>
          <w:tcPr/>
          <w:p>
            <w:pPr>
              <w:pStyle w:val="Compact"/>
            </w:pPr>
            <w:r>
              <w:rPr>
                <w:b/>
                <w:bCs/>
                <w:sz w:val="17"/>
              </w:rPr>
              <w:t xml:space="preserve">PENALITE</w:t>
            </w:r>
          </w:p>
        </w:tc>
        <w:tc>
          <w:tcPr/>
          <w:p>
            <w:pPr>
              <w:pStyle w:val="Compact"/>
            </w:pPr>
            <w:r>
              <w:rPr>
                <w:sz w:val="17"/>
              </w:rPr>
              <w:t xml:space="preserve">Sanction pécuniaire prévue par un texte</w:t>
            </w:r>
          </w:p>
        </w:tc>
        <w:tc>
          <w:tcPr/>
          <w:p>
            <w:pPr>
              <w:pStyle w:val="Compact"/>
            </w:pPr>
            <w:r>
              <w:rPr>
                <w:sz w:val="17"/>
              </w:rPr>
              <w:t xml:space="preserve">Pénalités de retard, amendes réglementaires</w:t>
            </w:r>
          </w:p>
        </w:tc>
        <w:tc>
          <w:tcPr/>
          <w:p>
            <w:pPr>
              <w:pStyle w:val="Compact"/>
            </w:pPr>
            <w:r>
              <w:rPr>
                <w:sz w:val="17"/>
              </w:rPr>
              <w:t xml:space="preserve">Jamais automatique ; décision habilitée ; recours</w:t>
            </w:r>
          </w:p>
        </w:tc>
      </w:tr>
      <w:tr>
        <w:tc>
          <w:tcPr>
            <w:shd w:val="clear" w:color="auto" w:fill="F5F7FB"/>
          </w:tcPr>
          <w:p>
            <w:pPr>
              <w:pStyle w:val="Compact"/>
            </w:pPr>
            <w:r>
              <w:rPr>
                <w:b/>
                <w:bCs/>
                <w:sz w:val="17"/>
              </w:rPr>
              <w:t xml:space="preserve">CONCESSION_DOMANIALE</w:t>
            </w:r>
          </w:p>
        </w:tc>
        <w:tc>
          <w:tcPr>
            <w:shd w:val="clear" w:color="auto" w:fill="F5F7FB"/>
          </w:tcPr>
          <w:p>
            <w:pPr>
              <w:pStyle w:val="Compact"/>
            </w:pPr>
            <w:r>
              <w:rPr>
                <w:sz w:val="17"/>
              </w:rPr>
              <w:t xml:space="preserve">Produit du domaine et des concessions</w:t>
            </w:r>
          </w:p>
        </w:tc>
        <w:tc>
          <w:tcPr>
            <w:shd w:val="clear" w:color="auto" w:fill="F5F7FB"/>
          </w:tcPr>
          <w:p>
            <w:pPr>
              <w:pStyle w:val="Compact"/>
            </w:pPr>
            <w:r>
              <w:rPr>
                <w:sz w:val="17"/>
              </w:rPr>
              <w:t xml:space="preserve">Occupation du domaine public, location d’actifs</w:t>
            </w:r>
          </w:p>
        </w:tc>
        <w:tc>
          <w:tcPr>
            <w:shd w:val="clear" w:color="auto" w:fill="F5F7FB"/>
          </w:tcPr>
          <w:p>
            <w:pPr>
              <w:pStyle w:val="Compact"/>
            </w:pPr>
            <w:r>
              <w:rPr>
                <w:sz w:val="17"/>
              </w:rPr>
              <w:t xml:space="preserve">Contrat + règle tarifaire</w:t>
            </w:r>
          </w:p>
        </w:tc>
      </w:tr>
      <w:tr>
        <w:tc>
          <w:tcPr/>
          <w:p>
            <w:pPr>
              <w:pStyle w:val="Compact"/>
            </w:pPr>
            <w:r>
              <w:rPr>
                <w:b/>
                <w:bCs/>
                <w:sz w:val="17"/>
              </w:rPr>
              <w:t xml:space="preserve">RECETTE_COMMERCIALE</w:t>
            </w:r>
          </w:p>
        </w:tc>
        <w:tc>
          <w:tcPr/>
          <w:p>
            <w:pPr>
              <w:pStyle w:val="Compact"/>
            </w:pPr>
            <w:r>
              <w:rPr>
                <w:sz w:val="17"/>
              </w:rPr>
              <w:t xml:space="preserve">Recette d’une activité commerciale publique</w:t>
            </w:r>
          </w:p>
        </w:tc>
        <w:tc>
          <w:tcPr/>
          <w:p>
            <w:pPr>
              <w:pStyle w:val="Compact"/>
            </w:pPr>
            <w:r>
              <w:rPr>
                <w:sz w:val="17"/>
              </w:rPr>
              <w:t xml:space="preserve">Droits de dénomination, données agrégées</w:t>
            </w:r>
          </w:p>
        </w:tc>
        <w:tc>
          <w:tcPr/>
          <w:p>
            <w:pPr>
              <w:pStyle w:val="Compact"/>
            </w:pPr>
            <w:r>
              <w:rPr>
                <w:sz w:val="17"/>
              </w:rPr>
              <w:t xml:space="preserve">Contrat mis en concurrence</w:t>
            </w:r>
          </w:p>
        </w:tc>
      </w:tr>
      <w:tr>
        <w:tc>
          <w:tcPr>
            <w:shd w:val="clear" w:color="auto" w:fill="F5F7FB"/>
          </w:tcPr>
          <w:p>
            <w:pPr>
              <w:pStyle w:val="Compact"/>
            </w:pPr>
            <w:r>
              <w:rPr>
                <w:b/>
                <w:bCs/>
                <w:sz w:val="17"/>
              </w:rPr>
              <w:t xml:space="preserve">ACTE_REQUIS</w:t>
            </w:r>
          </w:p>
        </w:tc>
        <w:tc>
          <w:tcPr>
            <w:shd w:val="clear" w:color="auto" w:fill="F5F7FB"/>
          </w:tcPr>
          <w:p>
            <w:pPr>
              <w:pStyle w:val="Compact"/>
            </w:pPr>
            <w:r>
              <w:rPr>
                <w:sz w:val="17"/>
              </w:rPr>
              <w:t xml:space="preserve">Recette envisagée sans base suffisante</w:t>
            </w:r>
          </w:p>
        </w:tc>
        <w:tc>
          <w:tcPr>
            <w:shd w:val="clear" w:color="auto" w:fill="F5F7FB"/>
          </w:tcPr>
          <w:p>
            <w:pPr>
              <w:pStyle w:val="Compact"/>
            </w:pPr>
            <w:r>
              <w:rPr>
                <w:sz w:val="17"/>
              </w:rPr>
              <w:t xml:space="preserve">Contribution plastique, captation de plus-value</w:t>
            </w:r>
          </w:p>
        </w:tc>
        <w:tc>
          <w:tcPr>
            <w:shd w:val="clear" w:color="auto" w:fill="F5F7FB"/>
          </w:tcPr>
          <w:p>
            <w:pPr>
              <w:pStyle w:val="Compact"/>
            </w:pPr>
            <w:r>
              <w:rPr>
                <w:sz w:val="17"/>
              </w:rPr>
              <w:t xml:space="preserve">Simulable,</w:t>
            </w:r>
            <w:r>
              <w:rPr>
                <w:sz w:val="17"/>
              </w:rPr>
              <w:t xml:space="preserve"> </w:t>
            </w:r>
            <w:r>
              <w:rPr>
                <w:b/>
                <w:bCs/>
                <w:sz w:val="17"/>
              </w:rPr>
              <w:t xml:space="preserve">non activable</w:t>
            </w:r>
          </w:p>
        </w:tc>
      </w:tr>
    </w:tbl>
    <w:p>
      <w:pPr>
        <w:pStyle w:val="BodyText"/>
      </w:pPr>
      <w:r>
        <w:rPr>
          <w:b/>
          <w:bCs/>
        </w:rPr>
        <w:t xml:space="preserve">Impôt personnel minimum.</w:t>
      </w:r>
      <w:r>
        <w:t xml:space="preserve"> </w:t>
      </w:r>
      <w:r>
        <w:t xml:space="preserve">Les informations disponibles indiquent que l’IPM est perçu au niveau des communes, secteurs et chefferies ; son rattachement exact dans l’OL 18/004 n’a pas pu être confirmé [À VÉRIFIER]. Il est classé</w:t>
      </w:r>
      <w:r>
        <w:t xml:space="preserve"> </w:t>
      </w:r>
      <w:r>
        <w:rPr>
          <w:rStyle w:val="VerbatimChar"/>
        </w:rPr>
        <w:t xml:space="preserve">RECETTE_ETD</w:t>
      </w:r>
      <w:r>
        <w:t xml:space="preserve"> </w:t>
      </w:r>
      <w:r>
        <w:t xml:space="preserve">et</w:t>
      </w:r>
      <w:r>
        <w:t xml:space="preserve"> </w:t>
      </w:r>
      <w:r>
        <w:rPr>
          <w:b/>
          <w:bCs/>
        </w:rPr>
        <w:t xml:space="preserve">n’est pas activé</w:t>
      </w:r>
      <w:r>
        <w:t xml:space="preserve"> </w:t>
      </w:r>
      <w:r>
        <w:t xml:space="preserve">dans le périmètre provincial.</w:t>
      </w:r>
    </w:p>
    <w:bookmarkEnd w:id="54"/>
    <w:bookmarkStart w:id="58" w:name="règle-dor-la-fiche-de-règle-de-recette"/>
    <w:p>
      <w:pPr>
        <w:pStyle w:val="Heading2"/>
      </w:pPr>
      <w:r>
        <w:t xml:space="preserve">6.12 Règle d’or : la fiche de règle de recette</w:t>
      </w:r>
    </w:p>
    <w:p>
      <w:pPr>
        <w:pStyle w:val="FirstParagraph"/>
      </w:pPr>
      <w:r>
        <w:t xml:space="preserve">Aucune recette n’est activable sans une fiche complète, certifiée par le service juridique provincial et approuvée par l’autorité compétente. La fiche et le modèle technique sont identiques : ce que le juriste signe est ce que le moteur exécute.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w:t>
            </w:r>
          </w:p>
        </w:tc>
        <w:tc>
          <w:tcPr>
            <w:shd w:val="clear" w:color="auto" w:fill="232C6B"/>
          </w:tcPr>
          <w:p>
            <w:pPr>
              <w:pStyle w:val="Compact"/>
            </w:pPr>
            <w:r>
              <w:rPr>
                <w:b/>
                <w:color w:val="FFFFFF"/>
                <w:sz w:val="17"/>
              </w:rPr>
              <w:t xml:space="preserve">Champ de la fiche</w:t>
            </w:r>
          </w:p>
        </w:tc>
        <w:tc>
          <w:tcPr>
            <w:shd w:val="clear" w:color="auto" w:fill="232C6B"/>
          </w:tcPr>
          <w:p>
            <w:pPr>
              <w:pStyle w:val="Compact"/>
            </w:pPr>
            <w:r>
              <w:rPr>
                <w:b/>
                <w:color w:val="FFFFFF"/>
                <w:sz w:val="17"/>
              </w:rPr>
              <w:t xml:space="preserve">Attribut technique</w:t>
            </w:r>
          </w:p>
        </w:tc>
        <w:tc>
          <w:tcPr>
            <w:shd w:val="clear" w:color="auto" w:fill="232C6B"/>
          </w:tcPr>
          <w:p>
            <w:pPr>
              <w:pStyle w:val="Compact"/>
            </w:pPr>
            <w:r>
              <w:rPr>
                <w:b/>
                <w:color w:val="FFFFFF"/>
                <w:sz w:val="17"/>
              </w:rPr>
              <w:t xml:space="preserve">Contrôle</w:t>
            </w:r>
          </w:p>
        </w:tc>
      </w:tr>
      <w:tr>
        <w:tc>
          <w:tcPr/>
          <w:p>
            <w:pPr>
              <w:pStyle w:val="Compact"/>
            </w:pPr>
            <w:r>
              <w:rPr>
                <w:sz w:val="17"/>
              </w:rPr>
              <w:t xml:space="preserve">1</w:t>
            </w:r>
          </w:p>
        </w:tc>
        <w:tc>
          <w:tcPr/>
          <w:p>
            <w:pPr>
              <w:pStyle w:val="Compact"/>
            </w:pPr>
            <w:r>
              <w:rPr>
                <w:sz w:val="17"/>
              </w:rPr>
              <w:t xml:space="preserve">Référence légale</w:t>
            </w:r>
          </w:p>
        </w:tc>
        <w:tc>
          <w:tcPr/>
          <w:p>
            <w:pPr>
              <w:pStyle w:val="Compact"/>
            </w:pPr>
            <w:r>
              <w:rPr>
                <w:rStyle w:val="VerbatimChar"/>
                <w:sz w:val="17"/>
              </w:rPr>
              <w:t xml:space="preserve">legal_instrument_id</w:t>
            </w:r>
            <w:r>
              <w:rPr>
                <w:sz w:val="17"/>
              </w:rPr>
              <w:t xml:space="preserve"> </w:t>
            </w:r>
            <w:r>
              <w:rPr>
                <w:sz w:val="17"/>
              </w:rPr>
              <w:t xml:space="preserve">(instrument au statut</w:t>
            </w:r>
            <w:r>
              <w:rPr>
                <w:sz w:val="17"/>
              </w:rPr>
              <w:t xml:space="preserve"> </w:t>
            </w:r>
            <w:r>
              <w:rPr>
                <w:rStyle w:val="VerbatimChar"/>
                <w:sz w:val="17"/>
              </w:rPr>
              <w:t xml:space="preserve">EN_VIGUEUR</w:t>
            </w:r>
            <w:r>
              <w:rPr>
                <w:sz w:val="17"/>
              </w:rPr>
              <w:t xml:space="preserve">, pièce officielle hachée)</w:t>
            </w:r>
          </w:p>
        </w:tc>
        <w:tc>
          <w:tcPr/>
          <w:p>
            <w:pPr>
              <w:pStyle w:val="Compact"/>
            </w:pPr>
            <w:r>
              <w:rPr>
                <w:sz w:val="17"/>
              </w:rPr>
              <w:t xml:space="preserve">Bloquant</w:t>
            </w:r>
          </w:p>
        </w:tc>
      </w:tr>
      <w:tr>
        <w:tc>
          <w:tcPr>
            <w:shd w:val="clear" w:color="auto" w:fill="F5F7FB"/>
          </w:tcPr>
          <w:p>
            <w:pPr>
              <w:pStyle w:val="Compact"/>
            </w:pPr>
            <w:r>
              <w:rPr>
                <w:sz w:val="17"/>
              </w:rPr>
              <w:t xml:space="preserve">2</w:t>
            </w:r>
          </w:p>
        </w:tc>
        <w:tc>
          <w:tcPr>
            <w:shd w:val="clear" w:color="auto" w:fill="F5F7FB"/>
          </w:tcPr>
          <w:p>
            <w:pPr>
              <w:pStyle w:val="Compact"/>
            </w:pPr>
            <w:r>
              <w:rPr>
                <w:sz w:val="17"/>
              </w:rPr>
              <w:t xml:space="preserve">Article(s)</w:t>
            </w:r>
          </w:p>
        </w:tc>
        <w:tc>
          <w:tcPr>
            <w:shd w:val="clear" w:color="auto" w:fill="F5F7FB"/>
          </w:tcPr>
          <w:p>
            <w:pPr>
              <w:pStyle w:val="Compact"/>
            </w:pPr>
            <w:r>
              <w:rPr>
                <w:rStyle w:val="VerbatimChar"/>
                <w:sz w:val="17"/>
              </w:rPr>
              <w:t xml:space="preserve">articles[]</w:t>
            </w:r>
          </w:p>
        </w:tc>
        <w:tc>
          <w:tcPr>
            <w:shd w:val="clear" w:color="auto" w:fill="F5F7FB"/>
          </w:tcPr>
          <w:p>
            <w:pPr>
              <w:pStyle w:val="Compact"/>
            </w:pPr>
            <w:r>
              <w:rPr>
                <w:sz w:val="17"/>
              </w:rPr>
              <w:t xml:space="preserve">Bloquant</w:t>
            </w:r>
          </w:p>
        </w:tc>
      </w:tr>
      <w:tr>
        <w:tc>
          <w:tcPr/>
          <w:p>
            <w:pPr>
              <w:pStyle w:val="Compact"/>
            </w:pPr>
            <w:r>
              <w:rPr>
                <w:sz w:val="17"/>
              </w:rPr>
              <w:t xml:space="preserve">3</w:t>
            </w:r>
          </w:p>
        </w:tc>
        <w:tc>
          <w:tcPr/>
          <w:p>
            <w:pPr>
              <w:pStyle w:val="Compact"/>
            </w:pPr>
            <w:r>
              <w:rPr>
                <w:sz w:val="17"/>
              </w:rPr>
              <w:t xml:space="preserve">Autorité compétente</w:t>
            </w:r>
          </w:p>
        </w:tc>
        <w:tc>
          <w:tcPr/>
          <w:p>
            <w:pPr>
              <w:pStyle w:val="Compact"/>
            </w:pPr>
            <w:r>
              <w:rPr>
                <w:rStyle w:val="VerbatimChar"/>
                <w:sz w:val="17"/>
              </w:rPr>
              <w:t xml:space="preserve">competent_authority_id</w:t>
            </w:r>
          </w:p>
        </w:tc>
        <w:tc>
          <w:tcPr/>
          <w:p>
            <w:pPr>
              <w:pStyle w:val="Compact"/>
            </w:pPr>
            <w:r>
              <w:rPr>
                <w:sz w:val="17"/>
              </w:rPr>
              <w:t xml:space="preserve">Bloquant</w:t>
            </w:r>
          </w:p>
        </w:tc>
      </w:tr>
      <w:tr>
        <w:tc>
          <w:tcPr>
            <w:shd w:val="clear" w:color="auto" w:fill="F5F7FB"/>
          </w:tcPr>
          <w:p>
            <w:pPr>
              <w:pStyle w:val="Compact"/>
            </w:pPr>
            <w:r>
              <w:rPr>
                <w:sz w:val="17"/>
              </w:rPr>
              <w:t xml:space="preserve">4</w:t>
            </w:r>
          </w:p>
        </w:tc>
        <w:tc>
          <w:tcPr>
            <w:shd w:val="clear" w:color="auto" w:fill="F5F7FB"/>
          </w:tcPr>
          <w:p>
            <w:pPr>
              <w:pStyle w:val="Compact"/>
            </w:pPr>
            <w:r>
              <w:rPr>
                <w:sz w:val="17"/>
              </w:rPr>
              <w:t xml:space="preserve">Fait générateur</w:t>
            </w:r>
          </w:p>
        </w:tc>
        <w:tc>
          <w:tcPr>
            <w:shd w:val="clear" w:color="auto" w:fill="F5F7FB"/>
          </w:tcPr>
          <w:p>
            <w:pPr>
              <w:pStyle w:val="Compact"/>
            </w:pPr>
            <w:r>
              <w:rPr>
                <w:rStyle w:val="VerbatimChar"/>
                <w:sz w:val="17"/>
              </w:rPr>
              <w:t xml:space="preserve">taxable_event</w:t>
            </w:r>
            <w:r>
              <w:rPr>
                <w:sz w:val="17"/>
              </w:rPr>
              <w:t xml:space="preserve"> </w:t>
            </w:r>
            <w:r>
              <w:rPr>
                <w:sz w:val="17"/>
              </w:rPr>
              <w:t xml:space="preserve">(typé : possession, location, activité, transaction, occupation, acte)</w:t>
            </w:r>
          </w:p>
        </w:tc>
        <w:tc>
          <w:tcPr>
            <w:shd w:val="clear" w:color="auto" w:fill="F5F7FB"/>
          </w:tcPr>
          <w:p>
            <w:pPr>
              <w:pStyle w:val="Compact"/>
            </w:pPr>
            <w:r>
              <w:rPr>
                <w:sz w:val="17"/>
              </w:rPr>
              <w:t xml:space="preserve">Bloquant</w:t>
            </w:r>
          </w:p>
        </w:tc>
      </w:tr>
      <w:tr>
        <w:tc>
          <w:tcPr/>
          <w:p>
            <w:pPr>
              <w:pStyle w:val="Compact"/>
            </w:pPr>
            <w:r>
              <w:rPr>
                <w:sz w:val="17"/>
              </w:rPr>
              <w:t xml:space="preserve">5</w:t>
            </w:r>
          </w:p>
        </w:tc>
        <w:tc>
          <w:tcPr/>
          <w:p>
            <w:pPr>
              <w:pStyle w:val="Compact"/>
            </w:pPr>
            <w:r>
              <w:rPr>
                <w:sz w:val="17"/>
              </w:rPr>
              <w:t xml:space="preserve">Catégorie de redevable</w:t>
            </w:r>
          </w:p>
        </w:tc>
        <w:tc>
          <w:tcPr/>
          <w:p>
            <w:pPr>
              <w:pStyle w:val="Compact"/>
            </w:pPr>
            <w:r>
              <w:rPr>
                <w:rStyle w:val="VerbatimChar"/>
                <w:sz w:val="17"/>
              </w:rPr>
              <w:t xml:space="preserve">liable_party_rule</w:t>
            </w:r>
            <w:r>
              <w:rPr>
                <w:sz w:val="17"/>
              </w:rPr>
              <w:t xml:space="preserve">,</w:t>
            </w:r>
            <w:r>
              <w:rPr>
                <w:sz w:val="17"/>
              </w:rPr>
              <w:t xml:space="preserve"> </w:t>
            </w:r>
            <w:r>
              <w:rPr>
                <w:rStyle w:val="VerbatimChar"/>
                <w:sz w:val="17"/>
              </w:rPr>
              <w:t xml:space="preserve">withholding_agent_rule</w:t>
            </w:r>
          </w:p>
        </w:tc>
        <w:tc>
          <w:tcPr/>
          <w:p>
            <w:pPr>
              <w:pStyle w:val="Compact"/>
            </w:pPr>
            <w:r>
              <w:rPr>
                <w:sz w:val="17"/>
              </w:rPr>
              <w:t xml:space="preserve">Bloquant</w:t>
            </w:r>
          </w:p>
        </w:tc>
      </w:tr>
      <w:tr>
        <w:tc>
          <w:tcPr>
            <w:shd w:val="clear" w:color="auto" w:fill="F5F7FB"/>
          </w:tcPr>
          <w:p>
            <w:pPr>
              <w:pStyle w:val="Compact"/>
            </w:pPr>
            <w:r>
              <w:rPr>
                <w:sz w:val="17"/>
              </w:rPr>
              <w:t xml:space="preserve">6</w:t>
            </w:r>
          </w:p>
        </w:tc>
        <w:tc>
          <w:tcPr>
            <w:shd w:val="clear" w:color="auto" w:fill="F5F7FB"/>
          </w:tcPr>
          <w:p>
            <w:pPr>
              <w:pStyle w:val="Compact"/>
            </w:pPr>
            <w:r>
              <w:rPr>
                <w:sz w:val="17"/>
              </w:rPr>
              <w:t xml:space="preserve">Assiette</w:t>
            </w:r>
          </w:p>
        </w:tc>
        <w:tc>
          <w:tcPr>
            <w:shd w:val="clear" w:color="auto" w:fill="F5F7FB"/>
          </w:tcPr>
          <w:p>
            <w:pPr>
              <w:pStyle w:val="Compact"/>
            </w:pPr>
            <w:r>
              <w:rPr>
                <w:rStyle w:val="VerbatimChar"/>
                <w:sz w:val="17"/>
              </w:rPr>
              <w:t xml:space="preserve">base_definition</w:t>
            </w:r>
            <w:r>
              <w:rPr>
                <w:sz w:val="17"/>
              </w:rPr>
              <w:t xml:space="preserve"> </w:t>
            </w:r>
            <w:r>
              <w:rPr>
                <w:sz w:val="17"/>
              </w:rPr>
              <w:t xml:space="preserve">(champs d’objet utilisés, unité)</w:t>
            </w:r>
          </w:p>
        </w:tc>
        <w:tc>
          <w:tcPr>
            <w:shd w:val="clear" w:color="auto" w:fill="F5F7FB"/>
          </w:tcPr>
          <w:p>
            <w:pPr>
              <w:pStyle w:val="Compact"/>
            </w:pPr>
            <w:r>
              <w:rPr>
                <w:sz w:val="17"/>
              </w:rPr>
              <w:t xml:space="preserve">Bloquant</w:t>
            </w:r>
          </w:p>
        </w:tc>
      </w:tr>
      <w:tr>
        <w:tc>
          <w:tcPr/>
          <w:p>
            <w:pPr>
              <w:pStyle w:val="Compact"/>
            </w:pPr>
            <w:r>
              <w:rPr>
                <w:sz w:val="17"/>
              </w:rPr>
              <w:t xml:space="preserve">7</w:t>
            </w:r>
          </w:p>
        </w:tc>
        <w:tc>
          <w:tcPr/>
          <w:p>
            <w:pPr>
              <w:pStyle w:val="Compact"/>
            </w:pPr>
            <w:r>
              <w:rPr>
                <w:sz w:val="17"/>
              </w:rPr>
              <w:t xml:space="preserve">Formule officielle</w:t>
            </w:r>
          </w:p>
        </w:tc>
        <w:tc>
          <w:tcPr/>
          <w:p>
            <w:pPr>
              <w:pStyle w:val="Compact"/>
            </w:pPr>
            <w:r>
              <w:rPr>
                <w:rStyle w:val="VerbatimChar"/>
                <w:sz w:val="17"/>
              </w:rPr>
              <w:t xml:space="preserve">formula</w:t>
            </w:r>
            <w:r>
              <w:rPr>
                <w:sz w:val="17"/>
              </w:rPr>
              <w:t xml:space="preserve"> </w:t>
            </w:r>
            <w:r>
              <w:rPr>
                <w:sz w:val="17"/>
              </w:rPr>
              <w:t xml:space="preserve">(expression dans le langage de règles, testée)</w:t>
            </w:r>
          </w:p>
        </w:tc>
        <w:tc>
          <w:tcPr/>
          <w:p>
            <w:pPr>
              <w:pStyle w:val="Compact"/>
            </w:pPr>
            <w:r>
              <w:rPr>
                <w:sz w:val="17"/>
              </w:rPr>
              <w:t xml:space="preserve">Bloquant</w:t>
            </w:r>
          </w:p>
        </w:tc>
      </w:tr>
      <w:tr>
        <w:tc>
          <w:tcPr>
            <w:shd w:val="clear" w:color="auto" w:fill="F5F7FB"/>
          </w:tcPr>
          <w:p>
            <w:pPr>
              <w:pStyle w:val="Compact"/>
            </w:pPr>
            <w:r>
              <w:rPr>
                <w:sz w:val="17"/>
              </w:rPr>
              <w:t xml:space="preserve">8</w:t>
            </w:r>
          </w:p>
        </w:tc>
        <w:tc>
          <w:tcPr>
            <w:shd w:val="clear" w:color="auto" w:fill="F5F7FB"/>
          </w:tcPr>
          <w:p>
            <w:pPr>
              <w:pStyle w:val="Compact"/>
            </w:pPr>
            <w:r>
              <w:rPr>
                <w:sz w:val="17"/>
              </w:rPr>
              <w:t xml:space="preserve">Taux ou tarif</w:t>
            </w:r>
          </w:p>
        </w:tc>
        <w:tc>
          <w:tcPr>
            <w:shd w:val="clear" w:color="auto" w:fill="F5F7FB"/>
          </w:tcPr>
          <w:p>
            <w:pPr>
              <w:pStyle w:val="Compact"/>
            </w:pPr>
            <w:r>
              <w:rPr>
                <w:rStyle w:val="VerbatimChar"/>
                <w:sz w:val="17"/>
              </w:rPr>
              <w:t xml:space="preserve">rate_table</w:t>
            </w:r>
            <w:r>
              <w:rPr>
                <w:sz w:val="17"/>
              </w:rPr>
              <w:t xml:space="preserve"> </w:t>
            </w:r>
            <w:r>
              <w:rPr>
                <w:sz w:val="17"/>
              </w:rPr>
              <w:t xml:space="preserve">(par rang, catégorie, tranche)</w:t>
            </w:r>
          </w:p>
        </w:tc>
        <w:tc>
          <w:tcPr>
            <w:shd w:val="clear" w:color="auto" w:fill="F5F7FB"/>
          </w:tcPr>
          <w:p>
            <w:pPr>
              <w:pStyle w:val="Compact"/>
            </w:pPr>
            <w:r>
              <w:rPr>
                <w:sz w:val="17"/>
              </w:rPr>
              <w:t xml:space="preserve">Bloquant</w:t>
            </w:r>
          </w:p>
        </w:tc>
      </w:tr>
      <w:tr>
        <w:tc>
          <w:tcPr/>
          <w:p>
            <w:pPr>
              <w:pStyle w:val="Compact"/>
            </w:pPr>
            <w:r>
              <w:rPr>
                <w:sz w:val="17"/>
              </w:rPr>
              <w:t xml:space="preserve">9</w:t>
            </w:r>
          </w:p>
        </w:tc>
        <w:tc>
          <w:tcPr/>
          <w:p>
            <w:pPr>
              <w:pStyle w:val="Compact"/>
            </w:pPr>
            <w:r>
              <w:rPr>
                <w:sz w:val="17"/>
              </w:rPr>
              <w:t xml:space="preserve">Devise et arrondi</w:t>
            </w:r>
          </w:p>
        </w:tc>
        <w:tc>
          <w:tcPr/>
          <w:p>
            <w:pPr>
              <w:pStyle w:val="Compact"/>
            </w:pPr>
            <w:r>
              <w:rPr>
                <w:rStyle w:val="VerbatimChar"/>
                <w:sz w:val="17"/>
              </w:rPr>
              <w:t xml:space="preserve">currency</w:t>
            </w:r>
            <w:r>
              <w:rPr>
                <w:sz w:val="17"/>
              </w:rPr>
              <w:t xml:space="preserve">,</w:t>
            </w:r>
            <w:r>
              <w:rPr>
                <w:sz w:val="17"/>
              </w:rPr>
              <w:t xml:space="preserve"> </w:t>
            </w:r>
            <w:r>
              <w:rPr>
                <w:rStyle w:val="VerbatimChar"/>
                <w:sz w:val="17"/>
              </w:rPr>
              <w:t xml:space="preserve">fx_rule_id</w:t>
            </w:r>
            <w:r>
              <w:rPr>
                <w:sz w:val="17"/>
              </w:rPr>
              <w:t xml:space="preserve">,</w:t>
            </w:r>
            <w:r>
              <w:rPr>
                <w:sz w:val="17"/>
              </w:rPr>
              <w:t xml:space="preserve"> </w:t>
            </w:r>
            <w:r>
              <w:rPr>
                <w:rStyle w:val="VerbatimChar"/>
                <w:sz w:val="17"/>
              </w:rPr>
              <w:t xml:space="preserve">rounding</w:t>
            </w:r>
          </w:p>
        </w:tc>
        <w:tc>
          <w:tcPr/>
          <w:p>
            <w:pPr>
              <w:pStyle w:val="Compact"/>
            </w:pPr>
            <w:r>
              <w:rPr>
                <w:sz w:val="17"/>
              </w:rPr>
              <w:t xml:space="preserve">Bloquant</w:t>
            </w:r>
          </w:p>
        </w:tc>
      </w:tr>
      <w:tr>
        <w:tc>
          <w:tcPr>
            <w:shd w:val="clear" w:color="auto" w:fill="F5F7FB"/>
          </w:tcPr>
          <w:p>
            <w:pPr>
              <w:pStyle w:val="Compact"/>
            </w:pPr>
            <w:r>
              <w:rPr>
                <w:sz w:val="17"/>
              </w:rPr>
              <w:t xml:space="preserve">10</w:t>
            </w:r>
          </w:p>
        </w:tc>
        <w:tc>
          <w:tcPr>
            <w:shd w:val="clear" w:color="auto" w:fill="F5F7FB"/>
          </w:tcPr>
          <w:p>
            <w:pPr>
              <w:pStyle w:val="Compact"/>
            </w:pPr>
            <w:r>
              <w:rPr>
                <w:sz w:val="17"/>
              </w:rPr>
              <w:t xml:space="preserve">Exonérations</w:t>
            </w:r>
          </w:p>
        </w:tc>
        <w:tc>
          <w:tcPr>
            <w:shd w:val="clear" w:color="auto" w:fill="F5F7FB"/>
          </w:tcPr>
          <w:p>
            <w:pPr>
              <w:pStyle w:val="Compact"/>
            </w:pPr>
            <w:r>
              <w:rPr>
                <w:rStyle w:val="VerbatimChar"/>
                <w:sz w:val="17"/>
              </w:rPr>
              <w:t xml:space="preserve">exemption_rules[]</w:t>
            </w:r>
            <w:r>
              <w:rPr>
                <w:sz w:val="17"/>
              </w:rPr>
              <w:t xml:space="preserve"> </w:t>
            </w:r>
            <w:r>
              <w:rPr>
                <w:sz w:val="17"/>
              </w:rPr>
              <w:t xml:space="preserve">(fondement, preuve exigée, durée)</w:t>
            </w:r>
          </w:p>
        </w:tc>
        <w:tc>
          <w:tcPr>
            <w:shd w:val="clear" w:color="auto" w:fill="F5F7FB"/>
          </w:tcPr>
          <w:p>
            <w:pPr>
              <w:pStyle w:val="Compact"/>
            </w:pPr>
            <w:r>
              <w:rPr>
                <w:sz w:val="17"/>
              </w:rPr>
              <w:t xml:space="preserve">Obligatoire si applicable</w:t>
            </w:r>
          </w:p>
        </w:tc>
      </w:tr>
      <w:tr>
        <w:tc>
          <w:tcPr/>
          <w:p>
            <w:pPr>
              <w:pStyle w:val="Compact"/>
            </w:pPr>
            <w:r>
              <w:rPr>
                <w:sz w:val="17"/>
              </w:rPr>
              <w:t xml:space="preserve">11</w:t>
            </w:r>
          </w:p>
        </w:tc>
        <w:tc>
          <w:tcPr/>
          <w:p>
            <w:pPr>
              <w:pStyle w:val="Compact"/>
            </w:pPr>
            <w:r>
              <w:rPr>
                <w:sz w:val="17"/>
              </w:rPr>
              <w:t xml:space="preserve">Pénalités</w:t>
            </w:r>
          </w:p>
        </w:tc>
        <w:tc>
          <w:tcPr/>
          <w:p>
            <w:pPr>
              <w:pStyle w:val="Compact"/>
            </w:pPr>
            <w:r>
              <w:rPr>
                <w:rStyle w:val="VerbatimChar"/>
                <w:sz w:val="17"/>
              </w:rPr>
              <w:t xml:space="preserve">penalty_rules[]</w:t>
            </w:r>
            <w:r>
              <w:rPr>
                <w:sz w:val="17"/>
              </w:rPr>
              <w:t xml:space="preserve"> </w:t>
            </w:r>
            <w:r>
              <w:rPr>
                <w:sz w:val="17"/>
              </w:rPr>
              <w:t xml:space="preserve">(base légale, taux, plafond)</w:t>
            </w:r>
          </w:p>
        </w:tc>
        <w:tc>
          <w:tcPr/>
          <w:p>
            <w:pPr>
              <w:pStyle w:val="Compact"/>
            </w:pPr>
            <w:r>
              <w:rPr>
                <w:sz w:val="17"/>
              </w:rPr>
              <w:t xml:space="preserve">Obligatoire si applicable</w:t>
            </w:r>
          </w:p>
        </w:tc>
      </w:tr>
      <w:tr>
        <w:tc>
          <w:tcPr>
            <w:shd w:val="clear" w:color="auto" w:fill="F5F7FB"/>
          </w:tcPr>
          <w:p>
            <w:pPr>
              <w:pStyle w:val="Compact"/>
            </w:pPr>
            <w:r>
              <w:rPr>
                <w:sz w:val="17"/>
              </w:rPr>
              <w:t xml:space="preserve">12</w:t>
            </w:r>
          </w:p>
        </w:tc>
        <w:tc>
          <w:tcPr>
            <w:shd w:val="clear" w:color="auto" w:fill="F5F7FB"/>
          </w:tcPr>
          <w:p>
            <w:pPr>
              <w:pStyle w:val="Compact"/>
            </w:pPr>
            <w:r>
              <w:rPr>
                <w:sz w:val="17"/>
              </w:rPr>
              <w:t xml:space="preserve">Date d’effet</w:t>
            </w:r>
          </w:p>
        </w:tc>
        <w:tc>
          <w:tcPr>
            <w:shd w:val="clear" w:color="auto" w:fill="F5F7FB"/>
          </w:tcPr>
          <w:p>
            <w:pPr>
              <w:pStyle w:val="Compact"/>
            </w:pPr>
            <w:r>
              <w:rPr>
                <w:rStyle w:val="VerbatimChar"/>
                <w:sz w:val="17"/>
              </w:rPr>
              <w:t xml:space="preserve">effective_from</w:t>
            </w:r>
          </w:p>
        </w:tc>
        <w:tc>
          <w:tcPr>
            <w:shd w:val="clear" w:color="auto" w:fill="F5F7FB"/>
          </w:tcPr>
          <w:p>
            <w:pPr>
              <w:pStyle w:val="Compact"/>
            </w:pPr>
            <w:r>
              <w:rPr>
                <w:sz w:val="17"/>
              </w:rPr>
              <w:t xml:space="preserve">Bloquant</w:t>
            </w:r>
          </w:p>
        </w:tc>
      </w:tr>
      <w:tr>
        <w:tc>
          <w:tcPr/>
          <w:p>
            <w:pPr>
              <w:pStyle w:val="Compact"/>
            </w:pPr>
            <w:r>
              <w:rPr>
                <w:sz w:val="17"/>
              </w:rPr>
              <w:t xml:space="preserve">13</w:t>
            </w:r>
          </w:p>
        </w:tc>
        <w:tc>
          <w:tcPr/>
          <w:p>
            <w:pPr>
              <w:pStyle w:val="Compact"/>
            </w:pPr>
            <w:r>
              <w:rPr>
                <w:sz w:val="17"/>
              </w:rPr>
              <w:t xml:space="preserve">Date de fin</w:t>
            </w:r>
          </w:p>
        </w:tc>
        <w:tc>
          <w:tcPr/>
          <w:p>
            <w:pPr>
              <w:pStyle w:val="Compact"/>
            </w:pPr>
            <w:r>
              <w:rPr>
                <w:rStyle w:val="VerbatimChar"/>
                <w:sz w:val="17"/>
              </w:rPr>
              <w:t xml:space="preserve">effective_to</w:t>
            </w:r>
            <w:r>
              <w:rPr>
                <w:sz w:val="17"/>
              </w:rPr>
              <w:t xml:space="preserve"> </w:t>
            </w:r>
            <w:r>
              <w:rPr>
                <w:sz w:val="17"/>
              </w:rPr>
              <w:t xml:space="preserve">(ou instrument d’abrogation)</w:t>
            </w:r>
          </w:p>
        </w:tc>
        <w:tc>
          <w:tcPr/>
          <w:p>
            <w:pPr>
              <w:pStyle w:val="Compact"/>
            </w:pPr>
            <w:r>
              <w:rPr>
                <w:sz w:val="17"/>
              </w:rPr>
              <w:t xml:space="preserve">Bloquant si connue</w:t>
            </w:r>
          </w:p>
        </w:tc>
      </w:tr>
      <w:tr>
        <w:tc>
          <w:tcPr>
            <w:shd w:val="clear" w:color="auto" w:fill="F5F7FB"/>
          </w:tcPr>
          <w:p>
            <w:pPr>
              <w:pStyle w:val="Compact"/>
            </w:pPr>
            <w:r>
              <w:rPr>
                <w:sz w:val="17"/>
              </w:rPr>
              <w:t xml:space="preserve">14</w:t>
            </w:r>
          </w:p>
        </w:tc>
        <w:tc>
          <w:tcPr>
            <w:shd w:val="clear" w:color="auto" w:fill="F5F7FB"/>
          </w:tcPr>
          <w:p>
            <w:pPr>
              <w:pStyle w:val="Compact"/>
            </w:pPr>
            <w:r>
              <w:rPr>
                <w:sz w:val="17"/>
              </w:rPr>
              <w:t xml:space="preserve">Administration responsable</w:t>
            </w:r>
          </w:p>
        </w:tc>
        <w:tc>
          <w:tcPr>
            <w:shd w:val="clear" w:color="auto" w:fill="F5F7FB"/>
          </w:tcPr>
          <w:p>
            <w:pPr>
              <w:pStyle w:val="Compact"/>
            </w:pPr>
            <w:r>
              <w:rPr>
                <w:rStyle w:val="VerbatimChar"/>
                <w:sz w:val="17"/>
              </w:rPr>
              <w:t xml:space="preserve">administering_entity_id</w:t>
            </w:r>
          </w:p>
        </w:tc>
        <w:tc>
          <w:tcPr>
            <w:shd w:val="clear" w:color="auto" w:fill="F5F7FB"/>
          </w:tcPr>
          <w:p>
            <w:pPr>
              <w:pStyle w:val="Compact"/>
            </w:pPr>
            <w:r>
              <w:rPr>
                <w:sz w:val="17"/>
              </w:rPr>
              <w:t xml:space="preserve">Bloquant</w:t>
            </w:r>
          </w:p>
        </w:tc>
      </w:tr>
      <w:tr>
        <w:tc>
          <w:tcPr/>
          <w:p>
            <w:pPr>
              <w:pStyle w:val="Compact"/>
            </w:pPr>
            <w:r>
              <w:rPr>
                <w:sz w:val="17"/>
              </w:rPr>
              <w:t xml:space="preserve">15</w:t>
            </w:r>
          </w:p>
        </w:tc>
        <w:tc>
          <w:tcPr/>
          <w:p>
            <w:pPr>
              <w:pStyle w:val="Compact"/>
            </w:pPr>
            <w:r>
              <w:rPr>
                <w:sz w:val="17"/>
              </w:rPr>
              <w:t xml:space="preserve">Compte public bénéficiaire</w:t>
            </w:r>
          </w:p>
        </w:tc>
        <w:tc>
          <w:tcPr/>
          <w:p>
            <w:pPr>
              <w:pStyle w:val="Compact"/>
            </w:pPr>
            <w:r>
              <w:rPr>
                <w:rStyle w:val="VerbatimChar"/>
                <w:sz w:val="17"/>
              </w:rPr>
              <w:t xml:space="preserve">beneficiary_account_ref</w:t>
            </w:r>
            <w:r>
              <w:rPr>
                <w:sz w:val="17"/>
              </w:rPr>
              <w:t xml:space="preserve"> </w:t>
            </w:r>
            <w:r>
              <w:rPr>
                <w:sz w:val="17"/>
              </w:rPr>
              <w:t xml:space="preserve">(référence au coffre, jamais saisie libre)</w:t>
            </w:r>
          </w:p>
        </w:tc>
        <w:tc>
          <w:tcPr/>
          <w:p>
            <w:pPr>
              <w:pStyle w:val="Compact"/>
            </w:pPr>
            <w:r>
              <w:rPr>
                <w:sz w:val="17"/>
              </w:rPr>
              <w:t xml:space="preserve">Bloquant</w:t>
            </w:r>
          </w:p>
        </w:tc>
      </w:tr>
      <w:tr>
        <w:tc>
          <w:tcPr>
            <w:shd w:val="clear" w:color="auto" w:fill="F5F7FB"/>
          </w:tcPr>
          <w:p>
            <w:pPr>
              <w:pStyle w:val="Compact"/>
            </w:pPr>
            <w:r>
              <w:rPr>
                <w:sz w:val="17"/>
              </w:rPr>
              <w:t xml:space="preserve">16</w:t>
            </w:r>
          </w:p>
        </w:tc>
        <w:tc>
          <w:tcPr>
            <w:shd w:val="clear" w:color="auto" w:fill="F5F7FB"/>
          </w:tcPr>
          <w:p>
            <w:pPr>
              <w:pStyle w:val="Compact"/>
            </w:pPr>
            <w:r>
              <w:rPr>
                <w:sz w:val="17"/>
              </w:rPr>
              <w:t xml:space="preserve">Voie de recours</w:t>
            </w:r>
          </w:p>
        </w:tc>
        <w:tc>
          <w:tcPr>
            <w:shd w:val="clear" w:color="auto" w:fill="F5F7FB"/>
          </w:tcPr>
          <w:p>
            <w:pPr>
              <w:pStyle w:val="Compact"/>
            </w:pPr>
            <w:r>
              <w:rPr>
                <w:rStyle w:val="VerbatimChar"/>
                <w:sz w:val="17"/>
              </w:rPr>
              <w:t xml:space="preserve">appeal_path</w:t>
            </w:r>
            <w:r>
              <w:rPr>
                <w:sz w:val="17"/>
              </w:rPr>
              <w:t xml:space="preserve"> </w:t>
            </w:r>
            <w:r>
              <w:rPr>
                <w:sz w:val="17"/>
              </w:rPr>
              <w:t xml:space="preserve">(délai, service, effet suspensif)</w:t>
            </w:r>
          </w:p>
        </w:tc>
        <w:tc>
          <w:tcPr>
            <w:shd w:val="clear" w:color="auto" w:fill="F5F7FB"/>
          </w:tcPr>
          <w:p>
            <w:pPr>
              <w:pStyle w:val="Compact"/>
            </w:pPr>
            <w:r>
              <w:rPr>
                <w:sz w:val="17"/>
              </w:rPr>
              <w:t xml:space="preserve">Bloquant</w:t>
            </w:r>
          </w:p>
        </w:tc>
      </w:tr>
      <w:tr>
        <w:tc>
          <w:tcPr/>
          <w:p>
            <w:pPr>
              <w:pStyle w:val="Compact"/>
            </w:pPr>
            <w:r>
              <w:rPr>
                <w:sz w:val="17"/>
              </w:rPr>
              <w:t xml:space="preserve">17</w:t>
            </w:r>
          </w:p>
        </w:tc>
        <w:tc>
          <w:tcPr/>
          <w:p>
            <w:pPr>
              <w:pStyle w:val="Compact"/>
            </w:pPr>
            <w:r>
              <w:rPr>
                <w:sz w:val="17"/>
              </w:rPr>
              <w:t xml:space="preserve">Approbations</w:t>
            </w:r>
          </w:p>
        </w:tc>
        <w:tc>
          <w:tcPr/>
          <w:p>
            <w:pPr>
              <w:pStyle w:val="Compact"/>
            </w:pPr>
            <w:r>
              <w:rPr>
                <w:rStyle w:val="VerbatimChar"/>
                <w:sz w:val="17"/>
              </w:rPr>
              <w:t xml:space="preserve">approvals[]</w:t>
            </w:r>
            <w:r>
              <w:rPr>
                <w:sz w:val="17"/>
              </w:rPr>
              <w:t xml:space="preserve"> </w:t>
            </w:r>
            <w:r>
              <w:rPr>
                <w:sz w:val="17"/>
              </w:rPr>
              <w:t xml:space="preserve">: rédacteur juridique ≠ vérificateur juridique ≠ validateur financier ≠ autorité de publication</w:t>
            </w:r>
          </w:p>
        </w:tc>
        <w:tc>
          <w:tcPr/>
          <w:p>
            <w:pPr>
              <w:pStyle w:val="Compact"/>
            </w:pPr>
            <w:r>
              <w:rPr>
                <w:sz w:val="17"/>
              </w:rPr>
              <w:t xml:space="preserve">Quatre personnes distinctes</w:t>
            </w:r>
          </w:p>
        </w:tc>
      </w:tr>
      <w:tr>
        <w:tc>
          <w:tcPr>
            <w:shd w:val="clear" w:color="auto" w:fill="F5F7FB"/>
          </w:tcPr>
          <w:p>
            <w:pPr>
              <w:pStyle w:val="Compact"/>
            </w:pPr>
            <w:r>
              <w:rPr>
                <w:sz w:val="17"/>
              </w:rPr>
              <w:t xml:space="preserve">18</w:t>
            </w:r>
          </w:p>
        </w:tc>
        <w:tc>
          <w:tcPr>
            <w:shd w:val="clear" w:color="auto" w:fill="F5F7FB"/>
          </w:tcPr>
          <w:p>
            <w:pPr>
              <w:pStyle w:val="Compact"/>
            </w:pPr>
            <w:r>
              <w:rPr>
                <w:sz w:val="17"/>
              </w:rPr>
              <w:t xml:space="preserve">Historique des versions</w:t>
            </w:r>
          </w:p>
        </w:tc>
        <w:tc>
          <w:tcPr>
            <w:shd w:val="clear" w:color="auto" w:fill="F5F7FB"/>
          </w:tcPr>
          <w:p>
            <w:pPr>
              <w:pStyle w:val="Compact"/>
            </w:pPr>
            <w:r>
              <w:rPr>
                <w:rStyle w:val="VerbatimChar"/>
                <w:sz w:val="17"/>
              </w:rPr>
              <w:t xml:space="preserve">version</w:t>
            </w:r>
            <w:r>
              <w:rPr>
                <w:sz w:val="17"/>
              </w:rPr>
              <w:t xml:space="preserve">,</w:t>
            </w:r>
            <w:r>
              <w:rPr>
                <w:sz w:val="17"/>
              </w:rPr>
              <w:t xml:space="preserve"> </w:t>
            </w:r>
            <w:r>
              <w:rPr>
                <w:rStyle w:val="VerbatimChar"/>
                <w:sz w:val="17"/>
              </w:rPr>
              <w:t xml:space="preserve">supersedes_rule_version_id</w:t>
            </w:r>
            <w:r>
              <w:rPr>
                <w:sz w:val="17"/>
              </w:rPr>
              <w:t xml:space="preserve">,</w:t>
            </w:r>
            <w:r>
              <w:rPr>
                <w:sz w:val="17"/>
              </w:rPr>
              <w:t xml:space="preserve"> </w:t>
            </w:r>
            <w:r>
              <w:rPr>
                <w:rStyle w:val="VerbatimChar"/>
                <w:sz w:val="17"/>
              </w:rPr>
              <w:t xml:space="preserve">change_reason</w:t>
            </w:r>
          </w:p>
        </w:tc>
        <w:tc>
          <w:tcPr>
            <w:shd w:val="clear" w:color="auto" w:fill="F5F7FB"/>
          </w:tcPr>
          <w:p>
            <w:pPr>
              <w:pStyle w:val="Compact"/>
            </w:pPr>
            <w:r>
              <w:rPr>
                <w:sz w:val="17"/>
              </w:rPr>
              <w:t xml:space="preserve">Automatique, immuable</w:t>
            </w:r>
          </w:p>
        </w:tc>
      </w:tr>
      <w:tr>
        <w:tc>
          <w:tcPr/>
          <w:p>
            <w:pPr>
              <w:pStyle w:val="Compact"/>
            </w:pPr>
            <w:r>
              <w:rPr>
                <w:sz w:val="17"/>
              </w:rPr>
              <w:t xml:space="preserve">19</w:t>
            </w:r>
          </w:p>
        </w:tc>
        <w:tc>
          <w:tcPr/>
          <w:p>
            <w:pPr>
              <w:pStyle w:val="Compact"/>
            </w:pPr>
            <w:r>
              <w:rPr>
                <w:sz w:val="17"/>
              </w:rPr>
              <w:t xml:space="preserve">Catégorie de recette</w:t>
            </w:r>
          </w:p>
        </w:tc>
        <w:tc>
          <w:tcPr/>
          <w:p>
            <w:pPr>
              <w:pStyle w:val="Compact"/>
            </w:pPr>
            <w:r>
              <w:rPr>
                <w:rStyle w:val="VerbatimChar"/>
                <w:sz w:val="17"/>
              </w:rPr>
              <w:t xml:space="preserve">revenue_category</w:t>
            </w:r>
            <w:r>
              <w:rPr>
                <w:sz w:val="17"/>
              </w:rPr>
              <w:t xml:space="preserve"> </w:t>
            </w:r>
            <w:r>
              <w:rPr>
                <w:sz w:val="17"/>
              </w:rPr>
              <w:t xml:space="preserve">(§ 6.11)</w:t>
            </w:r>
          </w:p>
        </w:tc>
        <w:tc>
          <w:tcPr/>
          <w:p>
            <w:pPr>
              <w:pStyle w:val="Compact"/>
            </w:pPr>
            <w:r>
              <w:rPr>
                <w:sz w:val="17"/>
              </w:rPr>
              <w:t xml:space="preserve">Bloquant</w:t>
            </w:r>
          </w:p>
        </w:tc>
      </w:tr>
      <w:tr>
        <w:tc>
          <w:tcPr>
            <w:shd w:val="clear" w:color="auto" w:fill="F5F7FB"/>
          </w:tcPr>
          <w:p>
            <w:pPr>
              <w:pStyle w:val="Compact"/>
            </w:pPr>
            <w:r>
              <w:rPr>
                <w:sz w:val="17"/>
              </w:rPr>
              <w:t xml:space="preserve">20</w:t>
            </w:r>
          </w:p>
        </w:tc>
        <w:tc>
          <w:tcPr>
            <w:shd w:val="clear" w:color="auto" w:fill="F5F7FB"/>
          </w:tcPr>
          <w:p>
            <w:pPr>
              <w:pStyle w:val="Compact"/>
            </w:pPr>
            <w:r>
              <w:rPr>
                <w:sz w:val="17"/>
              </w:rPr>
              <w:t xml:space="preserve">Statut de vérification des sources</w:t>
            </w:r>
          </w:p>
        </w:tc>
        <w:tc>
          <w:tcPr>
            <w:shd w:val="clear" w:color="auto" w:fill="F5F7FB"/>
          </w:tcPr>
          <w:p>
            <w:pPr>
              <w:pStyle w:val="Compact"/>
            </w:pPr>
            <w:r>
              <w:rPr>
                <w:rStyle w:val="VerbatimChar"/>
                <w:sz w:val="17"/>
              </w:rPr>
              <w:t xml:space="preserve">source_verification</w:t>
            </w:r>
            <w:r>
              <w:rPr>
                <w:sz w:val="17"/>
              </w:rPr>
              <w:t xml:space="preserve"> </w:t>
            </w:r>
            <w:r>
              <w:rPr>
                <w:sz w:val="17"/>
              </w:rPr>
              <w:t xml:space="preserve">:</w:t>
            </w:r>
            <w:r>
              <w:rPr>
                <w:sz w:val="17"/>
              </w:rPr>
              <w:t xml:space="preserve"> </w:t>
            </w:r>
            <w:r>
              <w:rPr>
                <w:rStyle w:val="VerbatimChar"/>
                <w:sz w:val="17"/>
              </w:rPr>
              <w:t xml:space="preserve">OFFICIEL_CERTIFIE</w:t>
            </w:r>
            <w:r>
              <w:rPr>
                <w:sz w:val="17"/>
              </w:rPr>
              <w:t xml:space="preserve"> </w:t>
            </w:r>
            <w:r>
              <w:rPr>
                <w:sz w:val="17"/>
              </w:rPr>
              <w:t xml:space="preserve">requis pour l’activation</w:t>
            </w:r>
          </w:p>
        </w:tc>
        <w:tc>
          <w:tcPr>
            <w:shd w:val="clear" w:color="auto" w:fill="F5F7FB"/>
          </w:tcPr>
          <w:p>
            <w:pPr>
              <w:pStyle w:val="Compact"/>
            </w:pPr>
            <w:r>
              <w:rPr>
                <w:sz w:val="17"/>
              </w:rPr>
              <w:t xml:space="preserve">Bloquant</w:t>
            </w:r>
          </w:p>
        </w:tc>
      </w:tr>
    </w:tbl>
    <w:p>
      <w:pPr>
        <w:pStyle w:val="BodyText"/>
      </w:pPr>
      <w:r>
        <w:rPr>
          <w:b/>
          <w:bCs/>
        </w:rPr>
        <w:t xml:space="preserve">Cycle de vie d’une règle.</w:t>
      </w:r>
    </w:p>
    <w:p>
      <w:pPr>
        <w:pStyle w:val="BodyText"/>
      </w:pPr>
      <w:r>
        <w:drawing>
          <wp:inline>
            <wp:extent cx="6108700" cy="9504723"/>
            <wp:effectExtent b="0" l="0" r="0" t="0"/>
            <wp:docPr descr="" title="" id="56" name="Picture"/>
            <a:graphic>
              <a:graphicData uri="http://schemas.openxmlformats.org/drawingml/2006/picture">
                <pic:pic>
                  <pic:nvPicPr>
                    <pic:cNvPr descr="figures/mermaid/mmd-5c869103eb6a.png" id="57" name="Picture"/>
                    <pic:cNvPicPr>
                      <a:picLocks noChangeArrowheads="1" noChangeAspect="1"/>
                    </pic:cNvPicPr>
                  </pic:nvPicPr>
                  <pic:blipFill>
                    <a:blip r:embed="rId55"/>
                    <a:stretch>
                      <a:fillRect/>
                    </a:stretch>
                  </pic:blipFill>
                  <pic:spPr bwMode="auto">
                    <a:xfrm>
                      <a:off x="0" y="0"/>
                      <a:ext cx="6108700" cy="9504723"/>
                    </a:xfrm>
                    <a:prstGeom prst="rect">
                      <a:avLst/>
                    </a:prstGeom>
                    <a:noFill/>
                    <a:ln w="9525">
                      <a:noFill/>
                      <a:headEnd/>
                      <a:tailEnd/>
                    </a:ln>
                  </pic:spPr>
                </pic:pic>
              </a:graphicData>
            </a:graphic>
          </wp:inline>
        </w:drawing>
      </w:r>
    </w:p>
    <w:p>
      <w:pPr>
        <w:pStyle w:val="BodyText"/>
      </w:pPr>
      <w:r>
        <w:t xml:space="preserve">Règles complémentaires : une règle en brouillon ou approuvée mais non encore active n’affecte aucune obligation ; toute rétroactivité exige une référence légale expresse et une approbation renforcée ; la version appliquée est figée dans chaque obligation ; un changement de texte produit une nouvelle version et, si le texte l’exige, un recalcul contrôlé qui crée des obligations rectificatives sans écraser les anciennes.</w:t>
      </w:r>
    </w:p>
    <w:bookmarkEnd w:id="58"/>
    <w:bookmarkStart w:id="59" w:name="X772323bfd792dd53bf107f1f1834f272f0bd60a"/>
    <w:p>
      <w:pPr>
        <w:pStyle w:val="Heading2"/>
      </w:pPr>
      <w:r>
        <w:t xml:space="preserve">6.13 Points juridiques à trancher avant la production</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320"/>
        <w:gridCol w:w="1320"/>
        <w:gridCol w:w="1320"/>
        <w:gridCol w:w="1320"/>
        <w:gridCol w:w="1320"/>
        <w:gridCol w:w="1320"/>
      </w:tblGrid>
      <w:tr>
        <w:trPr>
          <w:tblHeader w:val="on"/>
        </w:trPr>
        <w:tc>
          <w:tcPr>
            <w:shd w:val="clear" w:color="auto" w:fill="232C6B"/>
          </w:tcPr>
          <w:p>
            <w:pPr>
              <w:pStyle w:val="Compact"/>
            </w:pPr>
            <w:r>
              <w:rPr>
                <w:b/>
                <w:color w:val="FFFFFF"/>
                <w:sz w:val="17"/>
              </w:rPr>
              <w:t xml:space="preserve">#</w:t>
            </w:r>
          </w:p>
        </w:tc>
        <w:tc>
          <w:tcPr>
            <w:shd w:val="clear" w:color="auto" w:fill="232C6B"/>
          </w:tcPr>
          <w:p>
            <w:pPr>
              <w:pStyle w:val="Compact"/>
            </w:pPr>
            <w:r>
              <w:rPr>
                <w:b/>
                <w:color w:val="FFFFFF"/>
                <w:sz w:val="17"/>
              </w:rPr>
              <w:t xml:space="preserve">Question</w:t>
            </w:r>
          </w:p>
        </w:tc>
        <w:tc>
          <w:tcPr>
            <w:shd w:val="clear" w:color="auto" w:fill="232C6B"/>
          </w:tcPr>
          <w:p>
            <w:pPr>
              <w:pStyle w:val="Compact"/>
            </w:pPr>
            <w:r>
              <w:rPr>
                <w:b/>
                <w:color w:val="FFFFFF"/>
                <w:sz w:val="17"/>
              </w:rPr>
              <w:t xml:space="preserve">Autorité responsable</w:t>
            </w:r>
          </w:p>
        </w:tc>
        <w:tc>
          <w:tcPr>
            <w:shd w:val="clear" w:color="auto" w:fill="232C6B"/>
          </w:tcPr>
          <w:p>
            <w:pPr>
              <w:pStyle w:val="Compact"/>
            </w:pPr>
            <w:r>
              <w:rPr>
                <w:b/>
                <w:color w:val="FFFFFF"/>
                <w:sz w:val="17"/>
              </w:rPr>
              <w:t xml:space="preserve">Données requises</w:t>
            </w:r>
          </w:p>
        </w:tc>
        <w:tc>
          <w:tcPr>
            <w:shd w:val="clear" w:color="auto" w:fill="232C6B"/>
          </w:tcPr>
          <w:p>
            <w:pPr>
              <w:pStyle w:val="Compact"/>
            </w:pPr>
            <w:r>
              <w:rPr>
                <w:b/>
                <w:color w:val="FFFFFF"/>
                <w:sz w:val="17"/>
              </w:rPr>
              <w:t xml:space="preserve">Hypothèse intérimaire sûre</w:t>
            </w:r>
          </w:p>
        </w:tc>
        <w:tc>
          <w:tcPr>
            <w:shd w:val="clear" w:color="auto" w:fill="232C6B"/>
          </w:tcPr>
          <w:p>
            <w:pPr>
              <w:pStyle w:val="Compact"/>
            </w:pPr>
            <w:r>
              <w:rPr>
                <w:b/>
                <w:color w:val="FFFFFF"/>
                <w:sz w:val="17"/>
              </w:rPr>
              <w:t xml:space="preserve">Verrou technique</w:t>
            </w:r>
          </w:p>
        </w:tc>
      </w:tr>
      <w:tr>
        <w:tc>
          <w:tcPr/>
          <w:p>
            <w:pPr>
              <w:pStyle w:val="Compact"/>
            </w:pPr>
            <w:r>
              <w:rPr>
                <w:sz w:val="17"/>
              </w:rPr>
              <w:t xml:space="preserve">J1</w:t>
            </w:r>
          </w:p>
        </w:tc>
        <w:tc>
          <w:tcPr/>
          <w:p>
            <w:pPr>
              <w:pStyle w:val="Compact"/>
            </w:pPr>
            <w:r>
              <w:rPr>
                <w:sz w:val="17"/>
              </w:rPr>
              <w:t xml:space="preserve">Texte intégral et consolidé de l’OL 18/004 ; liste et clés de répartition ; ratification</w:t>
            </w:r>
          </w:p>
        </w:tc>
        <w:tc>
          <w:tcPr/>
          <w:p>
            <w:pPr>
              <w:pStyle w:val="Compact"/>
            </w:pPr>
            <w:r>
              <w:rPr>
                <w:sz w:val="17"/>
              </w:rPr>
              <w:t xml:space="preserve">Service juridique provincial + ministère provincial des Finances</w:t>
            </w:r>
          </w:p>
        </w:tc>
        <w:tc>
          <w:tcPr/>
          <w:p>
            <w:pPr>
              <w:pStyle w:val="Compact"/>
            </w:pPr>
            <w:r>
              <w:rPr>
                <w:sz w:val="17"/>
              </w:rPr>
              <w:t xml:space="preserve">JO du 23 avril 2018, lois de ratification, modifications</w:t>
            </w:r>
          </w:p>
        </w:tc>
        <w:tc>
          <w:tcPr/>
          <w:p>
            <w:pPr>
              <w:pStyle w:val="Compact"/>
            </w:pPr>
            <w:r>
              <w:rPr>
                <w:sz w:val="17"/>
              </w:rPr>
              <w:t xml:space="preserve">Seules les trois recettes nommées par l’art. 204 pt 16 sont modélisées en priorité</w:t>
            </w:r>
          </w:p>
        </w:tc>
        <w:tc>
          <w:tcPr/>
          <w:p>
            <w:pPr>
              <w:pStyle w:val="Compact"/>
            </w:pPr>
            <w:r>
              <w:rPr>
                <w:sz w:val="17"/>
              </w:rPr>
              <w:t xml:space="preserve">Aucune règle</w:t>
            </w:r>
            <w:r>
              <w:rPr>
                <w:sz w:val="17"/>
              </w:rPr>
              <w:t xml:space="preserve"> </w:t>
            </w:r>
            <w:r>
              <w:rPr>
                <w:rStyle w:val="VerbatimChar"/>
                <w:sz w:val="17"/>
              </w:rPr>
              <w:t xml:space="preserve">INTERET_COMMUN</w:t>
            </w:r>
            <w:r>
              <w:rPr>
                <w:sz w:val="17"/>
              </w:rPr>
              <w:t xml:space="preserve"> </w:t>
            </w:r>
            <w:r>
              <w:rPr>
                <w:sz w:val="17"/>
              </w:rPr>
              <w:t xml:space="preserve">ou</w:t>
            </w:r>
            <w:r>
              <w:rPr>
                <w:sz w:val="17"/>
              </w:rPr>
              <w:t xml:space="preserve"> </w:t>
            </w:r>
            <w:r>
              <w:rPr>
                <w:rStyle w:val="VerbatimChar"/>
                <w:sz w:val="17"/>
              </w:rPr>
              <w:t xml:space="preserve">PARTAGEE</w:t>
            </w:r>
            <w:r>
              <w:rPr>
                <w:sz w:val="17"/>
              </w:rPr>
              <w:t xml:space="preserve"> </w:t>
            </w:r>
            <w:r>
              <w:rPr>
                <w:sz w:val="17"/>
              </w:rPr>
              <w:t xml:space="preserve">activable sans clé certifiée</w:t>
            </w:r>
          </w:p>
        </w:tc>
      </w:tr>
      <w:tr>
        <w:tc>
          <w:tcPr>
            <w:shd w:val="clear" w:color="auto" w:fill="F5F7FB"/>
          </w:tcPr>
          <w:p>
            <w:pPr>
              <w:pStyle w:val="Compact"/>
            </w:pPr>
            <w:r>
              <w:rPr>
                <w:sz w:val="17"/>
              </w:rPr>
              <w:t xml:space="preserve">J2</w:t>
            </w:r>
          </w:p>
        </w:tc>
        <w:tc>
          <w:tcPr>
            <w:shd w:val="clear" w:color="auto" w:fill="F5F7FB"/>
          </w:tcPr>
          <w:p>
            <w:pPr>
              <w:pStyle w:val="Compact"/>
            </w:pPr>
            <w:r>
              <w:rPr>
                <w:sz w:val="17"/>
              </w:rPr>
              <w:t xml:space="preserve">Objet réel de la « Loi n° 18/014 du 9 juillet 2018 »</w:t>
            </w:r>
          </w:p>
        </w:tc>
        <w:tc>
          <w:tcPr>
            <w:shd w:val="clear" w:color="auto" w:fill="F5F7FB"/>
          </w:tcPr>
          <w:p>
            <w:pPr>
              <w:pStyle w:val="Compact"/>
            </w:pPr>
            <w:r>
              <w:rPr>
                <w:sz w:val="17"/>
              </w:rPr>
              <w:t xml:space="preserve">Service juridique provincial</w:t>
            </w:r>
          </w:p>
        </w:tc>
        <w:tc>
          <w:tcPr>
            <w:shd w:val="clear" w:color="auto" w:fill="F5F7FB"/>
          </w:tcPr>
          <w:p>
            <w:pPr>
              <w:pStyle w:val="Compact"/>
            </w:pPr>
            <w:r>
              <w:rPr>
                <w:sz w:val="17"/>
              </w:rPr>
              <w:t xml:space="preserve">Journal officiel</w:t>
            </w:r>
          </w:p>
        </w:tc>
        <w:tc>
          <w:tcPr>
            <w:shd w:val="clear" w:color="auto" w:fill="F5F7FB"/>
          </w:tcPr>
          <w:p>
            <w:pPr>
              <w:pStyle w:val="Compact"/>
            </w:pPr>
            <w:r>
              <w:rPr>
                <w:sz w:val="17"/>
              </w:rPr>
              <w:t xml:space="preserve">Référence non citée</w:t>
            </w:r>
          </w:p>
        </w:tc>
        <w:tc>
          <w:tcPr>
            <w:shd w:val="clear" w:color="auto" w:fill="F5F7FB"/>
          </w:tcPr>
          <w:p>
            <w:pPr>
              <w:pStyle w:val="Compact"/>
            </w:pPr>
            <w:r>
              <w:rPr>
                <w:sz w:val="17"/>
              </w:rPr>
              <w:t xml:space="preserve">Instrument au statut</w:t>
            </w:r>
            <w:r>
              <w:rPr>
                <w:sz w:val="17"/>
              </w:rPr>
              <w:t xml:space="preserve"> </w:t>
            </w:r>
            <w:r>
              <w:rPr>
                <w:rStyle w:val="VerbatimChar"/>
                <w:sz w:val="17"/>
              </w:rPr>
              <w:t xml:space="preserve">A_VERIFIER</w:t>
            </w:r>
          </w:p>
        </w:tc>
      </w:tr>
      <w:tr>
        <w:tc>
          <w:tcPr/>
          <w:p>
            <w:pPr>
              <w:pStyle w:val="Compact"/>
            </w:pPr>
            <w:r>
              <w:rPr>
                <w:sz w:val="17"/>
              </w:rPr>
              <w:t xml:space="preserve">J3</w:t>
            </w:r>
          </w:p>
        </w:tc>
        <w:tc>
          <w:tcPr/>
          <w:p>
            <w:pPr>
              <w:pStyle w:val="Compact"/>
            </w:pPr>
            <w:r>
              <w:rPr>
                <w:sz w:val="17"/>
              </w:rPr>
              <w:t xml:space="preserve">Arrêtés et édit fixant les taux 2026 (IRL, IF, véhicules)</w:t>
            </w:r>
          </w:p>
        </w:tc>
        <w:tc>
          <w:tcPr/>
          <w:p>
            <w:pPr>
              <w:pStyle w:val="Compact"/>
            </w:pPr>
            <w:r>
              <w:rPr>
                <w:sz w:val="17"/>
              </w:rPr>
              <w:t xml:space="preserve">Ministère provincial des Finances</w:t>
            </w:r>
          </w:p>
        </w:tc>
        <w:tc>
          <w:tcPr/>
          <w:p>
            <w:pPr>
              <w:pStyle w:val="Compact"/>
            </w:pPr>
            <w:r>
              <w:rPr>
                <w:sz w:val="17"/>
              </w:rPr>
              <w:t xml:space="preserve">Textes signés et publiés</w:t>
            </w:r>
          </w:p>
        </w:tc>
        <w:tc>
          <w:tcPr/>
          <w:p>
            <w:pPr>
              <w:pStyle w:val="Compact"/>
            </w:pPr>
            <w:r>
              <w:rPr>
                <w:sz w:val="17"/>
              </w:rPr>
              <w:t xml:space="preserve">Taux de presse enregistrés en</w:t>
            </w:r>
            <w:r>
              <w:rPr>
                <w:sz w:val="17"/>
              </w:rPr>
              <w:t xml:space="preserve"> </w:t>
            </w:r>
            <w:r>
              <w:rPr>
                <w:rStyle w:val="VerbatimChar"/>
                <w:sz w:val="17"/>
              </w:rPr>
              <w:t xml:space="preserve">A_VERIFIER</w:t>
            </w:r>
          </w:p>
        </w:tc>
        <w:tc>
          <w:tcPr/>
          <w:p>
            <w:pPr>
              <w:pStyle w:val="Compact"/>
            </w:pPr>
            <w:r>
              <w:rPr>
                <w:sz w:val="17"/>
              </w:rPr>
              <w:t xml:space="preserve">Pas d’obligation émise</w:t>
            </w:r>
          </w:p>
        </w:tc>
      </w:tr>
      <w:tr>
        <w:tc>
          <w:tcPr>
            <w:shd w:val="clear" w:color="auto" w:fill="F5F7FB"/>
          </w:tcPr>
          <w:p>
            <w:pPr>
              <w:pStyle w:val="Compact"/>
            </w:pPr>
            <w:r>
              <w:rPr>
                <w:sz w:val="17"/>
              </w:rPr>
              <w:t xml:space="preserve">J4</w:t>
            </w:r>
          </w:p>
        </w:tc>
        <w:tc>
          <w:tcPr>
            <w:shd w:val="clear" w:color="auto" w:fill="F5F7FB"/>
          </w:tcPr>
          <w:p>
            <w:pPr>
              <w:pStyle w:val="Compact"/>
            </w:pPr>
            <w:r>
              <w:rPr>
                <w:sz w:val="17"/>
              </w:rPr>
              <w:t xml:space="preserve">Contenu et mise à jour de l’Édit n° 005/2021 (procédure)</w:t>
            </w:r>
          </w:p>
        </w:tc>
        <w:tc>
          <w:tcPr>
            <w:shd w:val="clear" w:color="auto" w:fill="F5F7FB"/>
          </w:tcPr>
          <w:p>
            <w:pPr>
              <w:pStyle w:val="Compact"/>
            </w:pPr>
            <w:r>
              <w:rPr>
                <w:sz w:val="17"/>
              </w:rPr>
              <w:t xml:space="preserve">Service juridique provincial</w:t>
            </w:r>
          </w:p>
        </w:tc>
        <w:tc>
          <w:tcPr>
            <w:shd w:val="clear" w:color="auto" w:fill="F5F7FB"/>
          </w:tcPr>
          <w:p>
            <w:pPr>
              <w:pStyle w:val="Compact"/>
            </w:pPr>
            <w:r>
              <w:rPr>
                <w:sz w:val="17"/>
              </w:rPr>
              <w:t xml:space="preserve">Texte, amendements</w:t>
            </w:r>
          </w:p>
        </w:tc>
        <w:tc>
          <w:tcPr>
            <w:shd w:val="clear" w:color="auto" w:fill="F5F7FB"/>
          </w:tcPr>
          <w:p>
            <w:pPr>
              <w:pStyle w:val="Compact"/>
            </w:pPr>
            <w:r>
              <w:rPr>
                <w:sz w:val="17"/>
              </w:rPr>
              <w:t xml:space="preserve">Aucune pénalité automatique ; notification papier doublée</w:t>
            </w:r>
          </w:p>
        </w:tc>
        <w:tc>
          <w:tcPr>
            <w:shd w:val="clear" w:color="auto" w:fill="F5F7FB"/>
          </w:tcPr>
          <w:p>
            <w:pPr>
              <w:pStyle w:val="Compact"/>
            </w:pPr>
            <w:r>
              <w:rPr>
                <w:sz w:val="17"/>
              </w:rPr>
              <w:t xml:space="preserve">Règles de pénalités désactivées</w:t>
            </w:r>
          </w:p>
        </w:tc>
      </w:tr>
      <w:tr>
        <w:tc>
          <w:tcPr/>
          <w:p>
            <w:pPr>
              <w:pStyle w:val="Compact"/>
            </w:pPr>
            <w:r>
              <w:rPr>
                <w:sz w:val="17"/>
              </w:rPr>
              <w:t xml:space="preserve">J5</w:t>
            </w:r>
          </w:p>
        </w:tc>
        <w:tc>
          <w:tcPr/>
          <w:p>
            <w:pPr>
              <w:pStyle w:val="Compact"/>
            </w:pPr>
            <w:r>
              <w:rPr>
                <w:sz w:val="17"/>
              </w:rPr>
              <w:t xml:space="preserve">Arrêtés de création de la DGIPK et de la DGTK ; transfert des compétences et des comptes</w:t>
            </w:r>
          </w:p>
        </w:tc>
        <w:tc>
          <w:tcPr/>
          <w:p>
            <w:pPr>
              <w:pStyle w:val="Compact"/>
            </w:pPr>
            <w:r>
              <w:rPr>
                <w:sz w:val="17"/>
              </w:rPr>
              <w:t xml:space="preserve">Cabinet du Gouverneur, Finances</w:t>
            </w:r>
          </w:p>
        </w:tc>
        <w:tc>
          <w:tcPr/>
          <w:p>
            <w:pPr>
              <w:pStyle w:val="Compact"/>
            </w:pPr>
            <w:r>
              <w:rPr>
                <w:sz w:val="17"/>
              </w:rPr>
              <w:t xml:space="preserve">Arrêtés, décisions de transfert</w:t>
            </w:r>
          </w:p>
        </w:tc>
        <w:tc>
          <w:tcPr/>
          <w:p>
            <w:pPr>
              <w:pStyle w:val="Compact"/>
            </w:pPr>
            <w:r>
              <w:rPr>
                <w:sz w:val="17"/>
              </w:rPr>
              <w:t xml:space="preserve">Administration paramétrable par règle</w:t>
            </w:r>
          </w:p>
        </w:tc>
        <w:tc>
          <w:tcPr/>
          <w:p>
            <w:pPr>
              <w:pStyle w:val="Compact"/>
            </w:pPr>
            <w:r>
              <w:rPr>
                <w:sz w:val="17"/>
              </w:rPr>
              <w:t xml:space="preserve">Pas de règle sans</w:t>
            </w:r>
            <w:r>
              <w:rPr>
                <w:sz w:val="17"/>
              </w:rPr>
              <w:t xml:space="preserve"> </w:t>
            </w:r>
            <w:r>
              <w:rPr>
                <w:rStyle w:val="VerbatimChar"/>
                <w:sz w:val="17"/>
              </w:rPr>
              <w:t xml:space="preserve">administering_entity_id</w:t>
            </w:r>
            <w:r>
              <w:rPr>
                <w:sz w:val="17"/>
              </w:rPr>
              <w:t xml:space="preserve"> </w:t>
            </w:r>
            <w:r>
              <w:rPr>
                <w:sz w:val="17"/>
              </w:rPr>
              <w:t xml:space="preserve">valide</w:t>
            </w:r>
          </w:p>
        </w:tc>
      </w:tr>
      <w:tr>
        <w:tc>
          <w:tcPr>
            <w:shd w:val="clear" w:color="auto" w:fill="F5F7FB"/>
          </w:tcPr>
          <w:p>
            <w:pPr>
              <w:pStyle w:val="Compact"/>
            </w:pPr>
            <w:r>
              <w:rPr>
                <w:sz w:val="17"/>
              </w:rPr>
              <w:t xml:space="preserve">J6</w:t>
            </w:r>
          </w:p>
        </w:tc>
        <w:tc>
          <w:tcPr>
            <w:shd w:val="clear" w:color="auto" w:fill="F5F7FB"/>
          </w:tcPr>
          <w:p>
            <w:pPr>
              <w:pStyle w:val="Compact"/>
            </w:pPr>
            <w:r>
              <w:rPr>
                <w:sz w:val="17"/>
              </w:rPr>
              <w:t xml:space="preserve">Acte instituant le quitus fiscal et liste des démarches conditionnées</w:t>
            </w:r>
          </w:p>
        </w:tc>
        <w:tc>
          <w:tcPr>
            <w:shd w:val="clear" w:color="auto" w:fill="F5F7FB"/>
          </w:tcPr>
          <w:p>
            <w:pPr>
              <w:pStyle w:val="Compact"/>
            </w:pPr>
            <w:r>
              <w:rPr>
                <w:sz w:val="17"/>
              </w:rPr>
              <w:t xml:space="preserve">Finances, services concernés</w:t>
            </w:r>
          </w:p>
        </w:tc>
        <w:tc>
          <w:tcPr>
            <w:shd w:val="clear" w:color="auto" w:fill="F5F7FB"/>
          </w:tcPr>
          <w:p>
            <w:pPr>
              <w:pStyle w:val="Compact"/>
            </w:pPr>
            <w:r>
              <w:rPr>
                <w:sz w:val="17"/>
              </w:rPr>
              <w:t xml:space="preserve">Acte</w:t>
            </w:r>
          </w:p>
        </w:tc>
        <w:tc>
          <w:tcPr>
            <w:shd w:val="clear" w:color="auto" w:fill="F5F7FB"/>
          </w:tcPr>
          <w:p>
            <w:pPr>
              <w:pStyle w:val="Compact"/>
            </w:pPr>
            <w:r>
              <w:rPr>
                <w:sz w:val="17"/>
              </w:rPr>
              <w:t xml:space="preserve">Quitus informatif uniquement</w:t>
            </w:r>
          </w:p>
        </w:tc>
        <w:tc>
          <w:tcPr>
            <w:shd w:val="clear" w:color="auto" w:fill="F5F7FB"/>
          </w:tcPr>
          <w:p>
            <w:pPr>
              <w:pStyle w:val="Compact"/>
            </w:pPr>
            <w:r>
              <w:rPr>
                <w:sz w:val="17"/>
              </w:rPr>
              <w:t xml:space="preserve">Aucun blocage de service sans règle de conditionnalité certifiée</w:t>
            </w:r>
          </w:p>
        </w:tc>
      </w:tr>
      <w:tr>
        <w:tc>
          <w:tcPr/>
          <w:p>
            <w:pPr>
              <w:pStyle w:val="Compact"/>
            </w:pPr>
            <w:r>
              <w:rPr>
                <w:sz w:val="17"/>
              </w:rPr>
              <w:t xml:space="preserve">J7</w:t>
            </w:r>
          </w:p>
        </w:tc>
        <w:tc>
          <w:tcPr/>
          <w:p>
            <w:pPr>
              <w:pStyle w:val="Compact"/>
            </w:pPr>
            <w:r>
              <w:rPr>
                <w:sz w:val="17"/>
              </w:rPr>
              <w:t xml:space="preserve">Valeur probante de la quittance et de la notification électroniques</w:t>
            </w:r>
          </w:p>
        </w:tc>
        <w:tc>
          <w:tcPr/>
          <w:p>
            <w:pPr>
              <w:pStyle w:val="Compact"/>
            </w:pPr>
            <w:r>
              <w:rPr>
                <w:sz w:val="17"/>
              </w:rPr>
              <w:t xml:space="preserve">Services juridiques ; autorité intérimaire du numérique</w:t>
            </w:r>
          </w:p>
        </w:tc>
        <w:tc>
          <w:tcPr/>
          <w:p>
            <w:pPr>
              <w:pStyle w:val="Compact"/>
            </w:pPr>
            <w:r>
              <w:rPr>
                <w:sz w:val="17"/>
              </w:rPr>
              <w:t xml:space="preserve">Code du numérique et textes d’application</w:t>
            </w:r>
          </w:p>
        </w:tc>
        <w:tc>
          <w:tcPr/>
          <w:p>
            <w:pPr>
              <w:pStyle w:val="Compact"/>
            </w:pPr>
            <w:r>
              <w:rPr>
                <w:sz w:val="17"/>
              </w:rPr>
              <w:t xml:space="preserve">Double preuve (électronique + imprimable signée)</w:t>
            </w:r>
          </w:p>
        </w:tc>
        <w:tc>
          <w:tcPr/>
          <w:p>
            <w:pPr>
              <w:pStyle w:val="Compact"/>
            </w:pPr>
            <w:r>
              <w:rPr>
                <w:sz w:val="17"/>
              </w:rPr>
              <w:t xml:space="preserve">—</w:t>
            </w:r>
          </w:p>
        </w:tc>
      </w:tr>
      <w:tr>
        <w:tc>
          <w:tcPr>
            <w:shd w:val="clear" w:color="auto" w:fill="F5F7FB"/>
          </w:tcPr>
          <w:p>
            <w:pPr>
              <w:pStyle w:val="Compact"/>
            </w:pPr>
            <w:r>
              <w:rPr>
                <w:sz w:val="17"/>
              </w:rPr>
              <w:t xml:space="preserve">J8</w:t>
            </w:r>
          </w:p>
        </w:tc>
        <w:tc>
          <w:tcPr>
            <w:shd w:val="clear" w:color="auto" w:fill="F5F7FB"/>
          </w:tcPr>
          <w:p>
            <w:pPr>
              <w:pStyle w:val="Compact"/>
            </w:pPr>
            <w:r>
              <w:rPr>
                <w:sz w:val="17"/>
              </w:rPr>
              <w:t xml:space="preserve">Formalités de protection des données et analyse d’impact</w:t>
            </w:r>
          </w:p>
        </w:tc>
        <w:tc>
          <w:tcPr>
            <w:shd w:val="clear" w:color="auto" w:fill="F5F7FB"/>
          </w:tcPr>
          <w:p>
            <w:pPr>
              <w:pStyle w:val="Compact"/>
            </w:pPr>
            <w:r>
              <w:rPr>
                <w:sz w:val="17"/>
              </w:rPr>
              <w:t xml:space="preserve">Délégué à la protection des données du programme</w:t>
            </w:r>
          </w:p>
        </w:tc>
        <w:tc>
          <w:tcPr>
            <w:shd w:val="clear" w:color="auto" w:fill="F5F7FB"/>
          </w:tcPr>
          <w:p>
            <w:pPr>
              <w:pStyle w:val="Compact"/>
            </w:pPr>
            <w:r>
              <w:rPr>
                <w:sz w:val="17"/>
              </w:rPr>
              <w:t xml:space="preserve">Registre des traitements</w:t>
            </w:r>
          </w:p>
        </w:tc>
        <w:tc>
          <w:tcPr>
            <w:shd w:val="clear" w:color="auto" w:fill="F5F7FB"/>
          </w:tcPr>
          <w:p>
            <w:pPr>
              <w:pStyle w:val="Compact"/>
            </w:pPr>
            <w:r>
              <w:rPr>
                <w:sz w:val="17"/>
              </w:rPr>
              <w:t xml:space="preserve">Minimisation maximale ; pas de partage de données partenaires sans protocole</w:t>
            </w:r>
          </w:p>
        </w:tc>
        <w:tc>
          <w:tcPr>
            <w:shd w:val="clear" w:color="auto" w:fill="F5F7FB"/>
          </w:tcPr>
          <w:p>
            <w:pPr>
              <w:pStyle w:val="Compact"/>
            </w:pPr>
            <w:r>
              <w:rPr>
                <w:sz w:val="17"/>
              </w:rPr>
              <w:t xml:space="preserve">Connecteurs partenaires désactivés sans protocole signé</w:t>
            </w:r>
          </w:p>
        </w:tc>
      </w:tr>
      <w:tr>
        <w:tc>
          <w:tcPr/>
          <w:p>
            <w:pPr>
              <w:pStyle w:val="Compact"/>
            </w:pPr>
            <w:r>
              <w:rPr>
                <w:sz w:val="17"/>
              </w:rPr>
              <w:t xml:space="preserve">J9</w:t>
            </w:r>
          </w:p>
        </w:tc>
        <w:tc>
          <w:tcPr/>
          <w:p>
            <w:pPr>
              <w:pStyle w:val="Compact"/>
            </w:pPr>
            <w:r>
              <w:rPr>
                <w:sz w:val="17"/>
              </w:rPr>
              <w:t xml:space="preserve">Habilitation BCC des prestataires de paiement et besoin d’agrément d’agrégation</w:t>
            </w:r>
          </w:p>
        </w:tc>
        <w:tc>
          <w:tcPr/>
          <w:p>
            <w:pPr>
              <w:pStyle w:val="Compact"/>
            </w:pPr>
            <w:r>
              <w:rPr>
                <w:sz w:val="17"/>
              </w:rPr>
              <w:t xml:space="preserve">Finances + BCC</w:t>
            </w:r>
          </w:p>
        </w:tc>
        <w:tc>
          <w:tcPr/>
          <w:p>
            <w:pPr>
              <w:pStyle w:val="Compact"/>
            </w:pPr>
            <w:r>
              <w:rPr>
                <w:sz w:val="17"/>
              </w:rPr>
              <w:t xml:space="preserve">Agréments</w:t>
            </w:r>
          </w:p>
        </w:tc>
        <w:tc>
          <w:tcPr/>
          <w:p>
            <w:pPr>
              <w:pStyle w:val="Compact"/>
            </w:pPr>
            <w:r>
              <w:rPr>
                <w:sz w:val="17"/>
              </w:rPr>
              <w:t xml:space="preserve">Seuls des prestataires déjà agréés, sous contrat avec la Province</w:t>
            </w:r>
          </w:p>
        </w:tc>
        <w:tc>
          <w:tcPr/>
          <w:p>
            <w:pPr>
              <w:pStyle w:val="Compact"/>
            </w:pPr>
            <w:r>
              <w:rPr>
                <w:sz w:val="17"/>
              </w:rPr>
              <w:t xml:space="preserve">Connecteur de canal non activable sans preuve d’agrément</w:t>
            </w:r>
          </w:p>
        </w:tc>
      </w:tr>
      <w:tr>
        <w:tc>
          <w:tcPr>
            <w:shd w:val="clear" w:color="auto" w:fill="F5F7FB"/>
          </w:tcPr>
          <w:p>
            <w:pPr>
              <w:pStyle w:val="Compact"/>
            </w:pPr>
            <w:r>
              <w:rPr>
                <w:sz w:val="17"/>
              </w:rPr>
              <w:t xml:space="preserve">J10</w:t>
            </w:r>
          </w:p>
        </w:tc>
        <w:tc>
          <w:tcPr>
            <w:shd w:val="clear" w:color="auto" w:fill="F5F7FB"/>
          </w:tcPr>
          <w:p>
            <w:pPr>
              <w:pStyle w:val="Compact"/>
            </w:pPr>
            <w:r>
              <w:rPr>
                <w:sz w:val="17"/>
              </w:rPr>
              <w:t xml:space="preserve">Régime des incitations des agents (primes, quotes-parts)</w:t>
            </w:r>
          </w:p>
        </w:tc>
        <w:tc>
          <w:tcPr>
            <w:shd w:val="clear" w:color="auto" w:fill="F5F7FB"/>
          </w:tcPr>
          <w:p>
            <w:pPr>
              <w:pStyle w:val="Compact"/>
            </w:pPr>
            <w:r>
              <w:rPr>
                <w:sz w:val="17"/>
              </w:rPr>
              <w:t xml:space="preserve">Finances, Fonction publique provinciale</w:t>
            </w:r>
          </w:p>
        </w:tc>
        <w:tc>
          <w:tcPr>
            <w:shd w:val="clear" w:color="auto" w:fill="F5F7FB"/>
          </w:tcPr>
          <w:p>
            <w:pPr>
              <w:pStyle w:val="Compact"/>
            </w:pPr>
            <w:r>
              <w:rPr>
                <w:sz w:val="17"/>
              </w:rPr>
              <w:t xml:space="preserve">LOFIP, édit, arrêté</w:t>
            </w:r>
          </w:p>
        </w:tc>
        <w:tc>
          <w:tcPr>
            <w:shd w:val="clear" w:color="auto" w:fill="F5F7FB"/>
          </w:tcPr>
          <w:p>
            <w:pPr>
              <w:pStyle w:val="Compact"/>
            </w:pPr>
            <w:r>
              <w:rPr>
                <w:sz w:val="17"/>
              </w:rPr>
              <w:t xml:space="preserve">Aucune prime calculée par la plateforme</w:t>
            </w:r>
          </w:p>
        </w:tc>
        <w:tc>
          <w:tcPr>
            <w:shd w:val="clear" w:color="auto" w:fill="F5F7FB"/>
          </w:tcPr>
          <w:p>
            <w:pPr>
              <w:pStyle w:val="Compact"/>
            </w:pPr>
            <w:r>
              <w:rPr>
                <w:sz w:val="17"/>
              </w:rPr>
              <w:t xml:space="preserve">Module de performance en mode « indicateurs » seulement</w:t>
            </w:r>
          </w:p>
        </w:tc>
      </w:tr>
      <w:tr>
        <w:tc>
          <w:tcPr/>
          <w:p>
            <w:pPr>
              <w:pStyle w:val="Compact"/>
            </w:pPr>
            <w:r>
              <w:rPr>
                <w:sz w:val="17"/>
              </w:rPr>
              <w:t xml:space="preserve">J11</w:t>
            </w:r>
          </w:p>
        </w:tc>
        <w:tc>
          <w:tcPr/>
          <w:p>
            <w:pPr>
              <w:pStyle w:val="Compact"/>
            </w:pPr>
            <w:r>
              <w:rPr>
                <w:sz w:val="17"/>
              </w:rPr>
              <w:t xml:space="preserve">Régime juridique de la rémunération du prestataire (marché, PPP, pourcentage)</w:t>
            </w:r>
          </w:p>
        </w:tc>
        <w:tc>
          <w:tcPr/>
          <w:p>
            <w:pPr>
              <w:pStyle w:val="Compact"/>
            </w:pPr>
            <w:r>
              <w:rPr>
                <w:sz w:val="17"/>
              </w:rPr>
              <w:t xml:space="preserve">Finances, ARMP/DGCMP, UC-PPP</w:t>
            </w:r>
          </w:p>
        </w:tc>
        <w:tc>
          <w:tcPr/>
          <w:p>
            <w:pPr>
              <w:pStyle w:val="Compact"/>
            </w:pPr>
            <w:r>
              <w:rPr>
                <w:sz w:val="17"/>
              </w:rPr>
              <w:t xml:space="preserve">Loi 10/010, Loi 18/016, LOFIP</w:t>
            </w:r>
          </w:p>
        </w:tc>
        <w:tc>
          <w:tcPr/>
          <w:p>
            <w:pPr>
              <w:pStyle w:val="Compact"/>
            </w:pPr>
            <w:r>
              <w:rPr>
                <w:sz w:val="17"/>
              </w:rPr>
              <w:t xml:space="preserve">Rémunération contractuelle payée sur crédit budgétaire (ch. 37)</w:t>
            </w:r>
          </w:p>
        </w:tc>
        <w:tc>
          <w:tcPr/>
          <w:p>
            <w:pPr>
              <w:pStyle w:val="Compact"/>
            </w:pPr>
            <w:r>
              <w:rPr>
                <w:sz w:val="17"/>
              </w:rPr>
              <w:t xml:space="preserve">Aucun flux de décaissement automatique vers un compte privé</w:t>
            </w:r>
          </w:p>
        </w:tc>
      </w:tr>
      <w:tr>
        <w:tc>
          <w:tcPr>
            <w:shd w:val="clear" w:color="auto" w:fill="F5F7FB"/>
          </w:tcPr>
          <w:p>
            <w:pPr>
              <w:pStyle w:val="Compact"/>
            </w:pPr>
            <w:r>
              <w:rPr>
                <w:sz w:val="17"/>
              </w:rPr>
              <w:t xml:space="preserve">J12</w:t>
            </w:r>
          </w:p>
        </w:tc>
        <w:tc>
          <w:tcPr>
            <w:shd w:val="clear" w:color="auto" w:fill="F5F7FB"/>
          </w:tcPr>
          <w:p>
            <w:pPr>
              <w:pStyle w:val="Compact"/>
            </w:pPr>
            <w:r>
              <w:rPr>
                <w:sz w:val="17"/>
              </w:rPr>
              <w:t xml:space="preserve">Assujettissement de la plateforme aux régimes de déclaration ou d’autorisation des services numériques (2026)</w:t>
            </w:r>
          </w:p>
        </w:tc>
        <w:tc>
          <w:tcPr>
            <w:shd w:val="clear" w:color="auto" w:fill="F5F7FB"/>
          </w:tcPr>
          <w:p>
            <w:pPr>
              <w:pStyle w:val="Compact"/>
            </w:pPr>
            <w:r>
              <w:rPr>
                <w:sz w:val="17"/>
              </w:rPr>
              <w:t xml:space="preserve">Ministère de l’Économie numérique</w:t>
            </w:r>
          </w:p>
        </w:tc>
        <w:tc>
          <w:tcPr>
            <w:shd w:val="clear" w:color="auto" w:fill="F5F7FB"/>
          </w:tcPr>
          <w:p>
            <w:pPr>
              <w:pStyle w:val="Compact"/>
            </w:pPr>
            <w:r>
              <w:rPr>
                <w:sz w:val="17"/>
              </w:rPr>
              <w:t xml:space="preserve">Arrêtés du 11 mars 2026</w:t>
            </w:r>
          </w:p>
        </w:tc>
        <w:tc>
          <w:tcPr>
            <w:shd w:val="clear" w:color="auto" w:fill="F5F7FB"/>
          </w:tcPr>
          <w:p>
            <w:pPr>
              <w:pStyle w:val="Compact"/>
            </w:pPr>
            <w:r>
              <w:rPr>
                <w:sz w:val="17"/>
              </w:rPr>
              <w:t xml:space="preserve">Déclaration préventive</w:t>
            </w:r>
          </w:p>
        </w:tc>
        <w:tc>
          <w:tcPr>
            <w:shd w:val="clear" w:color="auto" w:fill="F5F7FB"/>
          </w:tcPr>
          <w:p>
            <w:pPr>
              <w:pStyle w:val="Compact"/>
            </w:pPr>
            <w:r>
              <w:rPr>
                <w:sz w:val="17"/>
              </w:rPr>
              <w:t xml:space="preserve">—</w:t>
            </w:r>
          </w:p>
        </w:tc>
      </w:tr>
      <w:tr>
        <w:tc>
          <w:tcPr/>
          <w:p>
            <w:pPr>
              <w:pStyle w:val="Compact"/>
            </w:pPr>
            <w:r>
              <w:rPr>
                <w:sz w:val="17"/>
              </w:rPr>
              <w:t xml:space="preserve">J13</w:t>
            </w:r>
          </w:p>
        </w:tc>
        <w:tc>
          <w:tcPr/>
          <w:p>
            <w:pPr>
              <w:pStyle w:val="Compact"/>
            </w:pPr>
            <w:r>
              <w:rPr>
                <w:sz w:val="17"/>
              </w:rPr>
              <w:t xml:space="preserve">Conditions de partage de données avec les distributeurs d’énergie, d’eau, les opérateurs télécoms, les brasseries, les employeurs</w:t>
            </w:r>
          </w:p>
        </w:tc>
        <w:tc>
          <w:tcPr/>
          <w:p>
            <w:pPr>
              <w:pStyle w:val="Compact"/>
            </w:pPr>
            <w:r>
              <w:rPr>
                <w:sz w:val="17"/>
              </w:rPr>
              <w:t xml:space="preserve">Juridique + autorité de protection des données</w:t>
            </w:r>
          </w:p>
        </w:tc>
        <w:tc>
          <w:tcPr/>
          <w:p>
            <w:pPr>
              <w:pStyle w:val="Compact"/>
            </w:pPr>
            <w:r>
              <w:rPr>
                <w:sz w:val="17"/>
              </w:rPr>
              <w:t xml:space="preserve">Protocoles</w:t>
            </w:r>
          </w:p>
        </w:tc>
        <w:tc>
          <w:tcPr/>
          <w:p>
            <w:pPr>
              <w:pStyle w:val="Compact"/>
            </w:pPr>
            <w:r>
              <w:rPr>
                <w:sz w:val="17"/>
              </w:rPr>
              <w:t xml:space="preserve">Aucun échange de données personnelles sans protocole</w:t>
            </w:r>
          </w:p>
        </w:tc>
        <w:tc>
          <w:tcPr/>
          <w:p>
            <w:pPr>
              <w:pStyle w:val="Compact"/>
            </w:pPr>
            <w:r>
              <w:rPr>
                <w:sz w:val="17"/>
              </w:rPr>
              <w:t xml:space="preserve">Connecteurs désactivés</w:t>
            </w:r>
          </w:p>
        </w:tc>
      </w:tr>
      <w:tr>
        <w:tc>
          <w:tcPr>
            <w:shd w:val="clear" w:color="auto" w:fill="F5F7FB"/>
          </w:tcPr>
          <w:p>
            <w:pPr>
              <w:pStyle w:val="Compact"/>
            </w:pPr>
            <w:r>
              <w:rPr>
                <w:sz w:val="17"/>
              </w:rPr>
              <w:t xml:space="preserve">J14</w:t>
            </w:r>
          </w:p>
        </w:tc>
        <w:tc>
          <w:tcPr>
            <w:shd w:val="clear" w:color="auto" w:fill="F5F7FB"/>
          </w:tcPr>
          <w:p>
            <w:pPr>
              <w:pStyle w:val="Compact"/>
            </w:pPr>
            <w:r>
              <w:rPr>
                <w:sz w:val="17"/>
              </w:rPr>
              <w:t xml:space="preserve">Base légale des échéanciers et de la régularisation volontaire (abandon de pénalités)</w:t>
            </w:r>
          </w:p>
        </w:tc>
        <w:tc>
          <w:tcPr>
            <w:shd w:val="clear" w:color="auto" w:fill="F5F7FB"/>
          </w:tcPr>
          <w:p>
            <w:pPr>
              <w:pStyle w:val="Compact"/>
            </w:pPr>
            <w:r>
              <w:rPr>
                <w:sz w:val="17"/>
              </w:rPr>
              <w:t xml:space="preserve">Finances / Assemblée provinciale</w:t>
            </w:r>
          </w:p>
        </w:tc>
        <w:tc>
          <w:tcPr>
            <w:shd w:val="clear" w:color="auto" w:fill="F5F7FB"/>
          </w:tcPr>
          <w:p>
            <w:pPr>
              <w:pStyle w:val="Compact"/>
            </w:pPr>
            <w:r>
              <w:rPr>
                <w:sz w:val="17"/>
              </w:rPr>
              <w:t xml:space="preserve">Texte</w:t>
            </w:r>
          </w:p>
        </w:tc>
        <w:tc>
          <w:tcPr>
            <w:shd w:val="clear" w:color="auto" w:fill="F5F7FB"/>
          </w:tcPr>
          <w:p>
            <w:pPr>
              <w:pStyle w:val="Compact"/>
            </w:pPr>
            <w:r>
              <w:rPr>
                <w:sz w:val="17"/>
              </w:rPr>
              <w:t xml:space="preserve">Modules 83 et 90 désactivés</w:t>
            </w:r>
          </w:p>
        </w:tc>
        <w:tc>
          <w:tcPr>
            <w:shd w:val="clear" w:color="auto" w:fill="F5F7FB"/>
          </w:tcPr>
          <w:p>
            <w:pPr>
              <w:pStyle w:val="Compact"/>
            </w:pPr>
            <w:r>
              <w:rPr>
                <w:sz w:val="17"/>
              </w:rPr>
              <w:t xml:space="preserve">—</w:t>
            </w:r>
          </w:p>
        </w:tc>
      </w:tr>
      <w:tr>
        <w:tc>
          <w:tcPr/>
          <w:p>
            <w:pPr>
              <w:pStyle w:val="Compact"/>
            </w:pPr>
            <w:r>
              <w:rPr>
                <w:sz w:val="17"/>
              </w:rPr>
              <w:t xml:space="preserve">J15</w:t>
            </w:r>
          </w:p>
        </w:tc>
        <w:tc>
          <w:tcPr/>
          <w:p>
            <w:pPr>
              <w:pStyle w:val="Compact"/>
            </w:pPr>
            <w:r>
              <w:rPr>
                <w:sz w:val="17"/>
              </w:rPr>
              <w:t xml:space="preserve">Compétence provinciale pour une contribution plastique ou une REP (art. 174 Constitution, nomenclature, Décret 17/018)</w:t>
            </w:r>
          </w:p>
        </w:tc>
        <w:tc>
          <w:tcPr/>
          <w:p>
            <w:pPr>
              <w:pStyle w:val="Compact"/>
            </w:pPr>
            <w:r>
              <w:rPr>
                <w:sz w:val="17"/>
              </w:rPr>
              <w:t xml:space="preserve">Juridique + Environnement + pouvoir central</w:t>
            </w:r>
          </w:p>
        </w:tc>
        <w:tc>
          <w:tcPr/>
          <w:p>
            <w:pPr>
              <w:pStyle w:val="Compact"/>
            </w:pPr>
            <w:r>
              <w:rPr>
                <w:sz w:val="17"/>
              </w:rPr>
              <w:t xml:space="preserve">Analyse</w:t>
            </w:r>
          </w:p>
        </w:tc>
        <w:tc>
          <w:tcPr/>
          <w:p>
            <w:pPr>
              <w:pStyle w:val="Compact"/>
            </w:pPr>
            <w:r>
              <w:rPr>
                <w:sz w:val="17"/>
              </w:rPr>
              <w:t xml:space="preserve">Aucune activation</w:t>
            </w:r>
          </w:p>
        </w:tc>
        <w:tc>
          <w:tcPr/>
          <w:p>
            <w:pPr>
              <w:pStyle w:val="Compact"/>
            </w:pPr>
            <w:r>
              <w:rPr>
                <w:sz w:val="17"/>
              </w:rPr>
              <w:t xml:space="preserve">Catégorie</w:t>
            </w:r>
            <w:r>
              <w:rPr>
                <w:sz w:val="17"/>
              </w:rPr>
              <w:t xml:space="preserve"> </w:t>
            </w:r>
            <w:r>
              <w:rPr>
                <w:rStyle w:val="VerbatimChar"/>
                <w:sz w:val="17"/>
              </w:rPr>
              <w:t xml:space="preserve">ACTE_REQUIS</w:t>
            </w:r>
          </w:p>
        </w:tc>
      </w:tr>
      <w:tr>
        <w:tc>
          <w:tcPr>
            <w:shd w:val="clear" w:color="auto" w:fill="F5F7FB"/>
          </w:tcPr>
          <w:p>
            <w:pPr>
              <w:pStyle w:val="Compact"/>
            </w:pPr>
            <w:r>
              <w:rPr>
                <w:sz w:val="17"/>
              </w:rPr>
              <w:t xml:space="preserve">J16</w:t>
            </w:r>
          </w:p>
        </w:tc>
        <w:tc>
          <w:tcPr>
            <w:shd w:val="clear" w:color="auto" w:fill="F5F7FB"/>
          </w:tcPr>
          <w:p>
            <w:pPr>
              <w:pStyle w:val="Compact"/>
            </w:pPr>
            <w:r>
              <w:rPr>
                <w:sz w:val="17"/>
              </w:rPr>
              <w:t xml:space="preserve">Portée d’une décision de la Cour constitutionnelle de 2024 sur la création d’impôts provinciaux hors nomenclature, rapportée par la presse</w:t>
            </w:r>
          </w:p>
        </w:tc>
        <w:tc>
          <w:tcPr>
            <w:shd w:val="clear" w:color="auto" w:fill="F5F7FB"/>
          </w:tcPr>
          <w:p>
            <w:pPr>
              <w:pStyle w:val="Compact"/>
            </w:pPr>
            <w:r>
              <w:rPr>
                <w:sz w:val="17"/>
              </w:rPr>
              <w:t xml:space="preserve">Service juridique</w:t>
            </w:r>
          </w:p>
        </w:tc>
        <w:tc>
          <w:tcPr>
            <w:shd w:val="clear" w:color="auto" w:fill="F5F7FB"/>
          </w:tcPr>
          <w:p>
            <w:pPr>
              <w:pStyle w:val="Compact"/>
            </w:pPr>
            <w:r>
              <w:rPr>
                <w:sz w:val="17"/>
              </w:rPr>
              <w:t xml:space="preserve">Arrêt</w:t>
            </w:r>
          </w:p>
        </w:tc>
        <w:tc>
          <w:tcPr>
            <w:shd w:val="clear" w:color="auto" w:fill="F5F7FB"/>
          </w:tcPr>
          <w:p>
            <w:pPr>
              <w:pStyle w:val="Compact"/>
            </w:pPr>
            <w:r>
              <w:rPr>
                <w:sz w:val="17"/>
              </w:rPr>
              <w:t xml:space="preserve">Aucune recette nouvelle hors nomenclature</w:t>
            </w:r>
          </w:p>
        </w:tc>
        <w:tc>
          <w:tcPr>
            <w:shd w:val="clear" w:color="auto" w:fill="F5F7FB"/>
          </w:tcPr>
          <w:p>
            <w:pPr>
              <w:pStyle w:val="Compact"/>
            </w:pPr>
            <w:r>
              <w:rPr>
                <w:sz w:val="17"/>
              </w:rPr>
              <w:t xml:space="preserve">Catégorie</w:t>
            </w:r>
            <w:r>
              <w:rPr>
                <w:sz w:val="17"/>
              </w:rPr>
              <w:t xml:space="preserve"> </w:t>
            </w:r>
            <w:r>
              <w:rPr>
                <w:rStyle w:val="VerbatimChar"/>
                <w:sz w:val="17"/>
              </w:rPr>
              <w:t xml:space="preserve">ACTE_REQUIS</w:t>
            </w:r>
          </w:p>
        </w:tc>
      </w:tr>
    </w:tbl>
    <w:bookmarkEnd w:id="59"/>
    <w:bookmarkEnd w:id="60"/>
    <w:bookmarkStart w:id="66" w:name="paysage-des-recettes"/>
    <w:p>
      <w:pPr>
        <w:pStyle w:val="Heading1"/>
      </w:pPr>
      <w:r>
        <w:t xml:space="preserve">7. Paysage des recettes</w:t>
      </w:r>
    </w:p>
    <w:p>
      <w:pPr>
        <w:pStyle w:val="FirstParagraph"/>
      </w:pPr>
      <w:r>
        <w:t xml:space="preserve">Les catégories ci-dessous structurent le paramétrage,</w:t>
      </w:r>
      <w:r>
        <w:t xml:space="preserve"> </w:t>
      </w:r>
      <w:r>
        <w:rPr>
          <w:b/>
          <w:bCs/>
        </w:rPr>
        <w:t xml:space="preserve">sous réserve de la certification prévue au chapitre 6</w:t>
      </w:r>
      <w:r>
        <w:t xml:space="preserve">. La colonne « Rendement à Kinshasa » est une appréciation qualitative fondée sur la structure économique de la ville ; elle n’est pas une prévision. La colonne « Régie » indique l’hypothèse de rattachement après la réforme de 2026 (DGIPK pour les impôts, direction des droits, taxes et redevances — DGTK, successeur de la DGRK — pour les autres recettes) ; elle est configurable.</w:t>
      </w:r>
    </w:p>
    <w:bookmarkStart w:id="61" w:name="impôts-provinciaux"/>
    <w:p>
      <w:pPr>
        <w:pStyle w:val="Heading2"/>
      </w:pPr>
      <w:r>
        <w:t xml:space="preserve">7.1 Impôts provinciaux</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shd w:val="clear" w:color="auto" w:fill="232C6B"/>
          </w:tcPr>
          <w:p>
            <w:pPr>
              <w:pStyle w:val="Compact"/>
            </w:pPr>
            <w:r>
              <w:rPr>
                <w:b/>
                <w:color w:val="FFFFFF"/>
                <w:sz w:val="17"/>
              </w:rPr>
              <w:t xml:space="preserve">Recette</w:t>
            </w:r>
          </w:p>
        </w:tc>
        <w:tc>
          <w:tcPr>
            <w:shd w:val="clear" w:color="auto" w:fill="232C6B"/>
          </w:tcPr>
          <w:p>
            <w:pPr>
              <w:pStyle w:val="Compact"/>
            </w:pPr>
            <w:r>
              <w:rPr>
                <w:b/>
                <w:color w:val="FFFFFF"/>
                <w:sz w:val="17"/>
              </w:rPr>
              <w:t xml:space="preserve">Objet fiscal dans MOSOLO</w:t>
            </w:r>
          </w:p>
        </w:tc>
        <w:tc>
          <w:tcPr>
            <w:shd w:val="clear" w:color="auto" w:fill="232C6B"/>
          </w:tcPr>
          <w:p>
            <w:pPr>
              <w:pStyle w:val="Compact"/>
            </w:pPr>
            <w:r>
              <w:rPr>
                <w:b/>
                <w:color w:val="FFFFFF"/>
                <w:sz w:val="17"/>
              </w:rPr>
              <w:t xml:space="preserve">Fait générateur</w:t>
            </w:r>
          </w:p>
        </w:tc>
        <w:tc>
          <w:tcPr>
            <w:shd w:val="clear" w:color="auto" w:fill="232C6B"/>
          </w:tcPr>
          <w:p>
            <w:pPr>
              <w:pStyle w:val="Compact"/>
            </w:pPr>
            <w:r>
              <w:rPr>
                <w:b/>
                <w:color w:val="FFFFFF"/>
                <w:sz w:val="17"/>
              </w:rPr>
              <w:t xml:space="preserve">Régie</w:t>
            </w:r>
          </w:p>
        </w:tc>
        <w:tc>
          <w:tcPr>
            <w:shd w:val="clear" w:color="auto" w:fill="232C6B"/>
          </w:tcPr>
          <w:p>
            <w:pPr>
              <w:pStyle w:val="Compact"/>
            </w:pPr>
            <w:r>
              <w:rPr>
                <w:b/>
                <w:color w:val="FFFFFF"/>
                <w:sz w:val="17"/>
              </w:rPr>
              <w:t xml:space="preserve">Où se trouvent déjà les redevables</w:t>
            </w:r>
          </w:p>
        </w:tc>
        <w:tc>
          <w:tcPr>
            <w:shd w:val="clear" w:color="auto" w:fill="232C6B"/>
          </w:tcPr>
          <w:p>
            <w:pPr>
              <w:pStyle w:val="Compact"/>
            </w:pPr>
            <w:r>
              <w:rPr>
                <w:b/>
                <w:color w:val="FFFFFF"/>
                <w:sz w:val="17"/>
              </w:rPr>
              <w:t xml:space="preserve">Statut juridique</w:t>
            </w:r>
          </w:p>
        </w:tc>
        <w:tc>
          <w:tcPr>
            <w:shd w:val="clear" w:color="auto" w:fill="232C6B"/>
          </w:tcPr>
          <w:p>
            <w:pPr>
              <w:pStyle w:val="Compact"/>
            </w:pPr>
            <w:r>
              <w:rPr>
                <w:b/>
                <w:color w:val="FFFFFF"/>
                <w:sz w:val="17"/>
              </w:rPr>
              <w:t xml:space="preserve">Rendement à Kinshasa</w:t>
            </w:r>
          </w:p>
        </w:tc>
      </w:tr>
      <w:tr>
        <w:tc>
          <w:tcPr/>
          <w:p>
            <w:pPr>
              <w:pStyle w:val="Compact"/>
            </w:pPr>
            <w:r>
              <w:rPr>
                <w:b/>
                <w:bCs/>
                <w:sz w:val="17"/>
              </w:rPr>
              <w:t xml:space="preserve">Impôt foncier</w:t>
            </w:r>
            <w:r>
              <w:rPr>
                <w:sz w:val="17"/>
              </w:rPr>
              <w:t xml:space="preserve"> </w:t>
            </w:r>
            <w:r>
              <w:rPr>
                <w:sz w:val="17"/>
              </w:rPr>
              <w:t xml:space="preserve">(bâti et non bâti)</w:t>
            </w:r>
          </w:p>
        </w:tc>
        <w:tc>
          <w:tcPr/>
          <w:p>
            <w:pPr>
              <w:pStyle w:val="Compact"/>
            </w:pPr>
            <w:r>
              <w:rPr>
                <w:sz w:val="17"/>
              </w:rPr>
              <w:t xml:space="preserve">Parcelle, bâtiment ; rang de localité ; superficie ; catégorie de redevable</w:t>
            </w:r>
          </w:p>
        </w:tc>
        <w:tc>
          <w:tcPr/>
          <w:p>
            <w:pPr>
              <w:pStyle w:val="Compact"/>
            </w:pPr>
            <w:r>
              <w:rPr>
                <w:sz w:val="17"/>
              </w:rPr>
              <w:t xml:space="preserve">Propriété ou possession d’un immeuble au 1er janvier [À VÉRIFIER]</w:t>
            </w:r>
          </w:p>
        </w:tc>
        <w:tc>
          <w:tcPr/>
          <w:p>
            <w:pPr>
              <w:pStyle w:val="Compact"/>
            </w:pPr>
            <w:r>
              <w:rPr>
                <w:sz w:val="17"/>
              </w:rPr>
              <w:t xml:space="preserve">DGIPK</w:t>
            </w:r>
          </w:p>
        </w:tc>
        <w:tc>
          <w:tcPr/>
          <w:p>
            <w:pPr>
              <w:pStyle w:val="Compact"/>
            </w:pPr>
            <w:r>
              <w:rPr>
                <w:sz w:val="17"/>
              </w:rPr>
              <w:t xml:space="preserve">Titres fonciers, permis de bâtir, raccordements électricité et eau, déclarations antérieures</w:t>
            </w:r>
          </w:p>
        </w:tc>
        <w:tc>
          <w:tcPr/>
          <w:p>
            <w:pPr>
              <w:pStyle w:val="Compact"/>
            </w:pPr>
            <w:r>
              <w:rPr>
                <w:sz w:val="17"/>
              </w:rPr>
              <w:t xml:space="preserve">Art. 204 pt 16 [CONFIRMÉ] ; barèmes 2026 [À VÉRIFIER]</w:t>
            </w:r>
          </w:p>
        </w:tc>
        <w:tc>
          <w:tcPr/>
          <w:p>
            <w:pPr>
              <w:pStyle w:val="Compact"/>
            </w:pPr>
            <w:r>
              <w:rPr>
                <w:sz w:val="17"/>
              </w:rPr>
              <w:t xml:space="preserve">Élevé ; très grand nombre de petits montants</w:t>
            </w:r>
          </w:p>
        </w:tc>
      </w:tr>
      <w:tr>
        <w:tc>
          <w:tcPr>
            <w:shd w:val="clear" w:color="auto" w:fill="F5F7FB"/>
          </w:tcPr>
          <w:p>
            <w:pPr>
              <w:pStyle w:val="Compact"/>
            </w:pPr>
            <w:r>
              <w:rPr>
                <w:b/>
                <w:bCs/>
                <w:sz w:val="17"/>
              </w:rPr>
              <w:t xml:space="preserve">Impôt sur les revenus locatifs</w:t>
            </w:r>
          </w:p>
        </w:tc>
        <w:tc>
          <w:tcPr>
            <w:shd w:val="clear" w:color="auto" w:fill="F5F7FB"/>
          </w:tcPr>
          <w:p>
            <w:pPr>
              <w:pStyle w:val="Compact"/>
            </w:pPr>
            <w:r>
              <w:rPr>
                <w:sz w:val="17"/>
              </w:rPr>
              <w:t xml:space="preserve">Unité louée, bail, bailleur, locataire, loyer</w:t>
            </w:r>
          </w:p>
        </w:tc>
        <w:tc>
          <w:tcPr>
            <w:shd w:val="clear" w:color="auto" w:fill="F5F7FB"/>
          </w:tcPr>
          <w:p>
            <w:pPr>
              <w:pStyle w:val="Compact"/>
            </w:pPr>
            <w:r>
              <w:rPr>
                <w:sz w:val="17"/>
              </w:rPr>
              <w:t xml:space="preserve">Perception de loyers</w:t>
            </w:r>
          </w:p>
        </w:tc>
        <w:tc>
          <w:tcPr>
            <w:shd w:val="clear" w:color="auto" w:fill="F5F7FB"/>
          </w:tcPr>
          <w:p>
            <w:pPr>
              <w:pStyle w:val="Compact"/>
            </w:pPr>
            <w:r>
              <w:rPr>
                <w:sz w:val="17"/>
              </w:rPr>
              <w:t xml:space="preserve">DGIPK</w:t>
            </w:r>
          </w:p>
        </w:tc>
        <w:tc>
          <w:tcPr>
            <w:shd w:val="clear" w:color="auto" w:fill="F5F7FB"/>
          </w:tcPr>
          <w:p>
            <w:pPr>
              <w:pStyle w:val="Compact"/>
            </w:pPr>
            <w:r>
              <w:rPr>
                <w:sz w:val="17"/>
              </w:rPr>
              <w:t xml:space="preserve">Indemnités de logement en paie, agences, baux d’entreprises, compteurs multiples, annonces</w:t>
            </w:r>
          </w:p>
        </w:tc>
        <w:tc>
          <w:tcPr>
            <w:shd w:val="clear" w:color="auto" w:fill="F5F7FB"/>
          </w:tcPr>
          <w:p>
            <w:pPr>
              <w:pStyle w:val="Compact"/>
            </w:pPr>
            <w:r>
              <w:rPr>
                <w:sz w:val="17"/>
              </w:rPr>
              <w:t xml:space="preserve">Art. 204 pt 16 [CONFIRMÉ] ; taux 22/17 % et retenue 20/15 % [CONFIRMÉ presse, arrêté À VÉRIFIER]</w:t>
            </w:r>
          </w:p>
        </w:tc>
        <w:tc>
          <w:tcPr>
            <w:shd w:val="clear" w:color="auto" w:fill="F5F7FB"/>
          </w:tcPr>
          <w:p>
            <w:pPr>
              <w:pStyle w:val="Compact"/>
            </w:pPr>
            <w:r>
              <w:rPr>
                <w:b/>
                <w:bCs/>
                <w:sz w:val="17"/>
              </w:rPr>
              <w:t xml:space="preserve">Le plus élevé</w:t>
            </w:r>
            <w:r>
              <w:rPr>
                <w:sz w:val="17"/>
              </w:rPr>
              <w:t xml:space="preserve"> </w:t>
            </w:r>
            <w:r>
              <w:rPr>
                <w:sz w:val="17"/>
              </w:rPr>
              <w:t xml:space="preserve">; fortement sous-déclaré</w:t>
            </w:r>
          </w:p>
        </w:tc>
      </w:tr>
      <w:tr>
        <w:tc>
          <w:tcPr/>
          <w:p>
            <w:pPr>
              <w:pStyle w:val="Compact"/>
            </w:pPr>
            <w:r>
              <w:rPr>
                <w:b/>
                <w:bCs/>
                <w:sz w:val="17"/>
              </w:rPr>
              <w:t xml:space="preserve">Impôt sur les véhicules automoteurs</w:t>
            </w:r>
          </w:p>
        </w:tc>
        <w:tc>
          <w:tcPr/>
          <w:p>
            <w:pPr>
              <w:pStyle w:val="Compact"/>
            </w:pPr>
            <w:r>
              <w:rPr>
                <w:sz w:val="17"/>
              </w:rPr>
              <w:t xml:space="preserve">Véhicule, plaque, catégorie, puissance, usage</w:t>
            </w:r>
          </w:p>
        </w:tc>
        <w:tc>
          <w:tcPr/>
          <w:p>
            <w:pPr>
              <w:pStyle w:val="Compact"/>
            </w:pPr>
            <w:r>
              <w:rPr>
                <w:sz w:val="17"/>
              </w:rPr>
              <w:t xml:space="preserve">Détention d’un véhicule immatriculé [À VÉRIFIER]</w:t>
            </w:r>
          </w:p>
        </w:tc>
        <w:tc>
          <w:tcPr/>
          <w:p>
            <w:pPr>
              <w:pStyle w:val="Compact"/>
            </w:pPr>
            <w:r>
              <w:rPr>
                <w:sz w:val="17"/>
              </w:rPr>
              <w:t xml:space="preserve">DGIPK</w:t>
            </w:r>
          </w:p>
        </w:tc>
        <w:tc>
          <w:tcPr/>
          <w:p>
            <w:pPr>
              <w:pStyle w:val="Compact"/>
            </w:pPr>
            <w:r>
              <w:rPr>
                <w:sz w:val="17"/>
              </w:rPr>
              <w:t xml:space="preserve">Fichier des immatriculations, assurances, mutations, contrôles routiers</w:t>
            </w:r>
          </w:p>
        </w:tc>
        <w:tc>
          <w:tcPr/>
          <w:p>
            <w:pPr>
              <w:pStyle w:val="Compact"/>
            </w:pPr>
            <w:r>
              <w:rPr>
                <w:sz w:val="17"/>
              </w:rPr>
              <w:t xml:space="preserve">Art. 204 pt 16 [CONFIRMÉ] ; barèmes [À VÉRIFIER]</w:t>
            </w:r>
          </w:p>
        </w:tc>
        <w:tc>
          <w:tcPr/>
          <w:p>
            <w:pPr>
              <w:pStyle w:val="Compact"/>
            </w:pPr>
            <w:r>
              <w:rPr>
                <w:sz w:val="17"/>
              </w:rPr>
              <w:t xml:space="preserve">Élevé</w:t>
            </w:r>
          </w:p>
        </w:tc>
      </w:tr>
      <w:tr>
        <w:tc>
          <w:tcPr>
            <w:shd w:val="clear" w:color="auto" w:fill="F5F7FB"/>
          </w:tcPr>
          <w:p>
            <w:pPr>
              <w:pStyle w:val="Compact"/>
            </w:pPr>
            <w:r>
              <w:rPr>
                <w:b/>
                <w:bCs/>
                <w:sz w:val="17"/>
              </w:rPr>
              <w:t xml:space="preserve">Impôt sur la superficie des concessions minières</w:t>
            </w:r>
            <w:r>
              <w:rPr>
                <w:sz w:val="17"/>
              </w:rPr>
              <w:t xml:space="preserve"> </w:t>
            </w:r>
            <w:r>
              <w:rPr>
                <w:sz w:val="17"/>
              </w:rPr>
              <w:t xml:space="preserve">(et d’hydrocarbures [À VÉRIFIER])</w:t>
            </w:r>
          </w:p>
        </w:tc>
        <w:tc>
          <w:tcPr>
            <w:shd w:val="clear" w:color="auto" w:fill="F5F7FB"/>
          </w:tcPr>
          <w:p>
            <w:pPr>
              <w:pStyle w:val="Compact"/>
            </w:pPr>
            <w:r>
              <w:rPr>
                <w:sz w:val="17"/>
              </w:rPr>
              <w:t xml:space="preserve">Concession, superficie, titulaire</w:t>
            </w:r>
          </w:p>
        </w:tc>
        <w:tc>
          <w:tcPr>
            <w:shd w:val="clear" w:color="auto" w:fill="F5F7FB"/>
          </w:tcPr>
          <w:p>
            <w:pPr>
              <w:pStyle w:val="Compact"/>
            </w:pPr>
            <w:r>
              <w:rPr>
                <w:sz w:val="17"/>
              </w:rPr>
              <w:t xml:space="preserve">Détention d’un titre</w:t>
            </w:r>
          </w:p>
        </w:tc>
        <w:tc>
          <w:tcPr>
            <w:shd w:val="clear" w:color="auto" w:fill="F5F7FB"/>
          </w:tcPr>
          <w:p>
            <w:pPr>
              <w:pStyle w:val="Compact"/>
            </w:pPr>
            <w:r>
              <w:rPr>
                <w:sz w:val="17"/>
              </w:rPr>
              <w:t xml:space="preserve">DGIPK</w:t>
            </w:r>
          </w:p>
        </w:tc>
        <w:tc>
          <w:tcPr>
            <w:shd w:val="clear" w:color="auto" w:fill="F5F7FB"/>
          </w:tcPr>
          <w:p>
            <w:pPr>
              <w:pStyle w:val="Compact"/>
            </w:pPr>
            <w:r>
              <w:rPr>
                <w:sz w:val="17"/>
              </w:rPr>
              <w:t xml:space="preserve">Cadastre minier</w:t>
            </w:r>
          </w:p>
        </w:tc>
        <w:tc>
          <w:tcPr>
            <w:shd w:val="clear" w:color="auto" w:fill="F5F7FB"/>
          </w:tcPr>
          <w:p>
            <w:pPr>
              <w:pStyle w:val="Compact"/>
            </w:pPr>
            <w:r>
              <w:rPr>
                <w:sz w:val="17"/>
              </w:rPr>
              <w:t xml:space="preserve">OL 18/004 [CONFIRMÉ pour les concessions minières]</w:t>
            </w:r>
          </w:p>
        </w:tc>
        <w:tc>
          <w:tcPr>
            <w:shd w:val="clear" w:color="auto" w:fill="F5F7FB"/>
          </w:tcPr>
          <w:p>
            <w:pPr>
              <w:pStyle w:val="Compact"/>
            </w:pPr>
            <w:r>
              <w:rPr>
                <w:sz w:val="17"/>
              </w:rPr>
              <w:t xml:space="preserve">Faible à Kinshasa</w:t>
            </w:r>
          </w:p>
        </w:tc>
      </w:tr>
    </w:tbl>
    <w:bookmarkEnd w:id="61"/>
    <w:bookmarkStart w:id="62" w:name="X649e66ca132d00b12696edefd51c519315c1f52"/>
    <w:p>
      <w:pPr>
        <w:pStyle w:val="Heading2"/>
      </w:pPr>
      <w:r>
        <w:t xml:space="preserve">7.2 Taxes d’intérêt commun (liste à confirmer sur l’OL 18/004)</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584"/>
        <w:gridCol w:w="1584"/>
        <w:gridCol w:w="1584"/>
        <w:gridCol w:w="1584"/>
        <w:gridCol w:w="1584"/>
      </w:tblGrid>
      <w:tr>
        <w:trPr>
          <w:tblHeader w:val="on"/>
        </w:trPr>
        <w:tc>
          <w:tcPr>
            <w:shd w:val="clear" w:color="auto" w:fill="232C6B"/>
          </w:tcPr>
          <w:p>
            <w:pPr>
              <w:pStyle w:val="Compact"/>
            </w:pPr>
            <w:r>
              <w:rPr>
                <w:b/>
                <w:color w:val="FFFFFF"/>
                <w:sz w:val="17"/>
              </w:rPr>
              <w:t xml:space="preserve">Recette</w:t>
            </w:r>
          </w:p>
        </w:tc>
        <w:tc>
          <w:tcPr>
            <w:shd w:val="clear" w:color="auto" w:fill="232C6B"/>
          </w:tcPr>
          <w:p>
            <w:pPr>
              <w:pStyle w:val="Compact"/>
            </w:pPr>
            <w:r>
              <w:rPr>
                <w:b/>
                <w:color w:val="FFFFFF"/>
                <w:sz w:val="17"/>
              </w:rPr>
              <w:t xml:space="preserve">Objet</w:t>
            </w:r>
          </w:p>
        </w:tc>
        <w:tc>
          <w:tcPr>
            <w:shd w:val="clear" w:color="auto" w:fill="232C6B"/>
          </w:tcPr>
          <w:p>
            <w:pPr>
              <w:pStyle w:val="Compact"/>
            </w:pPr>
            <w:r>
              <w:rPr>
                <w:b/>
                <w:color w:val="FFFFFF"/>
                <w:sz w:val="17"/>
              </w:rPr>
              <w:t xml:space="preserve">Mécanisme de capture</w:t>
            </w:r>
          </w:p>
        </w:tc>
        <w:tc>
          <w:tcPr>
            <w:shd w:val="clear" w:color="auto" w:fill="232C6B"/>
          </w:tcPr>
          <w:p>
            <w:pPr>
              <w:pStyle w:val="Compact"/>
            </w:pPr>
            <w:r>
              <w:rPr>
                <w:b/>
                <w:color w:val="FFFFFF"/>
                <w:sz w:val="17"/>
              </w:rPr>
              <w:t xml:space="preserve">Point de vigilance</w:t>
            </w:r>
          </w:p>
        </w:tc>
        <w:tc>
          <w:tcPr>
            <w:shd w:val="clear" w:color="auto" w:fill="232C6B"/>
          </w:tcPr>
          <w:p>
            <w:pPr>
              <w:pStyle w:val="Compact"/>
            </w:pPr>
            <w:r>
              <w:rPr>
                <w:b/>
                <w:color w:val="FFFFFF"/>
                <w:sz w:val="17"/>
              </w:rPr>
              <w:t xml:space="preserve">Rendement</w:t>
            </w:r>
          </w:p>
        </w:tc>
      </w:tr>
      <w:tr>
        <w:tc>
          <w:tcPr/>
          <w:p>
            <w:pPr>
              <w:pStyle w:val="Compact"/>
            </w:pPr>
            <w:r>
              <w:rPr>
                <w:sz w:val="17"/>
              </w:rPr>
              <w:t xml:space="preserve">Taxe spéciale de circulation routière</w:t>
            </w:r>
          </w:p>
        </w:tc>
        <w:tc>
          <w:tcPr/>
          <w:p>
            <w:pPr>
              <w:pStyle w:val="Compact"/>
            </w:pPr>
            <w:r>
              <w:rPr>
                <w:sz w:val="17"/>
              </w:rPr>
              <w:t xml:space="preserve">Véhicule</w:t>
            </w:r>
          </w:p>
        </w:tc>
        <w:tc>
          <w:tcPr/>
          <w:p>
            <w:pPr>
              <w:pStyle w:val="Compact"/>
            </w:pPr>
            <w:r>
              <w:rPr>
                <w:sz w:val="17"/>
              </w:rPr>
              <w:t xml:space="preserve">Même objet et même scan que l’impôt sur les véhicules</w:t>
            </w:r>
          </w:p>
        </w:tc>
        <w:tc>
          <w:tcPr/>
          <w:p>
            <w:pPr>
              <w:pStyle w:val="Compact"/>
            </w:pPr>
            <w:r>
              <w:rPr>
                <w:sz w:val="17"/>
              </w:rPr>
              <w:t xml:space="preserve">Clé de répartition [À VÉRIFIER]</w:t>
            </w:r>
          </w:p>
        </w:tc>
        <w:tc>
          <w:tcPr/>
          <w:p>
            <w:pPr>
              <w:pStyle w:val="Compact"/>
            </w:pPr>
            <w:r>
              <w:rPr>
                <w:sz w:val="17"/>
              </w:rPr>
              <w:t xml:space="preserve">Moyen à élevé</w:t>
            </w:r>
          </w:p>
        </w:tc>
      </w:tr>
      <w:tr>
        <w:tc>
          <w:tcPr>
            <w:shd w:val="clear" w:color="auto" w:fill="F5F7FB"/>
          </w:tcPr>
          <w:p>
            <w:pPr>
              <w:pStyle w:val="Compact"/>
            </w:pPr>
            <w:r>
              <w:rPr>
                <w:sz w:val="17"/>
              </w:rPr>
              <w:t xml:space="preserve">Taxe annuelle pour la délivrance de la patente</w:t>
            </w:r>
          </w:p>
        </w:tc>
        <w:tc>
          <w:tcPr>
            <w:shd w:val="clear" w:color="auto" w:fill="F5F7FB"/>
          </w:tcPr>
          <w:p>
            <w:pPr>
              <w:pStyle w:val="Compact"/>
            </w:pPr>
            <w:r>
              <w:rPr>
                <w:sz w:val="17"/>
              </w:rPr>
              <w:t xml:space="preserve">Activité, établissement, étal</w:t>
            </w:r>
          </w:p>
        </w:tc>
        <w:tc>
          <w:tcPr>
            <w:shd w:val="clear" w:color="auto" w:fill="F5F7FB"/>
          </w:tcPr>
          <w:p>
            <w:pPr>
              <w:pStyle w:val="Compact"/>
            </w:pPr>
            <w:r>
              <w:rPr>
                <w:sz w:val="17"/>
              </w:rPr>
              <w:t xml:space="preserve">Recensement par marché et par rue ; code marchand de monnaie mobile ; vignette QR sur devanture</w:t>
            </w:r>
          </w:p>
        </w:tc>
        <w:tc>
          <w:tcPr>
            <w:shd w:val="clear" w:color="auto" w:fill="F5F7FB"/>
          </w:tcPr>
          <w:p>
            <w:pPr>
              <w:pStyle w:val="Compact"/>
            </w:pPr>
            <w:r>
              <w:rPr>
                <w:sz w:val="17"/>
              </w:rPr>
              <w:t xml:space="preserve">Ne pas confondre existence d’une activité et assujettissement (seuils, régimes)</w:t>
            </w:r>
          </w:p>
        </w:tc>
        <w:tc>
          <w:tcPr>
            <w:shd w:val="clear" w:color="auto" w:fill="F5F7FB"/>
          </w:tcPr>
          <w:p>
            <w:pPr>
              <w:pStyle w:val="Compact"/>
            </w:pPr>
            <w:r>
              <w:rPr>
                <w:sz w:val="17"/>
              </w:rPr>
              <w:t xml:space="preserve">Volume élevé, ticket faible</w:t>
            </w:r>
          </w:p>
        </w:tc>
      </w:tr>
      <w:tr>
        <w:tc>
          <w:tcPr/>
          <w:p>
            <w:pPr>
              <w:pStyle w:val="Compact"/>
            </w:pPr>
            <w:r>
              <w:rPr>
                <w:sz w:val="17"/>
              </w:rPr>
              <w:t xml:space="preserve">Taxes de consommation sur bière, alcools, spiritueux et tabac</w:t>
            </w:r>
          </w:p>
        </w:tc>
        <w:tc>
          <w:tcPr/>
          <w:p>
            <w:pPr>
              <w:pStyle w:val="Compact"/>
            </w:pPr>
            <w:r>
              <w:rPr>
                <w:sz w:val="17"/>
              </w:rPr>
              <w:t xml:space="preserve">Producteur, importateur, volumes</w:t>
            </w:r>
          </w:p>
        </w:tc>
        <w:tc>
          <w:tcPr/>
          <w:p>
            <w:pPr>
              <w:pStyle w:val="Compact"/>
            </w:pPr>
            <w:r>
              <w:rPr>
                <w:sz w:val="17"/>
              </w:rPr>
              <w:t xml:space="preserve">Cellule grands redevables : déclaration mensuelle de volumes rapprochée des données d’accises et de facturation</w:t>
            </w:r>
          </w:p>
        </w:tc>
        <w:tc>
          <w:tcPr/>
          <w:p>
            <w:pPr>
              <w:pStyle w:val="Compact"/>
            </w:pPr>
            <w:r>
              <w:rPr>
                <w:sz w:val="17"/>
              </w:rPr>
              <w:t xml:space="preserve">Articulation avec les droits d’accises centraux ; peu de redevables, enjeux élevés</w:t>
            </w:r>
          </w:p>
        </w:tc>
        <w:tc>
          <w:tcPr/>
          <w:p>
            <w:pPr>
              <w:pStyle w:val="Compact"/>
            </w:pPr>
            <w:r>
              <w:rPr>
                <w:sz w:val="17"/>
              </w:rPr>
              <w:t xml:space="preserve">Très élevé, très peu de redevables</w:t>
            </w:r>
          </w:p>
        </w:tc>
      </w:tr>
      <w:tr>
        <w:tc>
          <w:tcPr>
            <w:shd w:val="clear" w:color="auto" w:fill="F5F7FB"/>
          </w:tcPr>
          <w:p>
            <w:pPr>
              <w:pStyle w:val="Compact"/>
            </w:pPr>
            <w:r>
              <w:rPr>
                <w:sz w:val="17"/>
              </w:rPr>
              <w:t xml:space="preserve">Taxe de superficie sur les concessions forestières</w:t>
            </w:r>
          </w:p>
        </w:tc>
        <w:tc>
          <w:tcPr>
            <w:shd w:val="clear" w:color="auto" w:fill="F5F7FB"/>
          </w:tcPr>
          <w:p>
            <w:pPr>
              <w:pStyle w:val="Compact"/>
            </w:pPr>
            <w:r>
              <w:rPr>
                <w:sz w:val="17"/>
              </w:rPr>
              <w:t xml:space="preserve">Concession</w:t>
            </w:r>
          </w:p>
        </w:tc>
        <w:tc>
          <w:tcPr>
            <w:shd w:val="clear" w:color="auto" w:fill="F5F7FB"/>
          </w:tcPr>
          <w:p>
            <w:pPr>
              <w:pStyle w:val="Compact"/>
            </w:pPr>
            <w:r>
              <w:rPr>
                <w:sz w:val="17"/>
              </w:rPr>
              <w:t xml:space="preserve">Liquidation sur la superficie du titre</w:t>
            </w:r>
          </w:p>
        </w:tc>
        <w:tc>
          <w:tcPr>
            <w:shd w:val="clear" w:color="auto" w:fill="F5F7FB"/>
          </w:tcPr>
          <w:p>
            <w:pPr>
              <w:pStyle w:val="Compact"/>
            </w:pPr>
            <w:r>
              <w:rPr>
                <w:sz w:val="17"/>
              </w:rPr>
              <w:t xml:space="preserve">Données du ministère de l’Environnement</w:t>
            </w:r>
          </w:p>
        </w:tc>
        <w:tc>
          <w:tcPr>
            <w:shd w:val="clear" w:color="auto" w:fill="F5F7FB"/>
          </w:tcPr>
          <w:p>
            <w:pPr>
              <w:pStyle w:val="Compact"/>
            </w:pPr>
            <w:r>
              <w:rPr>
                <w:sz w:val="17"/>
              </w:rPr>
              <w:t xml:space="preserve">Faible à Kinshasa</w:t>
            </w:r>
          </w:p>
        </w:tc>
      </w:tr>
      <w:tr>
        <w:tc>
          <w:tcPr/>
          <w:p>
            <w:pPr>
              <w:pStyle w:val="Compact"/>
            </w:pPr>
            <w:r>
              <w:rPr>
                <w:sz w:val="17"/>
              </w:rPr>
              <w:t xml:space="preserve">Taxe de superficie sur les concessions minières</w:t>
            </w:r>
          </w:p>
        </w:tc>
        <w:tc>
          <w:tcPr/>
          <w:p>
            <w:pPr>
              <w:pStyle w:val="Compact"/>
            </w:pPr>
            <w:r>
              <w:rPr>
                <w:sz w:val="17"/>
              </w:rPr>
              <w:t xml:space="preserve">Concession</w:t>
            </w:r>
          </w:p>
        </w:tc>
        <w:tc>
          <w:tcPr/>
          <w:p>
            <w:pPr>
              <w:pStyle w:val="Compact"/>
            </w:pPr>
            <w:r>
              <w:rPr>
                <w:sz w:val="17"/>
              </w:rPr>
              <w:t xml:space="preserve">Idem</w:t>
            </w:r>
          </w:p>
        </w:tc>
        <w:tc>
          <w:tcPr/>
          <w:p>
            <w:pPr>
              <w:pStyle w:val="Compact"/>
            </w:pPr>
            <w:r>
              <w:rPr>
                <w:sz w:val="17"/>
              </w:rPr>
              <w:t xml:space="preserve">Cadastre minier</w:t>
            </w:r>
          </w:p>
        </w:tc>
        <w:tc>
          <w:tcPr/>
          <w:p>
            <w:pPr>
              <w:pStyle w:val="Compact"/>
            </w:pPr>
            <w:r>
              <w:rPr>
                <w:sz w:val="17"/>
              </w:rPr>
              <w:t xml:space="preserve">Faible</w:t>
            </w:r>
          </w:p>
        </w:tc>
      </w:tr>
      <w:tr>
        <w:tc>
          <w:tcPr>
            <w:shd w:val="clear" w:color="auto" w:fill="F5F7FB"/>
          </w:tcPr>
          <w:p>
            <w:pPr>
              <w:pStyle w:val="Compact"/>
            </w:pPr>
            <w:r>
              <w:rPr>
                <w:sz w:val="17"/>
              </w:rPr>
              <w:t xml:space="preserve">Taxe sur les ventes de matières précieuses de production artisanale (or, diamant)</w:t>
            </w:r>
          </w:p>
        </w:tc>
        <w:tc>
          <w:tcPr>
            <w:shd w:val="clear" w:color="auto" w:fill="F5F7FB"/>
          </w:tcPr>
          <w:p>
            <w:pPr>
              <w:pStyle w:val="Compact"/>
            </w:pPr>
            <w:r>
              <w:rPr>
                <w:sz w:val="17"/>
              </w:rPr>
              <w:t xml:space="preserve">Comptoir, négociant, transaction</w:t>
            </w:r>
          </w:p>
        </w:tc>
        <w:tc>
          <w:tcPr>
            <w:shd w:val="clear" w:color="auto" w:fill="F5F7FB"/>
          </w:tcPr>
          <w:p>
            <w:pPr>
              <w:pStyle w:val="Compact"/>
            </w:pPr>
            <w:r>
              <w:rPr>
                <w:sz w:val="17"/>
              </w:rPr>
              <w:t xml:space="preserve">Déclaration par transaction des comptoirs agréés</w:t>
            </w:r>
          </w:p>
        </w:tc>
        <w:tc>
          <w:tcPr>
            <w:shd w:val="clear" w:color="auto" w:fill="F5F7FB"/>
          </w:tcPr>
          <w:p>
            <w:pPr>
              <w:pStyle w:val="Compact"/>
            </w:pPr>
            <w:r>
              <w:rPr>
                <w:sz w:val="17"/>
              </w:rPr>
              <w:t xml:space="preserve">Coordination avec les services des mines</w:t>
            </w:r>
          </w:p>
        </w:tc>
        <w:tc>
          <w:tcPr>
            <w:shd w:val="clear" w:color="auto" w:fill="F5F7FB"/>
          </w:tcPr>
          <w:p>
            <w:pPr>
              <w:pStyle w:val="Compact"/>
            </w:pPr>
            <w:r>
              <w:rPr>
                <w:sz w:val="17"/>
              </w:rPr>
              <w:t xml:space="preserve">Faible à Kinshasa, sauf comptoirs</w:t>
            </w:r>
          </w:p>
        </w:tc>
      </w:tr>
    </w:tbl>
    <w:bookmarkEnd w:id="62"/>
    <w:bookmarkStart w:id="63" w:name="X4505a71eb6df2c8457a6068d3e145cc0cb22395"/>
    <w:p>
      <w:pPr>
        <w:pStyle w:val="Heading2"/>
      </w:pPr>
      <w:r>
        <w:t xml:space="preserve">7.3 Taxes, droits et redevances propres à la province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584"/>
        <w:gridCol w:w="1584"/>
        <w:gridCol w:w="1584"/>
        <w:gridCol w:w="1584"/>
        <w:gridCol w:w="1584"/>
      </w:tblGrid>
      <w:tr>
        <w:trPr>
          <w:tblHeader w:val="on"/>
        </w:trPr>
        <w:tc>
          <w:tcPr>
            <w:shd w:val="clear" w:color="auto" w:fill="232C6B"/>
          </w:tcPr>
          <w:p>
            <w:pPr>
              <w:pStyle w:val="Compact"/>
            </w:pPr>
            <w:r>
              <w:rPr>
                <w:b/>
                <w:color w:val="FFFFFF"/>
                <w:sz w:val="17"/>
              </w:rPr>
              <w:t xml:space="preserve">Recette</w:t>
            </w:r>
          </w:p>
        </w:tc>
        <w:tc>
          <w:tcPr>
            <w:shd w:val="clear" w:color="auto" w:fill="232C6B"/>
          </w:tcPr>
          <w:p>
            <w:pPr>
              <w:pStyle w:val="Compact"/>
            </w:pPr>
            <w:r>
              <w:rPr>
                <w:b/>
                <w:color w:val="FFFFFF"/>
                <w:sz w:val="17"/>
              </w:rPr>
              <w:t xml:space="preserve">Objet</w:t>
            </w:r>
          </w:p>
        </w:tc>
        <w:tc>
          <w:tcPr>
            <w:shd w:val="clear" w:color="auto" w:fill="232C6B"/>
          </w:tcPr>
          <w:p>
            <w:pPr>
              <w:pStyle w:val="Compact"/>
            </w:pPr>
            <w:r>
              <w:rPr>
                <w:b/>
                <w:color w:val="FFFFFF"/>
                <w:sz w:val="17"/>
              </w:rPr>
              <w:t xml:space="preserve">Mécanisme de capture</w:t>
            </w:r>
          </w:p>
        </w:tc>
        <w:tc>
          <w:tcPr>
            <w:shd w:val="clear" w:color="auto" w:fill="232C6B"/>
          </w:tcPr>
          <w:p>
            <w:pPr>
              <w:pStyle w:val="Compact"/>
            </w:pPr>
            <w:r>
              <w:rPr>
                <w:b/>
                <w:color w:val="FFFFFF"/>
                <w:sz w:val="17"/>
              </w:rPr>
              <w:t xml:space="preserve">Titre délivré</w:t>
            </w:r>
          </w:p>
        </w:tc>
        <w:tc>
          <w:tcPr>
            <w:shd w:val="clear" w:color="auto" w:fill="232C6B"/>
          </w:tcPr>
          <w:p>
            <w:pPr>
              <w:pStyle w:val="Compact"/>
            </w:pPr>
            <w:r>
              <w:rPr>
                <w:b/>
                <w:color w:val="FFFFFF"/>
                <w:sz w:val="17"/>
              </w:rPr>
              <w:t xml:space="preserve">Rendement</w:t>
            </w:r>
          </w:p>
        </w:tc>
      </w:tr>
      <w:tr>
        <w:tc>
          <w:tcPr/>
          <w:p>
            <w:pPr>
              <w:pStyle w:val="Compact"/>
            </w:pPr>
            <w:r>
              <w:rPr>
                <w:sz w:val="17"/>
              </w:rPr>
              <w:t xml:space="preserve">Autorisation de transport (personnes, marchandises)</w:t>
            </w:r>
          </w:p>
        </w:tc>
        <w:tc>
          <w:tcPr/>
          <w:p>
            <w:pPr>
              <w:pStyle w:val="Compact"/>
            </w:pPr>
            <w:r>
              <w:rPr>
                <w:sz w:val="17"/>
              </w:rPr>
              <w:t xml:space="preserve">Véhicule de transport, opérateur</w:t>
            </w:r>
          </w:p>
        </w:tc>
        <w:tc>
          <w:tcPr/>
          <w:p>
            <w:pPr>
              <w:pStyle w:val="Compact"/>
            </w:pPr>
            <w:r>
              <w:rPr>
                <w:sz w:val="17"/>
              </w:rPr>
              <w:t xml:space="preserve">Autorisation rattachée à l’objet véhicule, contrôle par plaque</w:t>
            </w:r>
          </w:p>
        </w:tc>
        <w:tc>
          <w:tcPr/>
          <w:p>
            <w:pPr>
              <w:pStyle w:val="Compact"/>
            </w:pPr>
            <w:r>
              <w:rPr>
                <w:sz w:val="17"/>
              </w:rPr>
              <w:t xml:space="preserve">Titre annuel ou périodique (module 70)</w:t>
            </w:r>
          </w:p>
        </w:tc>
        <w:tc>
          <w:tcPr/>
          <w:p>
            <w:pPr>
              <w:pStyle w:val="Compact"/>
            </w:pPr>
            <w:r>
              <w:rPr>
                <w:sz w:val="17"/>
              </w:rPr>
              <w:t xml:space="preserve">Moyen</w:t>
            </w:r>
          </w:p>
        </w:tc>
      </w:tr>
      <w:tr>
        <w:tc>
          <w:tcPr>
            <w:shd w:val="clear" w:color="auto" w:fill="F5F7FB"/>
          </w:tcPr>
          <w:p>
            <w:pPr>
              <w:pStyle w:val="Compact"/>
            </w:pPr>
            <w:r>
              <w:rPr>
                <w:sz w:val="17"/>
              </w:rPr>
              <w:t xml:space="preserve">Embarquement et débarquement (routier, fluvial)</w:t>
            </w:r>
          </w:p>
        </w:tc>
        <w:tc>
          <w:tcPr>
            <w:shd w:val="clear" w:color="auto" w:fill="F5F7FB"/>
          </w:tcPr>
          <w:p>
            <w:pPr>
              <w:pStyle w:val="Compact"/>
            </w:pPr>
            <w:r>
              <w:rPr>
                <w:sz w:val="17"/>
              </w:rPr>
              <w:t xml:space="preserve">Point d’embarquement, embarcation, véhicule</w:t>
            </w:r>
          </w:p>
        </w:tc>
        <w:tc>
          <w:tcPr>
            <w:shd w:val="clear" w:color="auto" w:fill="F5F7FB"/>
          </w:tcPr>
          <w:p>
            <w:pPr>
              <w:pStyle w:val="Compact"/>
            </w:pPr>
            <w:r>
              <w:rPr>
                <w:sz w:val="17"/>
              </w:rPr>
              <w:t xml:space="preserve">Paiement mobile au point de départ ; comptage croisé</w:t>
            </w:r>
          </w:p>
        </w:tc>
        <w:tc>
          <w:tcPr>
            <w:shd w:val="clear" w:color="auto" w:fill="F5F7FB"/>
          </w:tcPr>
          <w:p>
            <w:pPr>
              <w:pStyle w:val="Compact"/>
            </w:pPr>
            <w:r>
              <w:rPr>
                <w:sz w:val="17"/>
              </w:rPr>
              <w:t xml:space="preserve">Titre par voyage ou périodique</w:t>
            </w:r>
          </w:p>
        </w:tc>
        <w:tc>
          <w:tcPr>
            <w:shd w:val="clear" w:color="auto" w:fill="F5F7FB"/>
          </w:tcPr>
          <w:p>
            <w:pPr>
              <w:pStyle w:val="Compact"/>
            </w:pPr>
            <w:r>
              <w:rPr>
                <w:sz w:val="17"/>
              </w:rPr>
              <w:t xml:space="preserve">Moyen</w:t>
            </w:r>
          </w:p>
        </w:tc>
      </w:tr>
      <w:tr>
        <w:tc>
          <w:tcPr/>
          <w:p>
            <w:pPr>
              <w:pStyle w:val="Compact"/>
            </w:pPr>
            <w:r>
              <w:rPr>
                <w:sz w:val="17"/>
              </w:rPr>
              <w:t xml:space="preserve">Publicité extérieure</w:t>
            </w:r>
          </w:p>
        </w:tc>
        <w:tc>
          <w:tcPr/>
          <w:p>
            <w:pPr>
              <w:pStyle w:val="Compact"/>
            </w:pPr>
            <w:r>
              <w:rPr>
                <w:sz w:val="17"/>
              </w:rPr>
              <w:t xml:space="preserve">Support, face, surface, emplacement</w:t>
            </w:r>
          </w:p>
        </w:tc>
        <w:tc>
          <w:tcPr/>
          <w:p>
            <w:pPr>
              <w:pStyle w:val="Compact"/>
            </w:pPr>
            <w:r>
              <w:rPr>
                <w:sz w:val="17"/>
              </w:rPr>
              <w:t xml:space="preserve">Identifiant géofiscal et plaque QR par support ; tout support sans plaque est présumé non enregistré</w:t>
            </w:r>
          </w:p>
        </w:tc>
        <w:tc>
          <w:tcPr/>
          <w:p>
            <w:pPr>
              <w:pStyle w:val="Compact"/>
            </w:pPr>
            <w:r>
              <w:rPr>
                <w:sz w:val="17"/>
              </w:rPr>
              <w:t xml:space="preserve">Autorisation annuelle</w:t>
            </w:r>
          </w:p>
        </w:tc>
        <w:tc>
          <w:tcPr/>
          <w:p>
            <w:pPr>
              <w:pStyle w:val="Compact"/>
            </w:pPr>
            <w:r>
              <w:rPr>
                <w:sz w:val="17"/>
              </w:rPr>
              <w:t xml:space="preserve">Élevé</w:t>
            </w:r>
          </w:p>
        </w:tc>
      </w:tr>
      <w:tr>
        <w:tc>
          <w:tcPr>
            <w:shd w:val="clear" w:color="auto" w:fill="F5F7FB"/>
          </w:tcPr>
          <w:p>
            <w:pPr>
              <w:pStyle w:val="Compact"/>
            </w:pPr>
            <w:r>
              <w:rPr>
                <w:sz w:val="17"/>
              </w:rPr>
              <w:t xml:space="preserve">Antennes de télécommunications</w:t>
            </w:r>
          </w:p>
        </w:tc>
        <w:tc>
          <w:tcPr>
            <w:shd w:val="clear" w:color="auto" w:fill="F5F7FB"/>
          </w:tcPr>
          <w:p>
            <w:pPr>
              <w:pStyle w:val="Compact"/>
            </w:pPr>
            <w:r>
              <w:rPr>
                <w:sz w:val="17"/>
              </w:rPr>
              <w:t xml:space="preserve">Site, pylône, opérateur</w:t>
            </w:r>
          </w:p>
        </w:tc>
        <w:tc>
          <w:tcPr>
            <w:shd w:val="clear" w:color="auto" w:fill="F5F7FB"/>
          </w:tcPr>
          <w:p>
            <w:pPr>
              <w:pStyle w:val="Compact"/>
            </w:pPr>
            <w:r>
              <w:rPr>
                <w:sz w:val="17"/>
              </w:rPr>
              <w:t xml:space="preserve">Listes de sites des opérateurs ; liquidation annuelle</w:t>
            </w:r>
          </w:p>
        </w:tc>
        <w:tc>
          <w:tcPr>
            <w:shd w:val="clear" w:color="auto" w:fill="F5F7FB"/>
          </w:tcPr>
          <w:p>
            <w:pPr>
              <w:pStyle w:val="Compact"/>
            </w:pPr>
            <w:r>
              <w:rPr>
                <w:sz w:val="17"/>
              </w:rPr>
              <w:t xml:space="preserve">Avis annuel</w:t>
            </w:r>
          </w:p>
        </w:tc>
        <w:tc>
          <w:tcPr>
            <w:shd w:val="clear" w:color="auto" w:fill="F5F7FB"/>
          </w:tcPr>
          <w:p>
            <w:pPr>
              <w:pStyle w:val="Compact"/>
            </w:pPr>
            <w:r>
              <w:rPr>
                <w:sz w:val="17"/>
              </w:rPr>
              <w:t xml:space="preserve">Élevé ; risque de contentieux</w:t>
            </w:r>
          </w:p>
        </w:tc>
      </w:tr>
      <w:tr>
        <w:tc>
          <w:tcPr/>
          <w:p>
            <w:pPr>
              <w:pStyle w:val="Compact"/>
            </w:pPr>
            <w:r>
              <w:rPr>
                <w:sz w:val="17"/>
              </w:rPr>
              <w:t xml:space="preserve">Entretien de la voirie et drainage</w:t>
            </w:r>
          </w:p>
        </w:tc>
        <w:tc>
          <w:tcPr/>
          <w:p>
            <w:pPr>
              <w:pStyle w:val="Compact"/>
            </w:pPr>
            <w:r>
              <w:rPr>
                <w:sz w:val="17"/>
              </w:rPr>
              <w:t xml:space="preserve">Parcelle, activité, véhicule selon texte</w:t>
            </w:r>
          </w:p>
        </w:tc>
        <w:tc>
          <w:tcPr/>
          <w:p>
            <w:pPr>
              <w:pStyle w:val="Compact"/>
            </w:pPr>
            <w:r>
              <w:rPr>
                <w:sz w:val="17"/>
              </w:rPr>
              <w:t xml:space="preserve">Adossé aux objets existants</w:t>
            </w:r>
          </w:p>
        </w:tc>
        <w:tc>
          <w:tcPr/>
          <w:p>
            <w:pPr>
              <w:pStyle w:val="Compact"/>
            </w:pPr>
            <w:r>
              <w:rPr>
                <w:sz w:val="17"/>
              </w:rPr>
              <w:t xml:space="preserve">Selon texte</w:t>
            </w:r>
          </w:p>
        </w:tc>
        <w:tc>
          <w:tcPr/>
          <w:p>
            <w:pPr>
              <w:pStyle w:val="Compact"/>
            </w:pPr>
            <w:r>
              <w:rPr>
                <w:sz w:val="17"/>
              </w:rPr>
              <w:t xml:space="preserve">Moyen</w:t>
            </w:r>
          </w:p>
        </w:tc>
      </w:tr>
      <w:tr>
        <w:tc>
          <w:tcPr>
            <w:shd w:val="clear" w:color="auto" w:fill="F5F7FB"/>
          </w:tcPr>
          <w:p>
            <w:pPr>
              <w:pStyle w:val="Compact"/>
            </w:pPr>
            <w:r>
              <w:rPr>
                <w:sz w:val="17"/>
              </w:rPr>
              <w:t xml:space="preserve">Assainissement</w:t>
            </w:r>
          </w:p>
        </w:tc>
        <w:tc>
          <w:tcPr>
            <w:shd w:val="clear" w:color="auto" w:fill="F5F7FB"/>
          </w:tcPr>
          <w:p>
            <w:pPr>
              <w:pStyle w:val="Compact"/>
            </w:pPr>
            <w:r>
              <w:rPr>
                <w:sz w:val="17"/>
              </w:rPr>
              <w:t xml:space="preserve">Parcelle, activité</w:t>
            </w:r>
          </w:p>
        </w:tc>
        <w:tc>
          <w:tcPr>
            <w:shd w:val="clear" w:color="auto" w:fill="F5F7FB"/>
          </w:tcPr>
          <w:p>
            <w:pPr>
              <w:pStyle w:val="Compact"/>
            </w:pPr>
            <w:r>
              <w:rPr>
                <w:sz w:val="17"/>
              </w:rPr>
              <w:t xml:space="preserve">Idem</w:t>
            </w:r>
          </w:p>
        </w:tc>
        <w:tc>
          <w:tcPr>
            <w:shd w:val="clear" w:color="auto" w:fill="F5F7FB"/>
          </w:tcPr>
          <w:p>
            <w:pPr>
              <w:pStyle w:val="Compact"/>
            </w:pPr>
            <w:r>
              <w:rPr>
                <w:sz w:val="17"/>
              </w:rPr>
              <w:t xml:space="preserve">Selon texte</w:t>
            </w:r>
          </w:p>
        </w:tc>
        <w:tc>
          <w:tcPr>
            <w:shd w:val="clear" w:color="auto" w:fill="F5F7FB"/>
          </w:tcPr>
          <w:p>
            <w:pPr>
              <w:pStyle w:val="Compact"/>
            </w:pPr>
            <w:r>
              <w:rPr>
                <w:sz w:val="17"/>
              </w:rPr>
              <w:t xml:space="preserve">Moyen</w:t>
            </w:r>
          </w:p>
        </w:tc>
      </w:tr>
      <w:tr>
        <w:tc>
          <w:tcPr/>
          <w:p>
            <w:pPr>
              <w:pStyle w:val="Compact"/>
            </w:pPr>
            <w:r>
              <w:rPr>
                <w:sz w:val="17"/>
              </w:rPr>
              <w:t xml:space="preserve">Autorisation d’exploitation de débit de boissons</w:t>
            </w:r>
          </w:p>
        </w:tc>
        <w:tc>
          <w:tcPr/>
          <w:p>
            <w:pPr>
              <w:pStyle w:val="Compact"/>
            </w:pPr>
            <w:r>
              <w:rPr>
                <w:sz w:val="17"/>
              </w:rPr>
              <w:t xml:space="preserve">Établissement, catégorie</w:t>
            </w:r>
          </w:p>
        </w:tc>
        <w:tc>
          <w:tcPr/>
          <w:p>
            <w:pPr>
              <w:pStyle w:val="Compact"/>
            </w:pPr>
            <w:r>
              <w:rPr>
                <w:sz w:val="17"/>
              </w:rPr>
              <w:t xml:space="preserve">Recoupement avec les points de livraison des brasseries</w:t>
            </w:r>
          </w:p>
        </w:tc>
        <w:tc>
          <w:tcPr/>
          <w:p>
            <w:pPr>
              <w:pStyle w:val="Compact"/>
            </w:pPr>
            <w:r>
              <w:rPr>
                <w:sz w:val="17"/>
              </w:rPr>
              <w:t xml:space="preserve">Autorisation annuelle</w:t>
            </w:r>
          </w:p>
        </w:tc>
        <w:tc>
          <w:tcPr/>
          <w:p>
            <w:pPr>
              <w:pStyle w:val="Compact"/>
            </w:pPr>
            <w:r>
              <w:rPr>
                <w:sz w:val="17"/>
              </w:rPr>
              <w:t xml:space="preserve">Élevé</w:t>
            </w:r>
          </w:p>
        </w:tc>
      </w:tr>
      <w:tr>
        <w:tc>
          <w:tcPr>
            <w:shd w:val="clear" w:color="auto" w:fill="F5F7FB"/>
          </w:tcPr>
          <w:p>
            <w:pPr>
              <w:pStyle w:val="Compact"/>
            </w:pPr>
            <w:r>
              <w:rPr>
                <w:sz w:val="17"/>
              </w:rPr>
              <w:t xml:space="preserve">Spectacles et divertissements</w:t>
            </w:r>
          </w:p>
        </w:tc>
        <w:tc>
          <w:tcPr>
            <w:shd w:val="clear" w:color="auto" w:fill="F5F7FB"/>
          </w:tcPr>
          <w:p>
            <w:pPr>
              <w:pStyle w:val="Compact"/>
            </w:pPr>
            <w:r>
              <w:rPr>
                <w:sz w:val="17"/>
              </w:rPr>
              <w:t xml:space="preserve">Événement, salle, organisateur</w:t>
            </w:r>
          </w:p>
        </w:tc>
        <w:tc>
          <w:tcPr>
            <w:shd w:val="clear" w:color="auto" w:fill="F5F7FB"/>
          </w:tcPr>
          <w:p>
            <w:pPr>
              <w:pStyle w:val="Compact"/>
            </w:pPr>
            <w:r>
              <w:rPr>
                <w:sz w:val="17"/>
              </w:rPr>
              <w:t xml:space="preserve">Autorisation conditionnée à l’enregistrement ; assiette sur billetterie déclarée</w:t>
            </w:r>
          </w:p>
        </w:tc>
        <w:tc>
          <w:tcPr>
            <w:shd w:val="clear" w:color="auto" w:fill="F5F7FB"/>
          </w:tcPr>
          <w:p>
            <w:pPr>
              <w:pStyle w:val="Compact"/>
            </w:pPr>
            <w:r>
              <w:rPr>
                <w:sz w:val="17"/>
              </w:rPr>
              <w:t xml:space="preserve">Autorisation par événement</w:t>
            </w:r>
          </w:p>
        </w:tc>
        <w:tc>
          <w:tcPr>
            <w:shd w:val="clear" w:color="auto" w:fill="F5F7FB"/>
          </w:tcPr>
          <w:p>
            <w:pPr>
              <w:pStyle w:val="Compact"/>
            </w:pPr>
            <w:r>
              <w:rPr>
                <w:sz w:val="17"/>
              </w:rPr>
              <w:t xml:space="preserve">Moyen</w:t>
            </w:r>
          </w:p>
        </w:tc>
      </w:tr>
      <w:tr>
        <w:tc>
          <w:tcPr/>
          <w:p>
            <w:pPr>
              <w:pStyle w:val="Compact"/>
            </w:pPr>
            <w:r>
              <w:rPr>
                <w:sz w:val="17"/>
              </w:rPr>
              <w:t xml:space="preserve">Carrières à ciel ouvert</w:t>
            </w:r>
          </w:p>
        </w:tc>
        <w:tc>
          <w:tcPr/>
          <w:p>
            <w:pPr>
              <w:pStyle w:val="Compact"/>
            </w:pPr>
            <w:r>
              <w:rPr>
                <w:sz w:val="17"/>
              </w:rPr>
              <w:t xml:space="preserve">Site, exploitant</w:t>
            </w:r>
          </w:p>
        </w:tc>
        <w:tc>
          <w:tcPr/>
          <w:p>
            <w:pPr>
              <w:pStyle w:val="Compact"/>
            </w:pPr>
            <w:r>
              <w:rPr>
                <w:sz w:val="17"/>
              </w:rPr>
              <w:t xml:space="preserve">Sites géoréférencés ; comptage des sorties de camions rapproché des déclarations</w:t>
            </w:r>
          </w:p>
        </w:tc>
        <w:tc>
          <w:tcPr/>
          <w:p>
            <w:pPr>
              <w:pStyle w:val="Compact"/>
            </w:pPr>
            <w:r>
              <w:rPr>
                <w:sz w:val="17"/>
              </w:rPr>
              <w:t xml:space="preserve">Autorisation + déclaration</w:t>
            </w:r>
          </w:p>
        </w:tc>
        <w:tc>
          <w:tcPr/>
          <w:p>
            <w:pPr>
              <w:pStyle w:val="Compact"/>
            </w:pPr>
            <w:r>
              <w:rPr>
                <w:sz w:val="17"/>
              </w:rPr>
              <w:t xml:space="preserve">Moyen</w:t>
            </w:r>
          </w:p>
        </w:tc>
      </w:tr>
      <w:tr>
        <w:tc>
          <w:tcPr>
            <w:shd w:val="clear" w:color="auto" w:fill="F5F7FB"/>
          </w:tcPr>
          <w:p>
            <w:pPr>
              <w:pStyle w:val="Compact"/>
            </w:pPr>
            <w:r>
              <w:rPr>
                <w:sz w:val="17"/>
              </w:rPr>
              <w:t xml:space="preserve">Péage provincial</w:t>
            </w:r>
          </w:p>
        </w:tc>
        <w:tc>
          <w:tcPr>
            <w:shd w:val="clear" w:color="auto" w:fill="F5F7FB"/>
          </w:tcPr>
          <w:p>
            <w:pPr>
              <w:pStyle w:val="Compact"/>
            </w:pPr>
            <w:r>
              <w:rPr>
                <w:sz w:val="17"/>
              </w:rPr>
              <w:t xml:space="preserve">Axe, passage</w:t>
            </w:r>
          </w:p>
        </w:tc>
        <w:tc>
          <w:tcPr>
            <w:shd w:val="clear" w:color="auto" w:fill="F5F7FB"/>
          </w:tcPr>
          <w:p>
            <w:pPr>
              <w:pStyle w:val="Compact"/>
            </w:pPr>
            <w:r>
              <w:rPr>
                <w:sz w:val="17"/>
              </w:rPr>
              <w:t xml:space="preserve">Reçu électronique lié à la plaque</w:t>
            </w:r>
          </w:p>
        </w:tc>
        <w:tc>
          <w:tcPr>
            <w:shd w:val="clear" w:color="auto" w:fill="F5F7FB"/>
          </w:tcPr>
          <w:p>
            <w:pPr>
              <w:pStyle w:val="Compact"/>
            </w:pPr>
            <w:r>
              <w:rPr>
                <w:sz w:val="17"/>
              </w:rPr>
              <w:t xml:space="preserve">Titre par passage ou abonnement</w:t>
            </w:r>
          </w:p>
        </w:tc>
        <w:tc>
          <w:tcPr>
            <w:shd w:val="clear" w:color="auto" w:fill="F5F7FB"/>
          </w:tcPr>
          <w:p>
            <w:pPr>
              <w:pStyle w:val="Compact"/>
            </w:pPr>
            <w:r>
              <w:rPr>
                <w:sz w:val="17"/>
              </w:rPr>
              <w:t xml:space="preserve">Moyen</w:t>
            </w:r>
          </w:p>
        </w:tc>
      </w:tr>
      <w:tr>
        <w:tc>
          <w:tcPr/>
          <w:p>
            <w:pPr>
              <w:pStyle w:val="Compact"/>
            </w:pPr>
            <w:r>
              <w:rPr>
                <w:sz w:val="17"/>
              </w:rPr>
              <w:t xml:space="preserve">Accostage dans les ports privés</w:t>
            </w:r>
          </w:p>
        </w:tc>
        <w:tc>
          <w:tcPr/>
          <w:p>
            <w:pPr>
              <w:pStyle w:val="Compact"/>
            </w:pPr>
            <w:r>
              <w:rPr>
                <w:sz w:val="17"/>
              </w:rPr>
              <w:t xml:space="preserve">Quai, embarcation</w:t>
            </w:r>
          </w:p>
        </w:tc>
        <w:tc>
          <w:tcPr/>
          <w:p>
            <w:pPr>
              <w:pStyle w:val="Compact"/>
            </w:pPr>
            <w:r>
              <w:rPr>
                <w:sz w:val="17"/>
              </w:rPr>
              <w:t xml:space="preserve">Déclaration de mouvements, contrôle</w:t>
            </w:r>
          </w:p>
        </w:tc>
        <w:tc>
          <w:tcPr/>
          <w:p>
            <w:pPr>
              <w:pStyle w:val="Compact"/>
            </w:pPr>
            <w:r>
              <w:rPr>
                <w:sz w:val="17"/>
              </w:rPr>
              <w:t xml:space="preserve">Titre par escale</w:t>
            </w:r>
          </w:p>
        </w:tc>
        <w:tc>
          <w:tcPr/>
          <w:p>
            <w:pPr>
              <w:pStyle w:val="Compact"/>
            </w:pPr>
            <w:r>
              <w:rPr>
                <w:sz w:val="17"/>
              </w:rPr>
              <w:t xml:space="preserve">Moyen</w:t>
            </w:r>
          </w:p>
        </w:tc>
      </w:tr>
      <w:tr>
        <w:tc>
          <w:tcPr>
            <w:shd w:val="clear" w:color="auto" w:fill="F5F7FB"/>
          </w:tcPr>
          <w:p>
            <w:pPr>
              <w:pStyle w:val="Compact"/>
            </w:pPr>
            <w:r>
              <w:rPr>
                <w:sz w:val="17"/>
              </w:rPr>
              <w:t xml:space="preserve">Produits forestiers non ligneux</w:t>
            </w:r>
          </w:p>
        </w:tc>
        <w:tc>
          <w:tcPr>
            <w:shd w:val="clear" w:color="auto" w:fill="F5F7FB"/>
          </w:tcPr>
          <w:p>
            <w:pPr>
              <w:pStyle w:val="Compact"/>
            </w:pPr>
            <w:r>
              <w:rPr>
                <w:sz w:val="17"/>
              </w:rPr>
              <w:t xml:space="preserve">Point de vente, quantité</w:t>
            </w:r>
          </w:p>
        </w:tc>
        <w:tc>
          <w:tcPr>
            <w:shd w:val="clear" w:color="auto" w:fill="F5F7FB"/>
          </w:tcPr>
          <w:p>
            <w:pPr>
              <w:pStyle w:val="Compact"/>
            </w:pPr>
            <w:r>
              <w:rPr>
                <w:sz w:val="17"/>
              </w:rPr>
              <w:t xml:space="preserve">Déclaration aux points de contrôle</w:t>
            </w:r>
          </w:p>
        </w:tc>
        <w:tc>
          <w:tcPr>
            <w:shd w:val="clear" w:color="auto" w:fill="F5F7FB"/>
          </w:tcPr>
          <w:p>
            <w:pPr>
              <w:pStyle w:val="Compact"/>
            </w:pPr>
            <w:r>
              <w:rPr>
                <w:sz w:val="17"/>
              </w:rPr>
              <w:t xml:space="preserve">Titre de transport</w:t>
            </w:r>
          </w:p>
        </w:tc>
        <w:tc>
          <w:tcPr>
            <w:shd w:val="clear" w:color="auto" w:fill="F5F7FB"/>
          </w:tcPr>
          <w:p>
            <w:pPr>
              <w:pStyle w:val="Compact"/>
            </w:pPr>
            <w:r>
              <w:rPr>
                <w:sz w:val="17"/>
              </w:rPr>
              <w:t xml:space="preserve">Faible</w:t>
            </w:r>
          </w:p>
        </w:tc>
      </w:tr>
      <w:tr>
        <w:tc>
          <w:tcPr/>
          <w:p>
            <w:pPr>
              <w:pStyle w:val="Compact"/>
            </w:pPr>
            <w:r>
              <w:rPr>
                <w:sz w:val="17"/>
              </w:rPr>
              <w:t xml:space="preserve">Occupation du domaine public</w:t>
            </w:r>
          </w:p>
        </w:tc>
        <w:tc>
          <w:tcPr/>
          <w:p>
            <w:pPr>
              <w:pStyle w:val="Compact"/>
            </w:pPr>
            <w:r>
              <w:rPr>
                <w:sz w:val="17"/>
              </w:rPr>
              <w:t xml:space="preserve">Emprise</w:t>
            </w:r>
          </w:p>
        </w:tc>
        <w:tc>
          <w:tcPr/>
          <w:p>
            <w:pPr>
              <w:pStyle w:val="Compact"/>
            </w:pPr>
            <w:r>
              <w:rPr>
                <w:sz w:val="17"/>
              </w:rPr>
              <w:t xml:space="preserve">Plan géoréférencé des emprises</w:t>
            </w:r>
          </w:p>
        </w:tc>
        <w:tc>
          <w:tcPr/>
          <w:p>
            <w:pPr>
              <w:pStyle w:val="Compact"/>
            </w:pPr>
            <w:r>
              <w:rPr>
                <w:sz w:val="17"/>
              </w:rPr>
              <w:t xml:space="preserve">Autorisation d’occupation</w:t>
            </w:r>
          </w:p>
        </w:tc>
        <w:tc>
          <w:tcPr/>
          <w:p>
            <w:pPr>
              <w:pStyle w:val="Compact"/>
            </w:pPr>
            <w:r>
              <w:rPr>
                <w:sz w:val="17"/>
              </w:rPr>
              <w:t xml:space="preserve">Moyen à élevé</w:t>
            </w:r>
          </w:p>
        </w:tc>
      </w:tr>
      <w:tr>
        <w:tc>
          <w:tcPr>
            <w:shd w:val="clear" w:color="auto" w:fill="F5F7FB"/>
          </w:tcPr>
          <w:p>
            <w:pPr>
              <w:pStyle w:val="Compact"/>
            </w:pPr>
            <w:r>
              <w:rPr>
                <w:sz w:val="17"/>
              </w:rPr>
              <w:t xml:space="preserve">Stationnement</w:t>
            </w:r>
          </w:p>
        </w:tc>
        <w:tc>
          <w:tcPr>
            <w:shd w:val="clear" w:color="auto" w:fill="F5F7FB"/>
          </w:tcPr>
          <w:p>
            <w:pPr>
              <w:pStyle w:val="Compact"/>
            </w:pPr>
            <w:r>
              <w:rPr>
                <w:sz w:val="17"/>
              </w:rPr>
              <w:t xml:space="preserve">Place, zone</w:t>
            </w:r>
          </w:p>
        </w:tc>
        <w:tc>
          <w:tcPr>
            <w:shd w:val="clear" w:color="auto" w:fill="F5F7FB"/>
          </w:tcPr>
          <w:p>
            <w:pPr>
              <w:pStyle w:val="Compact"/>
            </w:pPr>
            <w:r>
              <w:rPr>
                <w:sz w:val="17"/>
              </w:rPr>
              <w:t xml:space="preserve">Sessions payées par plaque</w:t>
            </w:r>
          </w:p>
        </w:tc>
        <w:tc>
          <w:tcPr>
            <w:shd w:val="clear" w:color="auto" w:fill="F5F7FB"/>
          </w:tcPr>
          <w:p>
            <w:pPr>
              <w:pStyle w:val="Compact"/>
            </w:pPr>
            <w:r>
              <w:rPr>
                <w:sz w:val="17"/>
              </w:rPr>
              <w:t xml:space="preserve">Titre horaire à mensuel</w:t>
            </w:r>
          </w:p>
        </w:tc>
        <w:tc>
          <w:tcPr>
            <w:shd w:val="clear" w:color="auto" w:fill="F5F7FB"/>
          </w:tcPr>
          <w:p>
            <w:pPr>
              <w:pStyle w:val="Compact"/>
            </w:pPr>
            <w:r>
              <w:rPr>
                <w:sz w:val="17"/>
              </w:rPr>
              <w:t xml:space="preserve">Moyen à élevé (après acte de zonage)</w:t>
            </w:r>
          </w:p>
        </w:tc>
      </w:tr>
      <w:tr>
        <w:tc>
          <w:tcPr/>
          <w:p>
            <w:pPr>
              <w:pStyle w:val="Compact"/>
            </w:pPr>
            <w:r>
              <w:rPr>
                <w:sz w:val="17"/>
              </w:rPr>
              <w:t xml:space="preserve">Marchés</w:t>
            </w:r>
          </w:p>
        </w:tc>
        <w:tc>
          <w:tcPr/>
          <w:p>
            <w:pPr>
              <w:pStyle w:val="Compact"/>
            </w:pPr>
            <w:r>
              <w:rPr>
                <w:sz w:val="17"/>
              </w:rPr>
              <w:t xml:space="preserve">Étal, emplacement</w:t>
            </w:r>
          </w:p>
        </w:tc>
        <w:tc>
          <w:tcPr/>
          <w:p>
            <w:pPr>
              <w:pStyle w:val="Compact"/>
            </w:pPr>
            <w:r>
              <w:rPr>
                <w:sz w:val="17"/>
              </w:rPr>
              <w:t xml:space="preserve">Plan des marchés, titres périodiques</w:t>
            </w:r>
          </w:p>
        </w:tc>
        <w:tc>
          <w:tcPr/>
          <w:p>
            <w:pPr>
              <w:pStyle w:val="Compact"/>
            </w:pPr>
            <w:r>
              <w:rPr>
                <w:sz w:val="17"/>
              </w:rPr>
              <w:t xml:space="preserve">Titre journalier à mensuel</w:t>
            </w:r>
          </w:p>
        </w:tc>
        <w:tc>
          <w:tcPr/>
          <w:p>
            <w:pPr>
              <w:pStyle w:val="Compact"/>
            </w:pPr>
            <w:r>
              <w:rPr>
                <w:sz w:val="17"/>
              </w:rPr>
              <w:t xml:space="preserve">Élevé en volume ; historiquement en espèces</w:t>
            </w:r>
          </w:p>
        </w:tc>
      </w:tr>
      <w:tr>
        <w:tc>
          <w:tcPr>
            <w:shd w:val="clear" w:color="auto" w:fill="F5F7FB"/>
          </w:tcPr>
          <w:p>
            <w:pPr>
              <w:pStyle w:val="Compact"/>
            </w:pPr>
            <w:r>
              <w:rPr>
                <w:sz w:val="17"/>
              </w:rPr>
              <w:t xml:space="preserve">Permis et documents administratifs</w:t>
            </w:r>
          </w:p>
        </w:tc>
        <w:tc>
          <w:tcPr>
            <w:shd w:val="clear" w:color="auto" w:fill="F5F7FB"/>
          </w:tcPr>
          <w:p>
            <w:pPr>
              <w:pStyle w:val="Compact"/>
            </w:pPr>
            <w:r>
              <w:rPr>
                <w:sz w:val="17"/>
              </w:rPr>
              <w:t xml:space="preserve">Acte demandé</w:t>
            </w:r>
          </w:p>
        </w:tc>
        <w:tc>
          <w:tcPr>
            <w:shd w:val="clear" w:color="auto" w:fill="F5F7FB"/>
          </w:tcPr>
          <w:p>
            <w:pPr>
              <w:pStyle w:val="Compact"/>
            </w:pPr>
            <w:r>
              <w:rPr>
                <w:sz w:val="17"/>
              </w:rPr>
              <w:t xml:space="preserve">Liquidation à la demande</w:t>
            </w:r>
          </w:p>
        </w:tc>
        <w:tc>
          <w:tcPr>
            <w:shd w:val="clear" w:color="auto" w:fill="F5F7FB"/>
          </w:tcPr>
          <w:p>
            <w:pPr>
              <w:pStyle w:val="Compact"/>
            </w:pPr>
            <w:r>
              <w:rPr>
                <w:sz w:val="17"/>
              </w:rPr>
              <w:t xml:space="preserve">Acte + quittance</w:t>
            </w:r>
          </w:p>
        </w:tc>
        <w:tc>
          <w:tcPr>
            <w:shd w:val="clear" w:color="auto" w:fill="F5F7FB"/>
          </w:tcPr>
          <w:p>
            <w:pPr>
              <w:pStyle w:val="Compact"/>
            </w:pPr>
            <w:r>
              <w:rPr>
                <w:sz w:val="17"/>
              </w:rPr>
              <w:t xml:space="preserve">Moyen</w:t>
            </w:r>
          </w:p>
        </w:tc>
      </w:tr>
    </w:tbl>
    <w:bookmarkEnd w:id="63"/>
    <w:bookmarkStart w:id="64" w:name="recettes-administratives-et-domaniales"/>
    <w:p>
      <w:pPr>
        <w:pStyle w:val="Heading2"/>
      </w:pPr>
      <w:r>
        <w:t xml:space="preserve">7.4 Recettes administratives et domaniales</w:t>
      </w:r>
    </w:p>
    <w:p>
      <w:pPr>
        <w:pStyle w:val="FirstParagraph"/>
      </w:pPr>
      <w:r>
        <w:t xml:space="preserve">Actes, permis, duplicatas, attestations, autorisations et autres droits légalement prévus, rattachés à une demande, un acte ou une prestation ; loyers et redevances d’actifs provinciaux ; concessions. Chaque ligne suit la règle d’or (§ 6.12).</w:t>
      </w:r>
    </w:p>
    <w:bookmarkEnd w:id="64"/>
    <w:bookmarkStart w:id="65" w:name="X55fc321c687c7ebc4ce101aeeb1c110412bc25c"/>
    <w:p>
      <w:pPr>
        <w:pStyle w:val="Heading2"/>
      </w:pPr>
      <w:r>
        <w:t xml:space="preserve">7.5 Inventaire de référence à constituer (phase 0)</w:t>
      </w:r>
    </w:p>
    <w:p>
      <w:pPr>
        <w:pStyle w:val="FirstParagraph"/>
      </w:pPr>
      <w:r>
        <w:t xml:space="preserve">Le programme construit, avant tout paramétrage, l’inventaire exhaustif des recettes effectivement perçues aujourd’hui. Il alimente la base de référence (chapitre 38).</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Attribut</w:t>
            </w:r>
          </w:p>
        </w:tc>
        <w:tc>
          <w:tcPr>
            <w:shd w:val="clear" w:color="auto" w:fill="232C6B"/>
          </w:tcPr>
          <w:p>
            <w:pPr>
              <w:pStyle w:val="Compact"/>
            </w:pPr>
            <w:r>
              <w:rPr>
                <w:b/>
                <w:color w:val="FFFFFF"/>
                <w:sz w:val="17"/>
              </w:rPr>
              <w:t xml:space="preserve">Contenu attendu</w:t>
            </w:r>
          </w:p>
        </w:tc>
        <w:tc>
          <w:tcPr>
            <w:shd w:val="clear" w:color="auto" w:fill="232C6B"/>
          </w:tcPr>
          <w:p>
            <w:pPr>
              <w:pStyle w:val="Compact"/>
            </w:pPr>
            <w:r>
              <w:rPr>
                <w:b/>
                <w:color w:val="FFFFFF"/>
                <w:sz w:val="17"/>
              </w:rPr>
              <w:t xml:space="preserve">Source</w:t>
            </w:r>
          </w:p>
        </w:tc>
      </w:tr>
      <w:tr>
        <w:tc>
          <w:tcPr/>
          <w:p>
            <w:pPr>
              <w:pStyle w:val="Compact"/>
            </w:pPr>
            <w:r>
              <w:rPr>
                <w:sz w:val="17"/>
              </w:rPr>
              <w:t xml:space="preserve">Recette et code</w:t>
            </w:r>
          </w:p>
        </w:tc>
        <w:tc>
          <w:tcPr/>
          <w:p>
            <w:pPr>
              <w:pStyle w:val="Compact"/>
            </w:pPr>
            <w:r>
              <w:rPr>
                <w:sz w:val="17"/>
              </w:rPr>
              <w:t xml:space="preserve">Libellé officiel, code budgétaire</w:t>
            </w:r>
          </w:p>
        </w:tc>
        <w:tc>
          <w:tcPr/>
          <w:p>
            <w:pPr>
              <w:pStyle w:val="Compact"/>
            </w:pPr>
            <w:r>
              <w:rPr>
                <w:sz w:val="17"/>
              </w:rPr>
              <w:t xml:space="preserve">Nomenclature budgétaire</w:t>
            </w:r>
          </w:p>
        </w:tc>
      </w:tr>
      <w:tr>
        <w:tc>
          <w:tcPr>
            <w:shd w:val="clear" w:color="auto" w:fill="F5F7FB"/>
          </w:tcPr>
          <w:p>
            <w:pPr>
              <w:pStyle w:val="Compact"/>
            </w:pPr>
            <w:r>
              <w:rPr>
                <w:sz w:val="17"/>
              </w:rPr>
              <w:t xml:space="preserve">Administration</w:t>
            </w:r>
          </w:p>
        </w:tc>
        <w:tc>
          <w:tcPr>
            <w:shd w:val="clear" w:color="auto" w:fill="F5F7FB"/>
          </w:tcPr>
          <w:p>
            <w:pPr>
              <w:pStyle w:val="Compact"/>
            </w:pPr>
            <w:r>
              <w:rPr>
                <w:sz w:val="17"/>
              </w:rPr>
              <w:t xml:space="preserve">Régie ou service responsable</w:t>
            </w:r>
          </w:p>
        </w:tc>
        <w:tc>
          <w:tcPr>
            <w:shd w:val="clear" w:color="auto" w:fill="F5F7FB"/>
          </w:tcPr>
          <w:p>
            <w:pPr>
              <w:pStyle w:val="Compact"/>
            </w:pPr>
            <w:r>
              <w:rPr>
                <w:sz w:val="17"/>
              </w:rPr>
              <w:t xml:space="preserve">Arrêtés 2026</w:t>
            </w:r>
          </w:p>
        </w:tc>
      </w:tr>
      <w:tr>
        <w:tc>
          <w:tcPr/>
          <w:p>
            <w:pPr>
              <w:pStyle w:val="Compact"/>
            </w:pPr>
            <w:r>
              <w:rPr>
                <w:sz w:val="17"/>
              </w:rPr>
              <w:t xml:space="preserve">Base légale</w:t>
            </w:r>
          </w:p>
        </w:tc>
        <w:tc>
          <w:tcPr/>
          <w:p>
            <w:pPr>
              <w:pStyle w:val="Compact"/>
            </w:pPr>
            <w:r>
              <w:rPr>
                <w:sz w:val="17"/>
              </w:rPr>
              <w:t xml:space="preserve">Texte, article, statut de certification</w:t>
            </w:r>
          </w:p>
        </w:tc>
        <w:tc>
          <w:tcPr/>
          <w:p>
            <w:pPr>
              <w:pStyle w:val="Compact"/>
            </w:pPr>
            <w:r>
              <w:rPr>
                <w:sz w:val="17"/>
              </w:rPr>
              <w:t xml:space="preserve">Relevé juridique</w:t>
            </w:r>
          </w:p>
        </w:tc>
      </w:tr>
      <w:tr>
        <w:tc>
          <w:tcPr>
            <w:shd w:val="clear" w:color="auto" w:fill="F5F7FB"/>
          </w:tcPr>
          <w:p>
            <w:pPr>
              <w:pStyle w:val="Compact"/>
            </w:pPr>
            <w:r>
              <w:rPr>
                <w:sz w:val="17"/>
              </w:rPr>
              <w:t xml:space="preserve">Mode de perception actuel</w:t>
            </w:r>
          </w:p>
        </w:tc>
        <w:tc>
          <w:tcPr>
            <w:shd w:val="clear" w:color="auto" w:fill="F5F7FB"/>
          </w:tcPr>
          <w:p>
            <w:pPr>
              <w:pStyle w:val="Compact"/>
            </w:pPr>
            <w:r>
              <w:rPr>
                <w:sz w:val="17"/>
              </w:rPr>
              <w:t xml:space="preserve">Déclaratif, rôle, perception au point de service</w:t>
            </w:r>
          </w:p>
        </w:tc>
        <w:tc>
          <w:tcPr>
            <w:shd w:val="clear" w:color="auto" w:fill="F5F7FB"/>
          </w:tcPr>
          <w:p>
            <w:pPr>
              <w:pStyle w:val="Compact"/>
            </w:pPr>
            <w:r>
              <w:rPr>
                <w:sz w:val="17"/>
              </w:rPr>
              <w:t xml:space="preserve">Régie</w:t>
            </w:r>
          </w:p>
        </w:tc>
      </w:tr>
      <w:tr>
        <w:tc>
          <w:tcPr/>
          <w:p>
            <w:pPr>
              <w:pStyle w:val="Compact"/>
            </w:pPr>
            <w:r>
              <w:rPr>
                <w:sz w:val="17"/>
              </w:rPr>
              <w:t xml:space="preserve">Canaux</w:t>
            </w:r>
          </w:p>
        </w:tc>
        <w:tc>
          <w:tcPr/>
          <w:p>
            <w:pPr>
              <w:pStyle w:val="Compact"/>
            </w:pPr>
            <w:r>
              <w:rPr>
                <w:sz w:val="17"/>
              </w:rPr>
              <w:t xml:space="preserve">Guichet, banque, monnaie mobile, agent, portail existant</w:t>
            </w:r>
          </w:p>
        </w:tc>
        <w:tc>
          <w:tcPr/>
          <w:p>
            <w:pPr>
              <w:pStyle w:val="Compact"/>
            </w:pPr>
            <w:r>
              <w:rPr>
                <w:sz w:val="17"/>
              </w:rPr>
              <w:t xml:space="preserve">Régie, banques</w:t>
            </w:r>
          </w:p>
        </w:tc>
      </w:tr>
      <w:tr>
        <w:tc>
          <w:tcPr>
            <w:shd w:val="clear" w:color="auto" w:fill="F5F7FB"/>
          </w:tcPr>
          <w:p>
            <w:pPr>
              <w:pStyle w:val="Compact"/>
            </w:pPr>
            <w:r>
              <w:rPr>
                <w:sz w:val="17"/>
              </w:rPr>
              <w:t xml:space="preserve">Comptes</w:t>
            </w:r>
          </w:p>
        </w:tc>
        <w:tc>
          <w:tcPr>
            <w:shd w:val="clear" w:color="auto" w:fill="F5F7FB"/>
          </w:tcPr>
          <w:p>
            <w:pPr>
              <w:pStyle w:val="Compact"/>
            </w:pPr>
            <w:r>
              <w:rPr>
                <w:sz w:val="17"/>
              </w:rPr>
              <w:t xml:space="preserve">Comptes publics de destination actuels</w:t>
            </w:r>
          </w:p>
        </w:tc>
        <w:tc>
          <w:tcPr>
            <w:shd w:val="clear" w:color="auto" w:fill="F5F7FB"/>
          </w:tcPr>
          <w:p>
            <w:pPr>
              <w:pStyle w:val="Compact"/>
            </w:pPr>
            <w:r>
              <w:rPr>
                <w:sz w:val="17"/>
              </w:rPr>
              <w:t xml:space="preserve">Trésor provincial</w:t>
            </w:r>
          </w:p>
        </w:tc>
      </w:tr>
      <w:tr>
        <w:tc>
          <w:tcPr/>
          <w:p>
            <w:pPr>
              <w:pStyle w:val="Compact"/>
            </w:pPr>
            <w:r>
              <w:rPr>
                <w:sz w:val="17"/>
              </w:rPr>
              <w:t xml:space="preserve">Systèmes</w:t>
            </w:r>
          </w:p>
        </w:tc>
        <w:tc>
          <w:tcPr/>
          <w:p>
            <w:pPr>
              <w:pStyle w:val="Compact"/>
            </w:pPr>
            <w:r>
              <w:rPr>
                <w:sz w:val="17"/>
              </w:rPr>
              <w:t xml:space="preserve">Portail de déclaration existant, logiciels, bases</w:t>
            </w:r>
          </w:p>
        </w:tc>
        <w:tc>
          <w:tcPr/>
          <w:p>
            <w:pPr>
              <w:pStyle w:val="Compact"/>
            </w:pPr>
            <w:r>
              <w:rPr>
                <w:sz w:val="17"/>
              </w:rPr>
              <w:t xml:space="preserve">DSI provinciale</w:t>
            </w:r>
          </w:p>
        </w:tc>
      </w:tr>
      <w:tr>
        <w:tc>
          <w:tcPr>
            <w:shd w:val="clear" w:color="auto" w:fill="F5F7FB"/>
          </w:tcPr>
          <w:p>
            <w:pPr>
              <w:pStyle w:val="Compact"/>
            </w:pPr>
            <w:r>
              <w:rPr>
                <w:sz w:val="17"/>
              </w:rPr>
              <w:t xml:space="preserve">Volumétrie</w:t>
            </w:r>
          </w:p>
        </w:tc>
        <w:tc>
          <w:tcPr>
            <w:shd w:val="clear" w:color="auto" w:fill="F5F7FB"/>
          </w:tcPr>
          <w:p>
            <w:pPr>
              <w:pStyle w:val="Compact"/>
            </w:pPr>
            <w:r>
              <w:rPr>
                <w:sz w:val="17"/>
              </w:rPr>
              <w:t xml:space="preserve">Nombre de redevables et d’opérations par période</w:t>
            </w:r>
          </w:p>
        </w:tc>
        <w:tc>
          <w:tcPr>
            <w:shd w:val="clear" w:color="auto" w:fill="F5F7FB"/>
          </w:tcPr>
          <w:p>
            <w:pPr>
              <w:pStyle w:val="Compact"/>
            </w:pPr>
            <w:r>
              <w:rPr>
                <w:sz w:val="17"/>
              </w:rPr>
              <w:t xml:space="preserve">Régie</w:t>
            </w:r>
          </w:p>
        </w:tc>
      </w:tr>
      <w:tr>
        <w:tc>
          <w:tcPr/>
          <w:p>
            <w:pPr>
              <w:pStyle w:val="Compact"/>
            </w:pPr>
            <w:r>
              <w:rPr>
                <w:sz w:val="17"/>
              </w:rPr>
              <w:t xml:space="preserve">Réalisations</w:t>
            </w:r>
          </w:p>
        </w:tc>
        <w:tc>
          <w:tcPr/>
          <w:p>
            <w:pPr>
              <w:pStyle w:val="Compact"/>
            </w:pPr>
            <w:r>
              <w:rPr>
                <w:sz w:val="17"/>
              </w:rPr>
              <w:t xml:space="preserve">Montants liquidés, encaissés, rapprochés, par mois, trois derniers exercices</w:t>
            </w:r>
          </w:p>
        </w:tc>
        <w:tc>
          <w:tcPr/>
          <w:p>
            <w:pPr>
              <w:pStyle w:val="Compact"/>
            </w:pPr>
            <w:r>
              <w:rPr>
                <w:sz w:val="17"/>
              </w:rPr>
              <w:t xml:space="preserve">Régie, Trésor</w:t>
            </w:r>
          </w:p>
        </w:tc>
      </w:tr>
      <w:tr>
        <w:tc>
          <w:tcPr>
            <w:shd w:val="clear" w:color="auto" w:fill="F5F7FB"/>
          </w:tcPr>
          <w:p>
            <w:pPr>
              <w:pStyle w:val="Compact"/>
            </w:pPr>
            <w:r>
              <w:rPr>
                <w:sz w:val="17"/>
              </w:rPr>
              <w:t xml:space="preserve">Coût de collecte</w:t>
            </w:r>
          </w:p>
        </w:tc>
        <w:tc>
          <w:tcPr>
            <w:shd w:val="clear" w:color="auto" w:fill="F5F7FB"/>
          </w:tcPr>
          <w:p>
            <w:pPr>
              <w:pStyle w:val="Compact"/>
            </w:pPr>
            <w:r>
              <w:rPr>
                <w:sz w:val="17"/>
              </w:rPr>
              <w:t xml:space="preserve">Coût observé</w:t>
            </w:r>
          </w:p>
        </w:tc>
        <w:tc>
          <w:tcPr>
            <w:shd w:val="clear" w:color="auto" w:fill="F5F7FB"/>
          </w:tcPr>
          <w:p>
            <w:pPr>
              <w:pStyle w:val="Compact"/>
            </w:pPr>
            <w:r>
              <w:rPr>
                <w:sz w:val="17"/>
              </w:rPr>
              <w:t xml:space="preserve">Finances</w:t>
            </w:r>
          </w:p>
        </w:tc>
      </w:tr>
      <w:tr>
        <w:tc>
          <w:tcPr/>
          <w:p>
            <w:pPr>
              <w:pStyle w:val="Compact"/>
            </w:pPr>
            <w:r>
              <w:rPr>
                <w:sz w:val="17"/>
              </w:rPr>
              <w:t xml:space="preserve">Déperdition estimée</w:t>
            </w:r>
          </w:p>
        </w:tc>
        <w:tc>
          <w:tcPr/>
          <w:p>
            <w:pPr>
              <w:pStyle w:val="Compact"/>
            </w:pPr>
            <w:r>
              <w:rPr>
                <w:sz w:val="17"/>
              </w:rPr>
              <w:t xml:space="preserve">Écart entre dû, encaissé et rapproché</w:t>
            </w:r>
          </w:p>
        </w:tc>
        <w:tc>
          <w:tcPr/>
          <w:p>
            <w:pPr>
              <w:pStyle w:val="Compact"/>
            </w:pPr>
            <w:r>
              <w:rPr>
                <w:sz w:val="17"/>
              </w:rPr>
              <w:t xml:space="preserve">Audit</w:t>
            </w:r>
          </w:p>
        </w:tc>
      </w:tr>
      <w:tr>
        <w:tc>
          <w:tcPr>
            <w:shd w:val="clear" w:color="auto" w:fill="F5F7FB"/>
          </w:tcPr>
          <w:p>
            <w:pPr>
              <w:pStyle w:val="Compact"/>
            </w:pPr>
            <w:r>
              <w:rPr>
                <w:sz w:val="17"/>
              </w:rPr>
              <w:t xml:space="preserve">Données disponibles</w:t>
            </w:r>
          </w:p>
        </w:tc>
        <w:tc>
          <w:tcPr>
            <w:shd w:val="clear" w:color="auto" w:fill="F5F7FB"/>
          </w:tcPr>
          <w:p>
            <w:pPr>
              <w:pStyle w:val="Compact"/>
            </w:pPr>
            <w:r>
              <w:rPr>
                <w:sz w:val="17"/>
              </w:rPr>
              <w:t xml:space="preserve">Sources, qualité, fraîcheur</w:t>
            </w:r>
          </w:p>
        </w:tc>
        <w:tc>
          <w:tcPr>
            <w:shd w:val="clear" w:color="auto" w:fill="F5F7FB"/>
          </w:tcPr>
          <w:p>
            <w:pPr>
              <w:pStyle w:val="Compact"/>
            </w:pPr>
            <w:r>
              <w:rPr>
                <w:sz w:val="17"/>
              </w:rPr>
              <w:t xml:space="preserve">Programme</w:t>
            </w:r>
          </w:p>
        </w:tc>
      </w:tr>
    </w:tbl>
    <w:bookmarkEnd w:id="65"/>
    <w:bookmarkEnd w:id="66"/>
    <w:bookmarkStart w:id="86" w:name="nouvelles-opportunités-de-recettes"/>
    <w:p>
      <w:pPr>
        <w:pStyle w:val="Heading1"/>
      </w:pPr>
      <w:r>
        <w:t xml:space="preserve">8. Nouvelles opportunités de recettes</w:t>
      </w:r>
    </w:p>
    <w:bookmarkStart w:id="67" w:name="doctrine"/>
    <w:p>
      <w:pPr>
        <w:pStyle w:val="Heading2"/>
      </w:pPr>
      <w:r>
        <w:t xml:space="preserve">8.1 Doctrine</w:t>
      </w:r>
    </w:p>
    <w:p>
      <w:pPr>
        <w:pStyle w:val="FirstParagraph"/>
      </w:pPr>
      <w:r>
        <w:t xml:space="preserve">KINSHASA MOSOLO cherche</w:t>
      </w:r>
      <w:r>
        <w:t xml:space="preserve"> </w:t>
      </w:r>
      <w:r>
        <w:rPr>
          <w:b/>
          <w:bCs/>
        </w:rPr>
        <w:t xml:space="preserve">d’abord l’argent déjà légalement dû</w:t>
      </w:r>
      <w:r>
        <w:t xml:space="preserve"> </w:t>
      </w:r>
      <w:r>
        <w:t xml:space="preserve">: assiettes non recensées, sous-déclarations, arriérés, défauts de rapprochement, exonérations et annulations irrégulières, fuites dans la collecte. Les prélèvements nouveaux ne viennent qu’ensuite, par la voie légale, après analyse d’impact et consultation.</w:t>
      </w:r>
      <w:r>
        <w:t xml:space="preserve"> </w:t>
      </w:r>
      <w:r>
        <w:rPr>
          <w:b/>
          <w:bCs/>
        </w:rPr>
        <w:t xml:space="preserve">Aucune opportunité ne devient une recette par décision algorithmique.</w:t>
      </w:r>
    </w:p>
    <w:p>
      <w:pPr>
        <w:pStyle w:val="BodyText"/>
      </w:pPr>
      <w:r>
        <w:t xml:space="preserve">Chaque piste est instruite selon la même grille de quinze attributs : faisabilité juridique ; objectif de politique publique ; autorité responsable ; fait générateur ; population concernée ; méthode de calcul ; coût de mise en œuvre ; impact social ; impact économique ; potentiel de recettes ; risque de corruption ; exigences de contrôle ; texte requis ; priorité ; recommandation de pilote.</w:t>
      </w:r>
    </w:p>
    <w:bookmarkEnd w:id="67"/>
    <w:bookmarkStart w:id="71" w:name="matrice-de-synthèse-des-gisements"/>
    <w:p>
      <w:pPr>
        <w:pStyle w:val="Heading2"/>
      </w:pPr>
      <w:r>
        <w:t xml:space="preserve">8.2 Matrice de synthèse des gisements</w:t>
      </w:r>
    </w:p>
    <w:p>
      <w:pPr>
        <w:pStyle w:val="FirstParagraph"/>
      </w:pPr>
      <w:r>
        <w:t xml:space="preserve">Légende.</w:t>
      </w:r>
      <w:r>
        <w:t xml:space="preserve"> </w:t>
      </w:r>
      <w:r>
        <w:rPr>
          <w:b/>
          <w:bCs/>
        </w:rPr>
        <w:t xml:space="preserve">Faisabilité juridique</w:t>
      </w:r>
      <w:r>
        <w:t xml:space="preserve"> </w:t>
      </w:r>
      <w:r>
        <w:t xml:space="preserve">: A = droit existant (sous certification) ; B = arrêté ou décision d’exécution ; C = édit ou acte provincial nouveau dans le cadre de la nomenclature ; D = loi nationale ou compétence incertaine.</w:t>
      </w:r>
      <w:r>
        <w:t xml:space="preserve"> </w:t>
      </w:r>
      <w:r>
        <w:rPr>
          <w:b/>
          <w:bCs/>
        </w:rPr>
        <w:t xml:space="preserve">Potentiel</w:t>
      </w:r>
      <w:r>
        <w:t xml:space="preserve"> </w:t>
      </w:r>
      <w:r>
        <w:t xml:space="preserve">: qualitatif, à chiffrer par la base de référence.</w:t>
      </w:r>
      <w:r>
        <w:t xml:space="preserve"> </w:t>
      </w:r>
      <w:r>
        <w:rPr>
          <w:b/>
          <w:bCs/>
        </w:rPr>
        <w:t xml:space="preserve">Risque de corruption</w:t>
      </w:r>
      <w:r>
        <w:t xml:space="preserve"> </w:t>
      </w:r>
      <w:r>
        <w:t xml:space="preserve">: F faible, M moyen, É élevé.</w:t>
      </w:r>
      <w:r>
        <w:t xml:space="preserve"> </w:t>
      </w:r>
      <w:r>
        <w:rPr>
          <w:b/>
          <w:bCs/>
        </w:rPr>
        <w:t xml:space="preserve">Priorité</w:t>
      </w:r>
      <w:r>
        <w:t xml:space="preserve"> </w:t>
      </w:r>
      <w:r>
        <w:t xml:space="preserve">: 1 (immédiate) à 4 (étude).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shd w:val="clear" w:color="auto" w:fill="232C6B"/>
          </w:tcPr>
          <w:p>
            <w:pPr>
              <w:pStyle w:val="Compact"/>
            </w:pPr>
            <w:r>
              <w:rPr>
                <w:b/>
                <w:color w:val="FFFFFF"/>
                <w:sz w:val="17"/>
              </w:rPr>
              <w:t xml:space="preserve">ID</w:t>
            </w:r>
          </w:p>
        </w:tc>
        <w:tc>
          <w:tcPr>
            <w:shd w:val="clear" w:color="auto" w:fill="232C6B"/>
          </w:tcPr>
          <w:p>
            <w:pPr>
              <w:pStyle w:val="Compact"/>
            </w:pPr>
            <w:r>
              <w:rPr>
                <w:b/>
                <w:color w:val="FFFFFF"/>
                <w:sz w:val="17"/>
              </w:rPr>
              <w:t xml:space="preserve">Gisement</w:t>
            </w:r>
          </w:p>
        </w:tc>
        <w:tc>
          <w:tcPr>
            <w:shd w:val="clear" w:color="auto" w:fill="232C6B"/>
          </w:tcPr>
          <w:p>
            <w:pPr>
              <w:pStyle w:val="Compact"/>
            </w:pPr>
            <w:r>
              <w:rPr>
                <w:b/>
                <w:color w:val="FFFFFF"/>
                <w:sz w:val="17"/>
              </w:rPr>
              <w:t xml:space="preserve">Nature</w:t>
            </w:r>
          </w:p>
        </w:tc>
        <w:tc>
          <w:tcPr>
            <w:shd w:val="clear" w:color="auto" w:fill="232C6B"/>
          </w:tcPr>
          <w:p>
            <w:pPr>
              <w:pStyle w:val="Compact"/>
            </w:pPr>
            <w:r>
              <w:rPr>
                <w:b/>
                <w:color w:val="FFFFFF"/>
                <w:sz w:val="17"/>
              </w:rPr>
              <w:t xml:space="preserve">Faisab.</w:t>
            </w:r>
          </w:p>
        </w:tc>
        <w:tc>
          <w:tcPr>
            <w:shd w:val="clear" w:color="auto" w:fill="232C6B"/>
          </w:tcPr>
          <w:p>
            <w:pPr>
              <w:pStyle w:val="Compact"/>
            </w:pPr>
            <w:r>
              <w:rPr>
                <w:b/>
                <w:color w:val="FFFFFF"/>
                <w:sz w:val="17"/>
              </w:rPr>
              <w:t xml:space="preserve">Potentiel</w:t>
            </w:r>
          </w:p>
        </w:tc>
        <w:tc>
          <w:tcPr>
            <w:shd w:val="clear" w:color="auto" w:fill="232C6B"/>
          </w:tcPr>
          <w:p>
            <w:pPr>
              <w:pStyle w:val="Compact"/>
            </w:pPr>
            <w:r>
              <w:rPr>
                <w:b/>
                <w:color w:val="FFFFFF"/>
                <w:sz w:val="17"/>
              </w:rPr>
              <w:t xml:space="preserve">Risque corr.</w:t>
            </w:r>
          </w:p>
        </w:tc>
        <w:tc>
          <w:tcPr>
            <w:shd w:val="clear" w:color="auto" w:fill="232C6B"/>
          </w:tcPr>
          <w:p>
            <w:pPr>
              <w:pStyle w:val="Compact"/>
            </w:pPr>
            <w:r>
              <w:rPr>
                <w:b/>
                <w:color w:val="FFFFFF"/>
                <w:sz w:val="17"/>
              </w:rPr>
              <w:t xml:space="preserve">Priorité</w:t>
            </w:r>
          </w:p>
        </w:tc>
        <w:tc>
          <w:tcPr>
            <w:shd w:val="clear" w:color="auto" w:fill="232C6B"/>
          </w:tcPr>
          <w:p>
            <w:pPr>
              <w:pStyle w:val="Compact"/>
            </w:pPr>
            <w:r>
              <w:rPr>
                <w:b/>
                <w:color w:val="FFFFFF"/>
                <w:sz w:val="17"/>
              </w:rPr>
              <w:t xml:space="preserve">Pilote</w:t>
            </w:r>
          </w:p>
        </w:tc>
      </w:tr>
      <w:tr>
        <w:tc>
          <w:tcPr/>
          <w:p>
            <w:pPr>
              <w:pStyle w:val="Compact"/>
            </w:pPr>
            <w:r>
              <w:rPr>
                <w:sz w:val="17"/>
              </w:rPr>
              <w:t xml:space="preserve">G01</w:t>
            </w:r>
          </w:p>
        </w:tc>
        <w:tc>
          <w:tcPr/>
          <w:p>
            <w:pPr>
              <w:pStyle w:val="Compact"/>
            </w:pPr>
            <w:r>
              <w:rPr>
                <w:sz w:val="17"/>
              </w:rPr>
              <w:t xml:space="preserve">Recensement locatif systématique (unités, baux)</w:t>
            </w:r>
          </w:p>
        </w:tc>
        <w:tc>
          <w:tcPr/>
          <w:p>
            <w:pPr>
              <w:pStyle w:val="Compact"/>
            </w:pPr>
            <w:r>
              <w:rPr>
                <w:sz w:val="17"/>
              </w:rPr>
              <w:t xml:space="preserve">Assiette existante</w:t>
            </w:r>
          </w:p>
        </w:tc>
        <w:tc>
          <w:tcPr/>
          <w:p>
            <w:pPr>
              <w:pStyle w:val="Compact"/>
            </w:pPr>
            <w:r>
              <w:rPr>
                <w:sz w:val="17"/>
              </w:rPr>
              <w:t xml:space="preserve">A</w:t>
            </w:r>
          </w:p>
        </w:tc>
        <w:tc>
          <w:tcPr/>
          <w:p>
            <w:pPr>
              <w:pStyle w:val="Compact"/>
            </w:pPr>
            <w:r>
              <w:rPr>
                <w:sz w:val="17"/>
              </w:rPr>
              <w:t xml:space="preserve">Très élevé</w:t>
            </w:r>
          </w:p>
        </w:tc>
        <w:tc>
          <w:tcPr/>
          <w:p>
            <w:pPr>
              <w:pStyle w:val="Compact"/>
            </w:pPr>
            <w:r>
              <w:rPr>
                <w:sz w:val="17"/>
              </w:rPr>
              <w:t xml:space="preserve">É (négociation terrain)</w:t>
            </w:r>
          </w:p>
        </w:tc>
        <w:tc>
          <w:tcPr/>
          <w:p>
            <w:pPr>
              <w:pStyle w:val="Compact"/>
            </w:pPr>
            <w:r>
              <w:rPr>
                <w:sz w:val="17"/>
              </w:rPr>
              <w:t xml:space="preserve">1</w:t>
            </w:r>
          </w:p>
        </w:tc>
        <w:tc>
          <w:tcPr/>
          <w:p>
            <w:pPr>
              <w:pStyle w:val="Compact"/>
            </w:pPr>
            <w:r>
              <w:rPr>
                <w:sz w:val="17"/>
              </w:rPr>
              <w:t xml:space="preserve">Oui, 4 communes</w:t>
            </w:r>
          </w:p>
        </w:tc>
      </w:tr>
      <w:tr>
        <w:tc>
          <w:tcPr>
            <w:shd w:val="clear" w:color="auto" w:fill="F5F7FB"/>
          </w:tcPr>
          <w:p>
            <w:pPr>
              <w:pStyle w:val="Compact"/>
            </w:pPr>
            <w:r>
              <w:rPr>
                <w:sz w:val="17"/>
              </w:rPr>
              <w:t xml:space="preserve">G02</w:t>
            </w:r>
          </w:p>
        </w:tc>
        <w:tc>
          <w:tcPr>
            <w:shd w:val="clear" w:color="auto" w:fill="F5F7FB"/>
          </w:tcPr>
          <w:p>
            <w:pPr>
              <w:pStyle w:val="Compact"/>
            </w:pPr>
            <w:r>
              <w:rPr>
                <w:sz w:val="17"/>
              </w:rPr>
              <w:t xml:space="preserve">Recensement foncier et requalification bâti/non bâti</w:t>
            </w:r>
          </w:p>
        </w:tc>
        <w:tc>
          <w:tcPr>
            <w:shd w:val="clear" w:color="auto" w:fill="F5F7FB"/>
          </w:tcPr>
          <w:p>
            <w:pPr>
              <w:pStyle w:val="Compact"/>
            </w:pPr>
            <w:r>
              <w:rPr>
                <w:sz w:val="17"/>
              </w:rPr>
              <w:t xml:space="preserve">Assiette existante</w:t>
            </w:r>
          </w:p>
        </w:tc>
        <w:tc>
          <w:tcPr>
            <w:shd w:val="clear" w:color="auto" w:fill="F5F7FB"/>
          </w:tcPr>
          <w:p>
            <w:pPr>
              <w:pStyle w:val="Compact"/>
            </w:pPr>
            <w:r>
              <w:rPr>
                <w:sz w:val="17"/>
              </w:rPr>
              <w:t xml:space="preserve">A</w:t>
            </w:r>
          </w:p>
        </w:tc>
        <w:tc>
          <w:tcPr>
            <w:shd w:val="clear" w:color="auto" w:fill="F5F7FB"/>
          </w:tcPr>
          <w:p>
            <w:pPr>
              <w:pStyle w:val="Compact"/>
            </w:pPr>
            <w:r>
              <w:rPr>
                <w:sz w:val="17"/>
              </w:rPr>
              <w:t xml:space="preserve">Élevé</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1</w:t>
            </w:r>
          </w:p>
        </w:tc>
        <w:tc>
          <w:tcPr>
            <w:shd w:val="clear" w:color="auto" w:fill="F5F7FB"/>
          </w:tcPr>
          <w:p>
            <w:pPr>
              <w:pStyle w:val="Compact"/>
            </w:pPr>
            <w:r>
              <w:rPr>
                <w:sz w:val="17"/>
              </w:rPr>
              <w:t xml:space="preserve">Oui</w:t>
            </w:r>
          </w:p>
        </w:tc>
      </w:tr>
      <w:tr>
        <w:tc>
          <w:tcPr/>
          <w:p>
            <w:pPr>
              <w:pStyle w:val="Compact"/>
            </w:pPr>
            <w:r>
              <w:rPr>
                <w:sz w:val="17"/>
              </w:rPr>
              <w:t xml:space="preserve">G03</w:t>
            </w:r>
          </w:p>
        </w:tc>
        <w:tc>
          <w:tcPr/>
          <w:p>
            <w:pPr>
              <w:pStyle w:val="Compact"/>
            </w:pPr>
            <w:r>
              <w:rPr>
                <w:sz w:val="17"/>
              </w:rPr>
              <w:t xml:space="preserve">Quitus fiscal numérique et conditionnalité des services</w:t>
            </w:r>
          </w:p>
        </w:tc>
        <w:tc>
          <w:tcPr/>
          <w:p>
            <w:pPr>
              <w:pStyle w:val="Compact"/>
            </w:pPr>
            <w:r>
              <w:rPr>
                <w:sz w:val="17"/>
              </w:rPr>
              <w:t xml:space="preserve">Conformité</w:t>
            </w:r>
          </w:p>
        </w:tc>
        <w:tc>
          <w:tcPr/>
          <w:p>
            <w:pPr>
              <w:pStyle w:val="Compact"/>
            </w:pPr>
            <w:r>
              <w:rPr>
                <w:sz w:val="17"/>
              </w:rPr>
              <w:t xml:space="preserve">B</w:t>
            </w:r>
          </w:p>
        </w:tc>
        <w:tc>
          <w:tcPr/>
          <w:p>
            <w:pPr>
              <w:pStyle w:val="Compact"/>
            </w:pPr>
            <w:r>
              <w:rPr>
                <w:sz w:val="17"/>
              </w:rPr>
              <w:t xml:space="preserve">Élevé (effet levier)</w:t>
            </w:r>
          </w:p>
        </w:tc>
        <w:tc>
          <w:tcPr/>
          <w:p>
            <w:pPr>
              <w:pStyle w:val="Compact"/>
            </w:pPr>
            <w:r>
              <w:rPr>
                <w:sz w:val="17"/>
              </w:rPr>
              <w:t xml:space="preserve">F</w:t>
            </w:r>
          </w:p>
        </w:tc>
        <w:tc>
          <w:tcPr/>
          <w:p>
            <w:pPr>
              <w:pStyle w:val="Compact"/>
            </w:pPr>
            <w:r>
              <w:rPr>
                <w:sz w:val="17"/>
              </w:rPr>
              <w:t xml:space="preserve">1</w:t>
            </w:r>
          </w:p>
        </w:tc>
        <w:tc>
          <w:tcPr/>
          <w:p>
            <w:pPr>
              <w:pStyle w:val="Compact"/>
            </w:pPr>
            <w:r>
              <w:rPr>
                <w:sz w:val="17"/>
              </w:rPr>
              <w:t xml:space="preserve">Oui</w:t>
            </w:r>
          </w:p>
        </w:tc>
      </w:tr>
      <w:tr>
        <w:tc>
          <w:tcPr>
            <w:shd w:val="clear" w:color="auto" w:fill="F5F7FB"/>
          </w:tcPr>
          <w:p>
            <w:pPr>
              <w:pStyle w:val="Compact"/>
            </w:pPr>
            <w:r>
              <w:rPr>
                <w:sz w:val="17"/>
              </w:rPr>
              <w:t xml:space="preserve">G04</w:t>
            </w:r>
          </w:p>
        </w:tc>
        <w:tc>
          <w:tcPr>
            <w:shd w:val="clear" w:color="auto" w:fill="F5F7FB"/>
          </w:tcPr>
          <w:p>
            <w:pPr>
              <w:pStyle w:val="Compact"/>
            </w:pPr>
            <w:r>
              <w:rPr>
                <w:sz w:val="17"/>
              </w:rPr>
              <w:t xml:space="preserve">Retenue IRL par les employeurs et locataires personnes morales</w:t>
            </w:r>
          </w:p>
        </w:tc>
        <w:tc>
          <w:tcPr>
            <w:shd w:val="clear" w:color="auto" w:fill="F5F7FB"/>
          </w:tcPr>
          <w:p>
            <w:pPr>
              <w:pStyle w:val="Compact"/>
            </w:pPr>
            <w:r>
              <w:rPr>
                <w:sz w:val="17"/>
              </w:rPr>
              <w:t xml:space="preserve">Assiette existante</w:t>
            </w:r>
          </w:p>
        </w:tc>
        <w:tc>
          <w:tcPr>
            <w:shd w:val="clear" w:color="auto" w:fill="F5F7FB"/>
          </w:tcPr>
          <w:p>
            <w:pPr>
              <w:pStyle w:val="Compact"/>
            </w:pPr>
            <w:r>
              <w:rPr>
                <w:sz w:val="17"/>
              </w:rPr>
              <w:t xml:space="preserve">A</w:t>
            </w:r>
          </w:p>
        </w:tc>
        <w:tc>
          <w:tcPr>
            <w:shd w:val="clear" w:color="auto" w:fill="F5F7FB"/>
          </w:tcPr>
          <w:p>
            <w:pPr>
              <w:pStyle w:val="Compact"/>
            </w:pPr>
            <w:r>
              <w:rPr>
                <w:sz w:val="17"/>
              </w:rPr>
              <w:t xml:space="preserve">Élevé</w:t>
            </w:r>
          </w:p>
        </w:tc>
        <w:tc>
          <w:tcPr>
            <w:shd w:val="clear" w:color="auto" w:fill="F5F7FB"/>
          </w:tcPr>
          <w:p>
            <w:pPr>
              <w:pStyle w:val="Compact"/>
            </w:pPr>
            <w:r>
              <w:rPr>
                <w:sz w:val="17"/>
              </w:rPr>
              <w:t xml:space="preserve">F</w:t>
            </w:r>
          </w:p>
        </w:tc>
        <w:tc>
          <w:tcPr>
            <w:shd w:val="clear" w:color="auto" w:fill="F5F7FB"/>
          </w:tcPr>
          <w:p>
            <w:pPr>
              <w:pStyle w:val="Compact"/>
            </w:pPr>
            <w:r>
              <w:rPr>
                <w:sz w:val="17"/>
              </w:rPr>
              <w:t xml:space="preserve">1</w:t>
            </w:r>
          </w:p>
        </w:tc>
        <w:tc>
          <w:tcPr>
            <w:shd w:val="clear" w:color="auto" w:fill="F5F7FB"/>
          </w:tcPr>
          <w:p>
            <w:pPr>
              <w:pStyle w:val="Compact"/>
            </w:pPr>
            <w:r>
              <w:rPr>
                <w:sz w:val="17"/>
              </w:rPr>
              <w:t xml:space="preserve">Oui (grands employeurs)</w:t>
            </w:r>
          </w:p>
        </w:tc>
      </w:tr>
      <w:tr>
        <w:tc>
          <w:tcPr/>
          <w:p>
            <w:pPr>
              <w:pStyle w:val="Compact"/>
            </w:pPr>
            <w:r>
              <w:rPr>
                <w:sz w:val="17"/>
              </w:rPr>
              <w:t xml:space="preserve">G05</w:t>
            </w:r>
          </w:p>
        </w:tc>
        <w:tc>
          <w:tcPr/>
          <w:p>
            <w:pPr>
              <w:pStyle w:val="Compact"/>
            </w:pPr>
            <w:r>
              <w:rPr>
                <w:sz w:val="17"/>
              </w:rPr>
              <w:t xml:space="preserve">Cellule grands redevables (bière, tabac, antennes, carrières)</w:t>
            </w:r>
          </w:p>
        </w:tc>
        <w:tc>
          <w:tcPr/>
          <w:p>
            <w:pPr>
              <w:pStyle w:val="Compact"/>
            </w:pPr>
            <w:r>
              <w:rPr>
                <w:sz w:val="17"/>
              </w:rPr>
              <w:t xml:space="preserve">Fiabilisation</w:t>
            </w:r>
          </w:p>
        </w:tc>
        <w:tc>
          <w:tcPr/>
          <w:p>
            <w:pPr>
              <w:pStyle w:val="Compact"/>
            </w:pPr>
            <w:r>
              <w:rPr>
                <w:sz w:val="17"/>
              </w:rPr>
              <w:t xml:space="preserve">A</w:t>
            </w:r>
          </w:p>
        </w:tc>
        <w:tc>
          <w:tcPr/>
          <w:p>
            <w:pPr>
              <w:pStyle w:val="Compact"/>
            </w:pPr>
            <w:r>
              <w:rPr>
                <w:sz w:val="17"/>
              </w:rPr>
              <w:t xml:space="preserve">Très élevé par redevable</w:t>
            </w:r>
          </w:p>
        </w:tc>
        <w:tc>
          <w:tcPr/>
          <w:p>
            <w:pPr>
              <w:pStyle w:val="Compact"/>
            </w:pPr>
            <w:r>
              <w:rPr>
                <w:sz w:val="17"/>
              </w:rPr>
              <w:t xml:space="preserve">M</w:t>
            </w:r>
          </w:p>
        </w:tc>
        <w:tc>
          <w:tcPr/>
          <w:p>
            <w:pPr>
              <w:pStyle w:val="Compact"/>
            </w:pPr>
            <w:r>
              <w:rPr>
                <w:sz w:val="17"/>
              </w:rPr>
              <w:t xml:space="preserve">1</w:t>
            </w:r>
          </w:p>
        </w:tc>
        <w:tc>
          <w:tcPr/>
          <w:p>
            <w:pPr>
              <w:pStyle w:val="Compact"/>
            </w:pPr>
            <w:r>
              <w:rPr>
                <w:sz w:val="17"/>
              </w:rPr>
              <w:t xml:space="preserve">Oui</w:t>
            </w:r>
          </w:p>
        </w:tc>
      </w:tr>
      <w:tr>
        <w:tc>
          <w:tcPr>
            <w:shd w:val="clear" w:color="auto" w:fill="F5F7FB"/>
          </w:tcPr>
          <w:p>
            <w:pPr>
              <w:pStyle w:val="Compact"/>
            </w:pPr>
            <w:r>
              <w:rPr>
                <w:sz w:val="17"/>
              </w:rPr>
              <w:t xml:space="preserve">G06</w:t>
            </w:r>
          </w:p>
        </w:tc>
        <w:tc>
          <w:tcPr>
            <w:shd w:val="clear" w:color="auto" w:fill="F5F7FB"/>
          </w:tcPr>
          <w:p>
            <w:pPr>
              <w:pStyle w:val="Compact"/>
            </w:pPr>
            <w:r>
              <w:rPr>
                <w:sz w:val="17"/>
              </w:rPr>
              <w:t xml:space="preserve">Rapprochement automatisé et fin des fausses quittances</w:t>
            </w:r>
          </w:p>
        </w:tc>
        <w:tc>
          <w:tcPr>
            <w:shd w:val="clear" w:color="auto" w:fill="F5F7FB"/>
          </w:tcPr>
          <w:p>
            <w:pPr>
              <w:pStyle w:val="Compact"/>
            </w:pPr>
            <w:r>
              <w:rPr>
                <w:sz w:val="17"/>
              </w:rPr>
              <w:t xml:space="preserve">Déperdition évitée</w:t>
            </w:r>
          </w:p>
        </w:tc>
        <w:tc>
          <w:tcPr>
            <w:shd w:val="clear" w:color="auto" w:fill="F5F7FB"/>
          </w:tcPr>
          <w:p>
            <w:pPr>
              <w:pStyle w:val="Compact"/>
            </w:pPr>
            <w:r>
              <w:rPr>
                <w:sz w:val="17"/>
              </w:rPr>
              <w:t xml:space="preserve">A</w:t>
            </w:r>
          </w:p>
        </w:tc>
        <w:tc>
          <w:tcPr>
            <w:shd w:val="clear" w:color="auto" w:fill="F5F7FB"/>
          </w:tcPr>
          <w:p>
            <w:pPr>
              <w:pStyle w:val="Compact"/>
            </w:pPr>
            <w:r>
              <w:rPr>
                <w:sz w:val="17"/>
              </w:rPr>
              <w:t xml:space="preserve">Élevé</w:t>
            </w:r>
          </w:p>
        </w:tc>
        <w:tc>
          <w:tcPr>
            <w:shd w:val="clear" w:color="auto" w:fill="F5F7FB"/>
          </w:tcPr>
          <w:p>
            <w:pPr>
              <w:pStyle w:val="Compact"/>
            </w:pPr>
            <w:r>
              <w:rPr>
                <w:sz w:val="17"/>
              </w:rPr>
              <w:t xml:space="preserve">Réduit le risque</w:t>
            </w:r>
          </w:p>
        </w:tc>
        <w:tc>
          <w:tcPr>
            <w:shd w:val="clear" w:color="auto" w:fill="F5F7FB"/>
          </w:tcPr>
          <w:p>
            <w:pPr>
              <w:pStyle w:val="Compact"/>
            </w:pPr>
            <w:r>
              <w:rPr>
                <w:sz w:val="17"/>
              </w:rPr>
              <w:t xml:space="preserve">1</w:t>
            </w:r>
          </w:p>
        </w:tc>
        <w:tc>
          <w:tcPr>
            <w:shd w:val="clear" w:color="auto" w:fill="F5F7FB"/>
          </w:tcPr>
          <w:p>
            <w:pPr>
              <w:pStyle w:val="Compact"/>
            </w:pPr>
            <w:r>
              <w:rPr>
                <w:sz w:val="17"/>
              </w:rPr>
              <w:t xml:space="preserve">Oui</w:t>
            </w:r>
          </w:p>
        </w:tc>
      </w:tr>
      <w:tr>
        <w:tc>
          <w:tcPr/>
          <w:p>
            <w:pPr>
              <w:pStyle w:val="Compact"/>
            </w:pPr>
            <w:r>
              <w:rPr>
                <w:sz w:val="17"/>
              </w:rPr>
              <w:t xml:space="preserve">G07</w:t>
            </w:r>
          </w:p>
        </w:tc>
        <w:tc>
          <w:tcPr/>
          <w:p>
            <w:pPr>
              <w:pStyle w:val="Compact"/>
            </w:pPr>
            <w:r>
              <w:rPr>
                <w:sz w:val="17"/>
              </w:rPr>
              <w:t xml:space="preserve">Registre des exonérations et contrôle des annulations</w:t>
            </w:r>
          </w:p>
        </w:tc>
        <w:tc>
          <w:tcPr/>
          <w:p>
            <w:pPr>
              <w:pStyle w:val="Compact"/>
            </w:pPr>
            <w:r>
              <w:rPr>
                <w:sz w:val="17"/>
              </w:rPr>
              <w:t xml:space="preserve">Récupération de base</w:t>
            </w:r>
          </w:p>
        </w:tc>
        <w:tc>
          <w:tcPr/>
          <w:p>
            <w:pPr>
              <w:pStyle w:val="Compact"/>
            </w:pPr>
            <w:r>
              <w:rPr>
                <w:sz w:val="17"/>
              </w:rPr>
              <w:t xml:space="preserve">A</w:t>
            </w:r>
          </w:p>
        </w:tc>
        <w:tc>
          <w:tcPr/>
          <w:p>
            <w:pPr>
              <w:pStyle w:val="Compact"/>
            </w:pPr>
            <w:r>
              <w:rPr>
                <w:sz w:val="17"/>
              </w:rPr>
              <w:t xml:space="preserve">Moyen à élevé</w:t>
            </w:r>
          </w:p>
        </w:tc>
        <w:tc>
          <w:tcPr/>
          <w:p>
            <w:pPr>
              <w:pStyle w:val="Compact"/>
            </w:pPr>
            <w:r>
              <w:rPr>
                <w:sz w:val="17"/>
              </w:rPr>
              <w:t xml:space="preserve">Réduit le risque</w:t>
            </w:r>
          </w:p>
        </w:tc>
        <w:tc>
          <w:tcPr/>
          <w:p>
            <w:pPr>
              <w:pStyle w:val="Compact"/>
            </w:pPr>
            <w:r>
              <w:rPr>
                <w:sz w:val="17"/>
              </w:rPr>
              <w:t xml:space="preserve">1</w:t>
            </w:r>
          </w:p>
        </w:tc>
        <w:tc>
          <w:tcPr/>
          <w:p>
            <w:pPr>
              <w:pStyle w:val="Compact"/>
            </w:pPr>
            <w:r>
              <w:rPr>
                <w:sz w:val="17"/>
              </w:rPr>
              <w:t xml:space="preserve">Oui</w:t>
            </w:r>
          </w:p>
        </w:tc>
      </w:tr>
      <w:tr>
        <w:tc>
          <w:tcPr>
            <w:shd w:val="clear" w:color="auto" w:fill="F5F7FB"/>
          </w:tcPr>
          <w:p>
            <w:pPr>
              <w:pStyle w:val="Compact"/>
            </w:pPr>
            <w:r>
              <w:rPr>
                <w:sz w:val="17"/>
              </w:rPr>
              <w:t xml:space="preserve">G08</w:t>
            </w:r>
          </w:p>
        </w:tc>
        <w:tc>
          <w:tcPr>
            <w:shd w:val="clear" w:color="auto" w:fill="F5F7FB"/>
          </w:tcPr>
          <w:p>
            <w:pPr>
              <w:pStyle w:val="Compact"/>
            </w:pPr>
            <w:r>
              <w:rPr>
                <w:sz w:val="17"/>
              </w:rPr>
              <w:t xml:space="preserve">Véhicules : rapprochement immatriculations–vignette–contrôles</w:t>
            </w:r>
          </w:p>
        </w:tc>
        <w:tc>
          <w:tcPr>
            <w:shd w:val="clear" w:color="auto" w:fill="F5F7FB"/>
          </w:tcPr>
          <w:p>
            <w:pPr>
              <w:pStyle w:val="Compact"/>
            </w:pPr>
            <w:r>
              <w:rPr>
                <w:sz w:val="17"/>
              </w:rPr>
              <w:t xml:space="preserve">Assiette existante</w:t>
            </w:r>
          </w:p>
        </w:tc>
        <w:tc>
          <w:tcPr>
            <w:shd w:val="clear" w:color="auto" w:fill="F5F7FB"/>
          </w:tcPr>
          <w:p>
            <w:pPr>
              <w:pStyle w:val="Compact"/>
            </w:pPr>
            <w:r>
              <w:rPr>
                <w:sz w:val="17"/>
              </w:rPr>
              <w:t xml:space="preserve">A</w:t>
            </w:r>
          </w:p>
        </w:tc>
        <w:tc>
          <w:tcPr>
            <w:shd w:val="clear" w:color="auto" w:fill="F5F7FB"/>
          </w:tcPr>
          <w:p>
            <w:pPr>
              <w:pStyle w:val="Compact"/>
            </w:pPr>
            <w:r>
              <w:rPr>
                <w:sz w:val="17"/>
              </w:rPr>
              <w:t xml:space="preserve">Élevé</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2</w:t>
            </w:r>
          </w:p>
        </w:tc>
        <w:tc>
          <w:tcPr>
            <w:shd w:val="clear" w:color="auto" w:fill="F5F7FB"/>
          </w:tcPr>
          <w:p>
            <w:pPr>
              <w:pStyle w:val="Compact"/>
            </w:pPr>
            <w:r>
              <w:rPr>
                <w:sz w:val="17"/>
              </w:rPr>
              <w:t xml:space="preserve">Oui, contrôles ciblés</w:t>
            </w:r>
          </w:p>
        </w:tc>
      </w:tr>
      <w:tr>
        <w:tc>
          <w:tcPr/>
          <w:p>
            <w:pPr>
              <w:pStyle w:val="Compact"/>
            </w:pPr>
            <w:r>
              <w:rPr>
                <w:sz w:val="17"/>
              </w:rPr>
              <w:t xml:space="preserve">G09</w:t>
            </w:r>
          </w:p>
        </w:tc>
        <w:tc>
          <w:tcPr/>
          <w:p>
            <w:pPr>
              <w:pStyle w:val="Compact"/>
            </w:pPr>
            <w:r>
              <w:rPr>
                <w:sz w:val="17"/>
              </w:rPr>
              <w:t xml:space="preserve">Publicité extérieure non déclarée</w:t>
            </w:r>
          </w:p>
        </w:tc>
        <w:tc>
          <w:tcPr/>
          <w:p>
            <w:pPr>
              <w:pStyle w:val="Compact"/>
            </w:pPr>
            <w:r>
              <w:rPr>
                <w:sz w:val="17"/>
              </w:rPr>
              <w:t xml:space="preserve">Assiette existante</w:t>
            </w:r>
          </w:p>
        </w:tc>
        <w:tc>
          <w:tcPr/>
          <w:p>
            <w:pPr>
              <w:pStyle w:val="Compact"/>
            </w:pPr>
            <w:r>
              <w:rPr>
                <w:sz w:val="17"/>
              </w:rPr>
              <w:t xml:space="preserve">A</w:t>
            </w:r>
          </w:p>
        </w:tc>
        <w:tc>
          <w:tcPr/>
          <w:p>
            <w:pPr>
              <w:pStyle w:val="Compact"/>
            </w:pPr>
            <w:r>
              <w:rPr>
                <w:sz w:val="17"/>
              </w:rPr>
              <w:t xml:space="preserve">Élevé</w:t>
            </w:r>
          </w:p>
        </w:tc>
        <w:tc>
          <w:tcPr/>
          <w:p>
            <w:pPr>
              <w:pStyle w:val="Compact"/>
            </w:pPr>
            <w:r>
              <w:rPr>
                <w:sz w:val="17"/>
              </w:rPr>
              <w:t xml:space="preserve">M</w:t>
            </w:r>
          </w:p>
        </w:tc>
        <w:tc>
          <w:tcPr/>
          <w:p>
            <w:pPr>
              <w:pStyle w:val="Compact"/>
            </w:pPr>
            <w:r>
              <w:rPr>
                <w:sz w:val="17"/>
              </w:rPr>
              <w:t xml:space="preserve">2</w:t>
            </w:r>
          </w:p>
        </w:tc>
        <w:tc>
          <w:tcPr/>
          <w:p>
            <w:pPr>
              <w:pStyle w:val="Compact"/>
            </w:pPr>
            <w:r>
              <w:rPr>
                <w:sz w:val="17"/>
              </w:rPr>
              <w:t xml:space="preserve">Oui, axes de Gombe</w:t>
            </w:r>
          </w:p>
        </w:tc>
      </w:tr>
      <w:tr>
        <w:tc>
          <w:tcPr>
            <w:shd w:val="clear" w:color="auto" w:fill="F5F7FB"/>
          </w:tcPr>
          <w:p>
            <w:pPr>
              <w:pStyle w:val="Compact"/>
            </w:pPr>
            <w:r>
              <w:rPr>
                <w:sz w:val="17"/>
              </w:rPr>
              <w:t xml:space="preserve">G10</w:t>
            </w:r>
          </w:p>
        </w:tc>
        <w:tc>
          <w:tcPr>
            <w:shd w:val="clear" w:color="auto" w:fill="F5F7FB"/>
          </w:tcPr>
          <w:p>
            <w:pPr>
              <w:pStyle w:val="Compact"/>
            </w:pPr>
            <w:r>
              <w:rPr>
                <w:sz w:val="17"/>
              </w:rPr>
              <w:t xml:space="preserve">Occupation du domaine public (terrasses, étals, chantiers)</w:t>
            </w:r>
          </w:p>
        </w:tc>
        <w:tc>
          <w:tcPr>
            <w:shd w:val="clear" w:color="auto" w:fill="F5F7FB"/>
          </w:tcPr>
          <w:p>
            <w:pPr>
              <w:pStyle w:val="Compact"/>
            </w:pPr>
            <w:r>
              <w:rPr>
                <w:sz w:val="17"/>
              </w:rPr>
              <w:t xml:space="preserve">Assiette existante</w:t>
            </w:r>
          </w:p>
        </w:tc>
        <w:tc>
          <w:tcPr>
            <w:shd w:val="clear" w:color="auto" w:fill="F5F7FB"/>
          </w:tcPr>
          <w:p>
            <w:pPr>
              <w:pStyle w:val="Compact"/>
            </w:pPr>
            <w:r>
              <w:rPr>
                <w:sz w:val="17"/>
              </w:rPr>
              <w:t xml:space="preserve">A/B</w:t>
            </w:r>
          </w:p>
        </w:tc>
        <w:tc>
          <w:tcPr>
            <w:shd w:val="clear" w:color="auto" w:fill="F5F7FB"/>
          </w:tcPr>
          <w:p>
            <w:pPr>
              <w:pStyle w:val="Compact"/>
            </w:pPr>
            <w:r>
              <w:rPr>
                <w:sz w:val="17"/>
              </w:rPr>
              <w:t xml:space="preserve">Moyen</w:t>
            </w:r>
          </w:p>
        </w:tc>
        <w:tc>
          <w:tcPr>
            <w:shd w:val="clear" w:color="auto" w:fill="F5F7FB"/>
          </w:tcPr>
          <w:p>
            <w:pPr>
              <w:pStyle w:val="Compact"/>
            </w:pPr>
            <w:r>
              <w:rPr>
                <w:sz w:val="17"/>
              </w:rPr>
              <w:t xml:space="preserve">É</w:t>
            </w:r>
          </w:p>
        </w:tc>
        <w:tc>
          <w:tcPr>
            <w:shd w:val="clear" w:color="auto" w:fill="F5F7FB"/>
          </w:tcPr>
          <w:p>
            <w:pPr>
              <w:pStyle w:val="Compact"/>
            </w:pPr>
            <w:r>
              <w:rPr>
                <w:sz w:val="17"/>
              </w:rPr>
              <w:t xml:space="preserve">2</w:t>
            </w:r>
          </w:p>
        </w:tc>
        <w:tc>
          <w:tcPr>
            <w:shd w:val="clear" w:color="auto" w:fill="F5F7FB"/>
          </w:tcPr>
          <w:p>
            <w:pPr>
              <w:pStyle w:val="Compact"/>
            </w:pPr>
            <w:r>
              <w:rPr>
                <w:sz w:val="17"/>
              </w:rPr>
              <w:t xml:space="preserve">Oui</w:t>
            </w:r>
          </w:p>
        </w:tc>
      </w:tr>
      <w:tr>
        <w:tc>
          <w:tcPr/>
          <w:p>
            <w:pPr>
              <w:pStyle w:val="Compact"/>
            </w:pPr>
            <w:r>
              <w:rPr>
                <w:sz w:val="17"/>
              </w:rPr>
              <w:t xml:space="preserve">G11</w:t>
            </w:r>
          </w:p>
        </w:tc>
        <w:tc>
          <w:tcPr/>
          <w:p>
            <w:pPr>
              <w:pStyle w:val="Compact"/>
            </w:pPr>
            <w:r>
              <w:rPr>
                <w:sz w:val="17"/>
              </w:rPr>
              <w:t xml:space="preserve">Marchés : titres numériques, fin de la collecte en espèces</w:t>
            </w:r>
          </w:p>
        </w:tc>
        <w:tc>
          <w:tcPr/>
          <w:p>
            <w:pPr>
              <w:pStyle w:val="Compact"/>
            </w:pPr>
            <w:r>
              <w:rPr>
                <w:sz w:val="17"/>
              </w:rPr>
              <w:t xml:space="preserve">Déperdition évitée</w:t>
            </w:r>
          </w:p>
        </w:tc>
        <w:tc>
          <w:tcPr/>
          <w:p>
            <w:pPr>
              <w:pStyle w:val="Compact"/>
            </w:pPr>
            <w:r>
              <w:rPr>
                <w:sz w:val="17"/>
              </w:rPr>
              <w:t xml:space="preserve">A/B</w:t>
            </w:r>
          </w:p>
        </w:tc>
        <w:tc>
          <w:tcPr/>
          <w:p>
            <w:pPr>
              <w:pStyle w:val="Compact"/>
            </w:pPr>
            <w:r>
              <w:rPr>
                <w:sz w:val="17"/>
              </w:rPr>
              <w:t xml:space="preserve">Élevé en volume</w:t>
            </w:r>
          </w:p>
        </w:tc>
        <w:tc>
          <w:tcPr/>
          <w:p>
            <w:pPr>
              <w:pStyle w:val="Compact"/>
            </w:pPr>
            <w:r>
              <w:rPr>
                <w:sz w:val="17"/>
              </w:rPr>
              <w:t xml:space="preserve">É</w:t>
            </w:r>
          </w:p>
        </w:tc>
        <w:tc>
          <w:tcPr/>
          <w:p>
            <w:pPr>
              <w:pStyle w:val="Compact"/>
            </w:pPr>
            <w:r>
              <w:rPr>
                <w:sz w:val="17"/>
              </w:rPr>
              <w:t xml:space="preserve">2</w:t>
            </w:r>
          </w:p>
        </w:tc>
        <w:tc>
          <w:tcPr/>
          <w:p>
            <w:pPr>
              <w:pStyle w:val="Compact"/>
            </w:pPr>
            <w:r>
              <w:rPr>
                <w:sz w:val="17"/>
              </w:rPr>
              <w:t xml:space="preserve">Oui, 2 marchés</w:t>
            </w:r>
          </w:p>
        </w:tc>
      </w:tr>
      <w:tr>
        <w:tc>
          <w:tcPr>
            <w:shd w:val="clear" w:color="auto" w:fill="F5F7FB"/>
          </w:tcPr>
          <w:p>
            <w:pPr>
              <w:pStyle w:val="Compact"/>
            </w:pPr>
            <w:r>
              <w:rPr>
                <w:sz w:val="17"/>
              </w:rPr>
              <w:t xml:space="preserve">G12</w:t>
            </w:r>
          </w:p>
        </w:tc>
        <w:tc>
          <w:tcPr>
            <w:shd w:val="clear" w:color="auto" w:fill="F5F7FB"/>
          </w:tcPr>
          <w:p>
            <w:pPr>
              <w:pStyle w:val="Compact"/>
            </w:pPr>
            <w:r>
              <w:rPr>
                <w:sz w:val="17"/>
              </w:rPr>
              <w:t xml:space="preserve">Recouvrement des arriérés et régularisation volontaire</w:t>
            </w:r>
          </w:p>
        </w:tc>
        <w:tc>
          <w:tcPr>
            <w:shd w:val="clear" w:color="auto" w:fill="F5F7FB"/>
          </w:tcPr>
          <w:p>
            <w:pPr>
              <w:pStyle w:val="Compact"/>
            </w:pPr>
            <w:r>
              <w:rPr>
                <w:sz w:val="17"/>
              </w:rPr>
              <w:t xml:space="preserve">Recettes historiques</w:t>
            </w:r>
          </w:p>
        </w:tc>
        <w:tc>
          <w:tcPr>
            <w:shd w:val="clear" w:color="auto" w:fill="F5F7FB"/>
          </w:tcPr>
          <w:p>
            <w:pPr>
              <w:pStyle w:val="Compact"/>
            </w:pPr>
            <w:r>
              <w:rPr>
                <w:sz w:val="17"/>
              </w:rPr>
              <w:t xml:space="preserve">A/B</w:t>
            </w:r>
          </w:p>
        </w:tc>
        <w:tc>
          <w:tcPr>
            <w:shd w:val="clear" w:color="auto" w:fill="F5F7FB"/>
          </w:tcPr>
          <w:p>
            <w:pPr>
              <w:pStyle w:val="Compact"/>
            </w:pPr>
            <w:r>
              <w:rPr>
                <w:sz w:val="17"/>
              </w:rPr>
              <w:t xml:space="preserve">Élevé ponctuel</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2</w:t>
            </w:r>
          </w:p>
        </w:tc>
        <w:tc>
          <w:tcPr>
            <w:shd w:val="clear" w:color="auto" w:fill="F5F7FB"/>
          </w:tcPr>
          <w:p>
            <w:pPr>
              <w:pStyle w:val="Compact"/>
            </w:pPr>
            <w:r>
              <w:rPr>
                <w:sz w:val="17"/>
              </w:rPr>
              <w:t xml:space="preserve">Oui</w:t>
            </w:r>
          </w:p>
        </w:tc>
      </w:tr>
      <w:tr>
        <w:tc>
          <w:tcPr/>
          <w:p>
            <w:pPr>
              <w:pStyle w:val="Compact"/>
            </w:pPr>
            <w:r>
              <w:rPr>
                <w:sz w:val="17"/>
              </w:rPr>
              <w:t xml:space="preserve">G13</w:t>
            </w:r>
          </w:p>
        </w:tc>
        <w:tc>
          <w:tcPr/>
          <w:p>
            <w:pPr>
              <w:pStyle w:val="Compact"/>
            </w:pPr>
            <w:r>
              <w:rPr>
                <w:sz w:val="17"/>
              </w:rPr>
              <w:t xml:space="preserve">Débits de boissons (recoupement livraisons brasseries)</w:t>
            </w:r>
          </w:p>
        </w:tc>
        <w:tc>
          <w:tcPr/>
          <w:p>
            <w:pPr>
              <w:pStyle w:val="Compact"/>
            </w:pPr>
            <w:r>
              <w:rPr>
                <w:sz w:val="17"/>
              </w:rPr>
              <w:t xml:space="preserve">Assiette existante</w:t>
            </w:r>
          </w:p>
        </w:tc>
        <w:tc>
          <w:tcPr/>
          <w:p>
            <w:pPr>
              <w:pStyle w:val="Compact"/>
            </w:pPr>
            <w:r>
              <w:rPr>
                <w:sz w:val="17"/>
              </w:rPr>
              <w:t xml:space="preserve">A</w:t>
            </w:r>
          </w:p>
        </w:tc>
        <w:tc>
          <w:tcPr/>
          <w:p>
            <w:pPr>
              <w:pStyle w:val="Compact"/>
            </w:pPr>
            <w:r>
              <w:rPr>
                <w:sz w:val="17"/>
              </w:rPr>
              <w:t xml:space="preserve">Élevé</w:t>
            </w:r>
          </w:p>
        </w:tc>
        <w:tc>
          <w:tcPr/>
          <w:p>
            <w:pPr>
              <w:pStyle w:val="Compact"/>
            </w:pPr>
            <w:r>
              <w:rPr>
                <w:sz w:val="17"/>
              </w:rPr>
              <w:t xml:space="preserve">M</w:t>
            </w:r>
          </w:p>
        </w:tc>
        <w:tc>
          <w:tcPr/>
          <w:p>
            <w:pPr>
              <w:pStyle w:val="Compact"/>
            </w:pPr>
            <w:r>
              <w:rPr>
                <w:sz w:val="17"/>
              </w:rPr>
              <w:t xml:space="preserve">2</w:t>
            </w:r>
          </w:p>
        </w:tc>
        <w:tc>
          <w:tcPr/>
          <w:p>
            <w:pPr>
              <w:pStyle w:val="Compact"/>
            </w:pPr>
            <w:r>
              <w:rPr>
                <w:sz w:val="17"/>
              </w:rPr>
              <w:t xml:space="preserve">Oui</w:t>
            </w:r>
          </w:p>
        </w:tc>
      </w:tr>
      <w:tr>
        <w:tc>
          <w:tcPr>
            <w:shd w:val="clear" w:color="auto" w:fill="F5F7FB"/>
          </w:tcPr>
          <w:p>
            <w:pPr>
              <w:pStyle w:val="Compact"/>
            </w:pPr>
            <w:r>
              <w:rPr>
                <w:sz w:val="17"/>
              </w:rPr>
              <w:t xml:space="preserve">G14</w:t>
            </w:r>
          </w:p>
        </w:tc>
        <w:tc>
          <w:tcPr>
            <w:shd w:val="clear" w:color="auto" w:fill="F5F7FB"/>
          </w:tcPr>
          <w:p>
            <w:pPr>
              <w:pStyle w:val="Compact"/>
            </w:pPr>
            <w:r>
              <w:rPr>
                <w:sz w:val="17"/>
              </w:rPr>
              <w:t xml:space="preserve">Antennes : inventaire contradictoire des sites</w:t>
            </w:r>
          </w:p>
        </w:tc>
        <w:tc>
          <w:tcPr>
            <w:shd w:val="clear" w:color="auto" w:fill="F5F7FB"/>
          </w:tcPr>
          <w:p>
            <w:pPr>
              <w:pStyle w:val="Compact"/>
            </w:pPr>
            <w:r>
              <w:rPr>
                <w:sz w:val="17"/>
              </w:rPr>
              <w:t xml:space="preserve">Assiette existante</w:t>
            </w:r>
          </w:p>
        </w:tc>
        <w:tc>
          <w:tcPr>
            <w:shd w:val="clear" w:color="auto" w:fill="F5F7FB"/>
          </w:tcPr>
          <w:p>
            <w:pPr>
              <w:pStyle w:val="Compact"/>
            </w:pPr>
            <w:r>
              <w:rPr>
                <w:sz w:val="17"/>
              </w:rPr>
              <w:t xml:space="preserve">A</w:t>
            </w:r>
          </w:p>
        </w:tc>
        <w:tc>
          <w:tcPr>
            <w:shd w:val="clear" w:color="auto" w:fill="F5F7FB"/>
          </w:tcPr>
          <w:p>
            <w:pPr>
              <w:pStyle w:val="Compact"/>
            </w:pPr>
            <w:r>
              <w:rPr>
                <w:sz w:val="17"/>
              </w:rPr>
              <w:t xml:space="preserve">Élevé</w:t>
            </w:r>
          </w:p>
        </w:tc>
        <w:tc>
          <w:tcPr>
            <w:shd w:val="clear" w:color="auto" w:fill="F5F7FB"/>
          </w:tcPr>
          <w:p>
            <w:pPr>
              <w:pStyle w:val="Compact"/>
            </w:pPr>
            <w:r>
              <w:rPr>
                <w:sz w:val="17"/>
              </w:rPr>
              <w:t xml:space="preserve">F</w:t>
            </w:r>
          </w:p>
        </w:tc>
        <w:tc>
          <w:tcPr>
            <w:shd w:val="clear" w:color="auto" w:fill="F5F7FB"/>
          </w:tcPr>
          <w:p>
            <w:pPr>
              <w:pStyle w:val="Compact"/>
            </w:pPr>
            <w:r>
              <w:rPr>
                <w:sz w:val="17"/>
              </w:rPr>
              <w:t xml:space="preserve">2</w:t>
            </w:r>
          </w:p>
        </w:tc>
        <w:tc>
          <w:tcPr>
            <w:shd w:val="clear" w:color="auto" w:fill="F5F7FB"/>
          </w:tcPr>
          <w:p>
            <w:pPr>
              <w:pStyle w:val="Compact"/>
            </w:pPr>
            <w:r>
              <w:rPr>
                <w:sz w:val="17"/>
              </w:rPr>
              <w:t xml:space="preserve">Oui</w:t>
            </w:r>
          </w:p>
        </w:tc>
      </w:tr>
      <w:tr>
        <w:tc>
          <w:tcPr/>
          <w:p>
            <w:pPr>
              <w:pStyle w:val="Compact"/>
            </w:pPr>
            <w:r>
              <w:rPr>
                <w:sz w:val="17"/>
              </w:rPr>
              <w:t xml:space="preserve">G15</w:t>
            </w:r>
          </w:p>
        </w:tc>
        <w:tc>
          <w:tcPr/>
          <w:p>
            <w:pPr>
              <w:pStyle w:val="Compact"/>
            </w:pPr>
            <w:r>
              <w:rPr>
                <w:sz w:val="17"/>
              </w:rPr>
              <w:t xml:space="preserve">Stationnement réglementé (zones, rotation)</w:t>
            </w:r>
          </w:p>
        </w:tc>
        <w:tc>
          <w:tcPr/>
          <w:p>
            <w:pPr>
              <w:pStyle w:val="Compact"/>
            </w:pPr>
            <w:r>
              <w:rPr>
                <w:sz w:val="17"/>
              </w:rPr>
              <w:t xml:space="preserve">Redevance de service</w:t>
            </w:r>
          </w:p>
        </w:tc>
        <w:tc>
          <w:tcPr/>
          <w:p>
            <w:pPr>
              <w:pStyle w:val="Compact"/>
            </w:pPr>
            <w:r>
              <w:rPr>
                <w:sz w:val="17"/>
              </w:rPr>
              <w:t xml:space="preserve">B/C (zonage, tarif)</w:t>
            </w:r>
          </w:p>
        </w:tc>
        <w:tc>
          <w:tcPr/>
          <w:p>
            <w:pPr>
              <w:pStyle w:val="Compact"/>
            </w:pPr>
            <w:r>
              <w:rPr>
                <w:sz w:val="17"/>
              </w:rPr>
              <w:t xml:space="preserve">Moyen à élevé</w:t>
            </w:r>
          </w:p>
        </w:tc>
        <w:tc>
          <w:tcPr/>
          <w:p>
            <w:pPr>
              <w:pStyle w:val="Compact"/>
            </w:pPr>
            <w:r>
              <w:rPr>
                <w:sz w:val="17"/>
              </w:rPr>
              <w:t xml:space="preserve">M (réduit si sans espèces)</w:t>
            </w:r>
          </w:p>
        </w:tc>
        <w:tc>
          <w:tcPr/>
          <w:p>
            <w:pPr>
              <w:pStyle w:val="Compact"/>
            </w:pPr>
            <w:r>
              <w:rPr>
                <w:sz w:val="17"/>
              </w:rPr>
              <w:t xml:space="preserve">2</w:t>
            </w:r>
          </w:p>
        </w:tc>
        <w:tc>
          <w:tcPr/>
          <w:p>
            <w:pPr>
              <w:pStyle w:val="Compact"/>
            </w:pPr>
            <w:r>
              <w:rPr>
                <w:sz w:val="17"/>
              </w:rPr>
              <w:t xml:space="preserve">Oui, Gombe après acte</w:t>
            </w:r>
          </w:p>
        </w:tc>
      </w:tr>
      <w:tr>
        <w:tc>
          <w:tcPr>
            <w:shd w:val="clear" w:color="auto" w:fill="F5F7FB"/>
          </w:tcPr>
          <w:p>
            <w:pPr>
              <w:pStyle w:val="Compact"/>
            </w:pPr>
            <w:r>
              <w:rPr>
                <w:sz w:val="17"/>
              </w:rPr>
              <w:t xml:space="preserve">G16</w:t>
            </w:r>
          </w:p>
        </w:tc>
        <w:tc>
          <w:tcPr>
            <w:shd w:val="clear" w:color="auto" w:fill="F5F7FB"/>
          </w:tcPr>
          <w:p>
            <w:pPr>
              <w:pStyle w:val="Compact"/>
            </w:pPr>
            <w:r>
              <w:rPr>
                <w:sz w:val="17"/>
              </w:rPr>
              <w:t xml:space="preserve">Embarquement et transport (y compris moto-taxis)</w:t>
            </w:r>
          </w:p>
        </w:tc>
        <w:tc>
          <w:tcPr>
            <w:shd w:val="clear" w:color="auto" w:fill="F5F7FB"/>
          </w:tcPr>
          <w:p>
            <w:pPr>
              <w:pStyle w:val="Compact"/>
            </w:pPr>
            <w:r>
              <w:rPr>
                <w:sz w:val="17"/>
              </w:rPr>
              <w:t xml:space="preserve">Assiette existante</w:t>
            </w:r>
          </w:p>
        </w:tc>
        <w:tc>
          <w:tcPr>
            <w:shd w:val="clear" w:color="auto" w:fill="F5F7FB"/>
          </w:tcPr>
          <w:p>
            <w:pPr>
              <w:pStyle w:val="Compact"/>
            </w:pPr>
            <w:r>
              <w:rPr>
                <w:sz w:val="17"/>
              </w:rPr>
              <w:t xml:space="preserve">A/B</w:t>
            </w:r>
          </w:p>
        </w:tc>
        <w:tc>
          <w:tcPr>
            <w:shd w:val="clear" w:color="auto" w:fill="F5F7FB"/>
          </w:tcPr>
          <w:p>
            <w:pPr>
              <w:pStyle w:val="Compact"/>
            </w:pPr>
            <w:r>
              <w:rPr>
                <w:sz w:val="17"/>
              </w:rPr>
              <w:t xml:space="preserve">Moyen à élevé</w:t>
            </w:r>
          </w:p>
        </w:tc>
        <w:tc>
          <w:tcPr>
            <w:shd w:val="clear" w:color="auto" w:fill="F5F7FB"/>
          </w:tcPr>
          <w:p>
            <w:pPr>
              <w:pStyle w:val="Compact"/>
            </w:pPr>
            <w:r>
              <w:rPr>
                <w:sz w:val="17"/>
              </w:rPr>
              <w:t xml:space="preserve">É (prélèvements informels)</w:t>
            </w:r>
          </w:p>
        </w:tc>
        <w:tc>
          <w:tcPr>
            <w:shd w:val="clear" w:color="auto" w:fill="F5F7FB"/>
          </w:tcPr>
          <w:p>
            <w:pPr>
              <w:pStyle w:val="Compact"/>
            </w:pPr>
            <w:r>
              <w:rPr>
                <w:sz w:val="17"/>
              </w:rPr>
              <w:t xml:space="preserve">3</w:t>
            </w:r>
          </w:p>
        </w:tc>
        <w:tc>
          <w:tcPr>
            <w:shd w:val="clear" w:color="auto" w:fill="F5F7FB"/>
          </w:tcPr>
          <w:p>
            <w:pPr>
              <w:pStyle w:val="Compact"/>
            </w:pPr>
            <w:r>
              <w:rPr>
                <w:sz w:val="17"/>
              </w:rPr>
              <w:t xml:space="preserve">Après concertation</w:t>
            </w:r>
          </w:p>
        </w:tc>
      </w:tr>
      <w:tr>
        <w:tc>
          <w:tcPr/>
          <w:p>
            <w:pPr>
              <w:pStyle w:val="Compact"/>
            </w:pPr>
            <w:r>
              <w:rPr>
                <w:sz w:val="17"/>
              </w:rPr>
              <w:t xml:space="preserve">G17</w:t>
            </w:r>
          </w:p>
        </w:tc>
        <w:tc>
          <w:tcPr/>
          <w:p>
            <w:pPr>
              <w:pStyle w:val="Compact"/>
            </w:pPr>
            <w:r>
              <w:rPr>
                <w:sz w:val="17"/>
              </w:rPr>
              <w:t xml:space="preserve">Droits liés aux chantiers et permis de bâtir</w:t>
            </w:r>
          </w:p>
        </w:tc>
        <w:tc>
          <w:tcPr/>
          <w:p>
            <w:pPr>
              <w:pStyle w:val="Compact"/>
            </w:pPr>
            <w:r>
              <w:rPr>
                <w:sz w:val="17"/>
              </w:rPr>
              <w:t xml:space="preserve">Droit administratif</w:t>
            </w:r>
          </w:p>
        </w:tc>
        <w:tc>
          <w:tcPr/>
          <w:p>
            <w:pPr>
              <w:pStyle w:val="Compact"/>
            </w:pPr>
            <w:r>
              <w:rPr>
                <w:sz w:val="17"/>
              </w:rPr>
              <w:t xml:space="preserve">B/C</w:t>
            </w:r>
          </w:p>
        </w:tc>
        <w:tc>
          <w:tcPr/>
          <w:p>
            <w:pPr>
              <w:pStyle w:val="Compact"/>
            </w:pPr>
            <w:r>
              <w:rPr>
                <w:sz w:val="17"/>
              </w:rPr>
              <w:t xml:space="preserve">Moyen</w:t>
            </w:r>
          </w:p>
        </w:tc>
        <w:tc>
          <w:tcPr/>
          <w:p>
            <w:pPr>
              <w:pStyle w:val="Compact"/>
            </w:pPr>
            <w:r>
              <w:rPr>
                <w:sz w:val="17"/>
              </w:rPr>
              <w:t xml:space="preserve">M</w:t>
            </w:r>
          </w:p>
        </w:tc>
        <w:tc>
          <w:tcPr/>
          <w:p>
            <w:pPr>
              <w:pStyle w:val="Compact"/>
            </w:pPr>
            <w:r>
              <w:rPr>
                <w:sz w:val="17"/>
              </w:rPr>
              <w:t xml:space="preserve">3</w:t>
            </w:r>
          </w:p>
        </w:tc>
        <w:tc>
          <w:tcPr/>
          <w:p>
            <w:pPr>
              <w:pStyle w:val="Compact"/>
            </w:pPr>
            <w:r>
              <w:rPr>
                <w:sz w:val="17"/>
              </w:rPr>
              <w:t xml:space="preserve">Oui</w:t>
            </w:r>
          </w:p>
        </w:tc>
      </w:tr>
      <w:tr>
        <w:tc>
          <w:tcPr>
            <w:shd w:val="clear" w:color="auto" w:fill="F5F7FB"/>
          </w:tcPr>
          <w:p>
            <w:pPr>
              <w:pStyle w:val="Compact"/>
            </w:pPr>
            <w:r>
              <w:rPr>
                <w:sz w:val="17"/>
              </w:rPr>
              <w:t xml:space="preserve">G18</w:t>
            </w:r>
          </w:p>
        </w:tc>
        <w:tc>
          <w:tcPr>
            <w:shd w:val="clear" w:color="auto" w:fill="F5F7FB"/>
          </w:tcPr>
          <w:p>
            <w:pPr>
              <w:pStyle w:val="Compact"/>
            </w:pPr>
            <w:r>
              <w:rPr>
                <w:sz w:val="17"/>
              </w:rPr>
              <w:t xml:space="preserve">Carrières : comptage des sorties rapproché des déclarations</w:t>
            </w:r>
          </w:p>
        </w:tc>
        <w:tc>
          <w:tcPr>
            <w:shd w:val="clear" w:color="auto" w:fill="F5F7FB"/>
          </w:tcPr>
          <w:p>
            <w:pPr>
              <w:pStyle w:val="Compact"/>
            </w:pPr>
            <w:r>
              <w:rPr>
                <w:sz w:val="17"/>
              </w:rPr>
              <w:t xml:space="preserve">Assiette existante</w:t>
            </w:r>
          </w:p>
        </w:tc>
        <w:tc>
          <w:tcPr>
            <w:shd w:val="clear" w:color="auto" w:fill="F5F7FB"/>
          </w:tcPr>
          <w:p>
            <w:pPr>
              <w:pStyle w:val="Compact"/>
            </w:pPr>
            <w:r>
              <w:rPr>
                <w:sz w:val="17"/>
              </w:rPr>
              <w:t xml:space="preserve">A</w:t>
            </w:r>
          </w:p>
        </w:tc>
        <w:tc>
          <w:tcPr>
            <w:shd w:val="clear" w:color="auto" w:fill="F5F7FB"/>
          </w:tcPr>
          <w:p>
            <w:pPr>
              <w:pStyle w:val="Compact"/>
            </w:pPr>
            <w:r>
              <w:rPr>
                <w:sz w:val="17"/>
              </w:rPr>
              <w:t xml:space="preserve">Moyen</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3</w:t>
            </w:r>
          </w:p>
        </w:tc>
        <w:tc>
          <w:tcPr>
            <w:shd w:val="clear" w:color="auto" w:fill="F5F7FB"/>
          </w:tcPr>
          <w:p>
            <w:pPr>
              <w:pStyle w:val="Compact"/>
            </w:pPr>
            <w:r>
              <w:rPr>
                <w:sz w:val="17"/>
              </w:rPr>
              <w:t xml:space="preserve">Étude</w:t>
            </w:r>
          </w:p>
        </w:tc>
      </w:tr>
      <w:tr>
        <w:tc>
          <w:tcPr/>
          <w:p>
            <w:pPr>
              <w:pStyle w:val="Compact"/>
            </w:pPr>
            <w:r>
              <w:rPr>
                <w:sz w:val="17"/>
              </w:rPr>
              <w:t xml:space="preserve">G19</w:t>
            </w:r>
          </w:p>
        </w:tc>
        <w:tc>
          <w:tcPr/>
          <w:p>
            <w:pPr>
              <w:pStyle w:val="Compact"/>
            </w:pPr>
            <w:r>
              <w:rPr>
                <w:sz w:val="17"/>
              </w:rPr>
              <w:t xml:space="preserve">Ports privés et accostage</w:t>
            </w:r>
          </w:p>
        </w:tc>
        <w:tc>
          <w:tcPr/>
          <w:p>
            <w:pPr>
              <w:pStyle w:val="Compact"/>
            </w:pPr>
            <w:r>
              <w:rPr>
                <w:sz w:val="17"/>
              </w:rPr>
              <w:t xml:space="preserve">Assiette existante</w:t>
            </w:r>
          </w:p>
        </w:tc>
        <w:tc>
          <w:tcPr/>
          <w:p>
            <w:pPr>
              <w:pStyle w:val="Compact"/>
            </w:pPr>
            <w:r>
              <w:rPr>
                <w:sz w:val="17"/>
              </w:rPr>
              <w:t xml:space="preserve">A</w:t>
            </w:r>
          </w:p>
        </w:tc>
        <w:tc>
          <w:tcPr/>
          <w:p>
            <w:pPr>
              <w:pStyle w:val="Compact"/>
            </w:pPr>
            <w:r>
              <w:rPr>
                <w:sz w:val="17"/>
              </w:rPr>
              <w:t xml:space="preserve">Moyen</w:t>
            </w:r>
          </w:p>
        </w:tc>
        <w:tc>
          <w:tcPr/>
          <w:p>
            <w:pPr>
              <w:pStyle w:val="Compact"/>
            </w:pPr>
            <w:r>
              <w:rPr>
                <w:sz w:val="17"/>
              </w:rPr>
              <w:t xml:space="preserve">M</w:t>
            </w:r>
          </w:p>
        </w:tc>
        <w:tc>
          <w:tcPr/>
          <w:p>
            <w:pPr>
              <w:pStyle w:val="Compact"/>
            </w:pPr>
            <w:r>
              <w:rPr>
                <w:sz w:val="17"/>
              </w:rPr>
              <w:t xml:space="preserve">3</w:t>
            </w:r>
          </w:p>
        </w:tc>
        <w:tc>
          <w:tcPr/>
          <w:p>
            <w:pPr>
              <w:pStyle w:val="Compact"/>
            </w:pPr>
            <w:r>
              <w:rPr>
                <w:sz w:val="17"/>
              </w:rPr>
              <w:t xml:space="preserve">Cadrage sectoriel</w:t>
            </w:r>
          </w:p>
        </w:tc>
      </w:tr>
      <w:tr>
        <w:tc>
          <w:tcPr>
            <w:shd w:val="clear" w:color="auto" w:fill="F5F7FB"/>
          </w:tcPr>
          <w:p>
            <w:pPr>
              <w:pStyle w:val="Compact"/>
            </w:pPr>
            <w:r>
              <w:rPr>
                <w:sz w:val="17"/>
              </w:rPr>
              <w:t xml:space="preserve">G20</w:t>
            </w:r>
          </w:p>
        </w:tc>
        <w:tc>
          <w:tcPr>
            <w:shd w:val="clear" w:color="auto" w:fill="F5F7FB"/>
          </w:tcPr>
          <w:p>
            <w:pPr>
              <w:pStyle w:val="Compact"/>
            </w:pPr>
            <w:r>
              <w:rPr>
                <w:sz w:val="17"/>
              </w:rPr>
              <w:t xml:space="preserve">Événements et spectacles (billetterie déclarée)</w:t>
            </w:r>
          </w:p>
        </w:tc>
        <w:tc>
          <w:tcPr>
            <w:shd w:val="clear" w:color="auto" w:fill="F5F7FB"/>
          </w:tcPr>
          <w:p>
            <w:pPr>
              <w:pStyle w:val="Compact"/>
            </w:pPr>
            <w:r>
              <w:rPr>
                <w:sz w:val="17"/>
              </w:rPr>
              <w:t xml:space="preserve">Assiette existante</w:t>
            </w:r>
          </w:p>
        </w:tc>
        <w:tc>
          <w:tcPr>
            <w:shd w:val="clear" w:color="auto" w:fill="F5F7FB"/>
          </w:tcPr>
          <w:p>
            <w:pPr>
              <w:pStyle w:val="Compact"/>
            </w:pPr>
            <w:r>
              <w:rPr>
                <w:sz w:val="17"/>
              </w:rPr>
              <w:t xml:space="preserve">A</w:t>
            </w:r>
          </w:p>
        </w:tc>
        <w:tc>
          <w:tcPr>
            <w:shd w:val="clear" w:color="auto" w:fill="F5F7FB"/>
          </w:tcPr>
          <w:p>
            <w:pPr>
              <w:pStyle w:val="Compact"/>
            </w:pPr>
            <w:r>
              <w:rPr>
                <w:sz w:val="17"/>
              </w:rPr>
              <w:t xml:space="preserve">Faible à moyen</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3</w:t>
            </w:r>
          </w:p>
        </w:tc>
        <w:tc>
          <w:tcPr>
            <w:shd w:val="clear" w:color="auto" w:fill="F5F7FB"/>
          </w:tcPr>
          <w:p>
            <w:pPr>
              <w:pStyle w:val="Compact"/>
            </w:pPr>
            <w:r>
              <w:rPr>
                <w:sz w:val="17"/>
              </w:rPr>
              <w:t xml:space="preserve">Oui</w:t>
            </w:r>
          </w:p>
        </w:tc>
      </w:tr>
      <w:tr>
        <w:tc>
          <w:tcPr/>
          <w:p>
            <w:pPr>
              <w:pStyle w:val="Compact"/>
            </w:pPr>
            <w:r>
              <w:rPr>
                <w:sz w:val="17"/>
              </w:rPr>
              <w:t xml:space="preserve">G21</w:t>
            </w:r>
          </w:p>
        </w:tc>
        <w:tc>
          <w:tcPr/>
          <w:p>
            <w:pPr>
              <w:pStyle w:val="Compact"/>
            </w:pPr>
            <w:r>
              <w:rPr>
                <w:sz w:val="17"/>
              </w:rPr>
              <w:t xml:space="preserve">Location et valorisation d’actifs provinciaux sous-utilisés</w:t>
            </w:r>
          </w:p>
        </w:tc>
        <w:tc>
          <w:tcPr/>
          <w:p>
            <w:pPr>
              <w:pStyle w:val="Compact"/>
            </w:pPr>
            <w:r>
              <w:rPr>
                <w:sz w:val="17"/>
              </w:rPr>
              <w:t xml:space="preserve">Recette domaniale</w:t>
            </w:r>
          </w:p>
        </w:tc>
        <w:tc>
          <w:tcPr/>
          <w:p>
            <w:pPr>
              <w:pStyle w:val="Compact"/>
            </w:pPr>
            <w:r>
              <w:rPr>
                <w:sz w:val="17"/>
              </w:rPr>
              <w:t xml:space="preserve">B/C</w:t>
            </w:r>
          </w:p>
        </w:tc>
        <w:tc>
          <w:tcPr/>
          <w:p>
            <w:pPr>
              <w:pStyle w:val="Compact"/>
            </w:pPr>
            <w:r>
              <w:rPr>
                <w:sz w:val="17"/>
              </w:rPr>
              <w:t xml:space="preserve">Moyen</w:t>
            </w:r>
          </w:p>
        </w:tc>
        <w:tc>
          <w:tcPr/>
          <w:p>
            <w:pPr>
              <w:pStyle w:val="Compact"/>
            </w:pPr>
            <w:r>
              <w:rPr>
                <w:sz w:val="17"/>
              </w:rPr>
              <w:t xml:space="preserve">É (bradage)</w:t>
            </w:r>
          </w:p>
        </w:tc>
        <w:tc>
          <w:tcPr/>
          <w:p>
            <w:pPr>
              <w:pStyle w:val="Compact"/>
            </w:pPr>
            <w:r>
              <w:rPr>
                <w:sz w:val="17"/>
              </w:rPr>
              <w:t xml:space="preserve">3</w:t>
            </w:r>
          </w:p>
        </w:tc>
        <w:tc>
          <w:tcPr/>
          <w:p>
            <w:pPr>
              <w:pStyle w:val="Compact"/>
            </w:pPr>
            <w:r>
              <w:rPr>
                <w:sz w:val="17"/>
              </w:rPr>
              <w:t xml:space="preserve">Inventaire d’abord</w:t>
            </w:r>
          </w:p>
        </w:tc>
      </w:tr>
      <w:tr>
        <w:tc>
          <w:tcPr>
            <w:shd w:val="clear" w:color="auto" w:fill="F5F7FB"/>
          </w:tcPr>
          <w:p>
            <w:pPr>
              <w:pStyle w:val="Compact"/>
            </w:pPr>
            <w:r>
              <w:rPr>
                <w:sz w:val="17"/>
              </w:rPr>
              <w:t xml:space="preserve">G22</w:t>
            </w:r>
          </w:p>
        </w:tc>
        <w:tc>
          <w:tcPr>
            <w:shd w:val="clear" w:color="auto" w:fill="F5F7FB"/>
          </w:tcPr>
          <w:p>
            <w:pPr>
              <w:pStyle w:val="Compact"/>
            </w:pPr>
            <w:r>
              <w:rPr>
                <w:sz w:val="17"/>
              </w:rPr>
              <w:t xml:space="preserve">Droits de dénomination et de publicité sur actifs publics</w:t>
            </w:r>
          </w:p>
        </w:tc>
        <w:tc>
          <w:tcPr>
            <w:shd w:val="clear" w:color="auto" w:fill="F5F7FB"/>
          </w:tcPr>
          <w:p>
            <w:pPr>
              <w:pStyle w:val="Compact"/>
            </w:pPr>
            <w:r>
              <w:rPr>
                <w:sz w:val="17"/>
              </w:rPr>
              <w:t xml:space="preserve">Recette commerciale</w:t>
            </w:r>
          </w:p>
        </w:tc>
        <w:tc>
          <w:tcPr>
            <w:shd w:val="clear" w:color="auto" w:fill="F5F7FB"/>
          </w:tcPr>
          <w:p>
            <w:pPr>
              <w:pStyle w:val="Compact"/>
            </w:pPr>
            <w:r>
              <w:rPr>
                <w:sz w:val="17"/>
              </w:rPr>
              <w:t xml:space="preserve">C</w:t>
            </w:r>
          </w:p>
        </w:tc>
        <w:tc>
          <w:tcPr>
            <w:shd w:val="clear" w:color="auto" w:fill="F5F7FB"/>
          </w:tcPr>
          <w:p>
            <w:pPr>
              <w:pStyle w:val="Compact"/>
            </w:pPr>
            <w:r>
              <w:rPr>
                <w:sz w:val="17"/>
              </w:rPr>
              <w:t xml:space="preserve">Faible à moyen</w:t>
            </w:r>
          </w:p>
        </w:tc>
        <w:tc>
          <w:tcPr>
            <w:shd w:val="clear" w:color="auto" w:fill="F5F7FB"/>
          </w:tcPr>
          <w:p>
            <w:pPr>
              <w:pStyle w:val="Compact"/>
            </w:pPr>
            <w:r>
              <w:rPr>
                <w:sz w:val="17"/>
              </w:rPr>
              <w:t xml:space="preserve">É</w:t>
            </w:r>
          </w:p>
        </w:tc>
        <w:tc>
          <w:tcPr>
            <w:shd w:val="clear" w:color="auto" w:fill="F5F7FB"/>
          </w:tcPr>
          <w:p>
            <w:pPr>
              <w:pStyle w:val="Compact"/>
            </w:pPr>
            <w:r>
              <w:rPr>
                <w:sz w:val="17"/>
              </w:rPr>
              <w:t xml:space="preserve">4</w:t>
            </w:r>
          </w:p>
        </w:tc>
        <w:tc>
          <w:tcPr>
            <w:shd w:val="clear" w:color="auto" w:fill="F5F7FB"/>
          </w:tcPr>
          <w:p>
            <w:pPr>
              <w:pStyle w:val="Compact"/>
            </w:pPr>
            <w:r>
              <w:rPr>
                <w:sz w:val="17"/>
              </w:rPr>
              <w:t xml:space="preserve">Étude</w:t>
            </w:r>
          </w:p>
        </w:tc>
      </w:tr>
      <w:tr>
        <w:tc>
          <w:tcPr/>
          <w:p>
            <w:pPr>
              <w:pStyle w:val="Compact"/>
            </w:pPr>
            <w:r>
              <w:rPr>
                <w:sz w:val="17"/>
              </w:rPr>
              <w:t xml:space="preserve">G23</w:t>
            </w:r>
          </w:p>
        </w:tc>
        <w:tc>
          <w:tcPr/>
          <w:p>
            <w:pPr>
              <w:pStyle w:val="Compact"/>
            </w:pPr>
            <w:r>
              <w:rPr>
                <w:sz w:val="17"/>
              </w:rPr>
              <w:t xml:space="preserve">Services administratifs numériques premium (délai garanti)</w:t>
            </w:r>
          </w:p>
        </w:tc>
        <w:tc>
          <w:tcPr/>
          <w:p>
            <w:pPr>
              <w:pStyle w:val="Compact"/>
            </w:pPr>
            <w:r>
              <w:rPr>
                <w:sz w:val="17"/>
              </w:rPr>
              <w:t xml:space="preserve">Droit administratif</w:t>
            </w:r>
          </w:p>
        </w:tc>
        <w:tc>
          <w:tcPr/>
          <w:p>
            <w:pPr>
              <w:pStyle w:val="Compact"/>
            </w:pPr>
            <w:r>
              <w:rPr>
                <w:sz w:val="17"/>
              </w:rPr>
              <w:t xml:space="preserve">C</w:t>
            </w:r>
          </w:p>
        </w:tc>
        <w:tc>
          <w:tcPr/>
          <w:p>
            <w:pPr>
              <w:pStyle w:val="Compact"/>
            </w:pPr>
            <w:r>
              <w:rPr>
                <w:sz w:val="17"/>
              </w:rPr>
              <w:t xml:space="preserve">Faible</w:t>
            </w:r>
          </w:p>
        </w:tc>
        <w:tc>
          <w:tcPr/>
          <w:p>
            <w:pPr>
              <w:pStyle w:val="Compact"/>
            </w:pPr>
            <w:r>
              <w:rPr>
                <w:sz w:val="17"/>
              </w:rPr>
              <w:t xml:space="preserve">M (service à deux vitesses)</w:t>
            </w:r>
          </w:p>
        </w:tc>
        <w:tc>
          <w:tcPr/>
          <w:p>
            <w:pPr>
              <w:pStyle w:val="Compact"/>
            </w:pPr>
            <w:r>
              <w:rPr>
                <w:sz w:val="17"/>
              </w:rPr>
              <w:t xml:space="preserve">4</w:t>
            </w:r>
          </w:p>
        </w:tc>
        <w:tc>
          <w:tcPr/>
          <w:p>
            <w:pPr>
              <w:pStyle w:val="Compact"/>
            </w:pPr>
            <w:r>
              <w:rPr>
                <w:sz w:val="17"/>
              </w:rPr>
              <w:t xml:space="preserve">Étude</w:t>
            </w:r>
          </w:p>
        </w:tc>
      </w:tr>
      <w:tr>
        <w:tc>
          <w:tcPr>
            <w:shd w:val="clear" w:color="auto" w:fill="F5F7FB"/>
          </w:tcPr>
          <w:p>
            <w:pPr>
              <w:pStyle w:val="Compact"/>
            </w:pPr>
            <w:r>
              <w:rPr>
                <w:sz w:val="17"/>
              </w:rPr>
              <w:t xml:space="preserve">G24</w:t>
            </w:r>
          </w:p>
        </w:tc>
        <w:tc>
          <w:tcPr>
            <w:shd w:val="clear" w:color="auto" w:fill="F5F7FB"/>
          </w:tcPr>
          <w:p>
            <w:pPr>
              <w:pStyle w:val="Compact"/>
            </w:pPr>
            <w:r>
              <w:rPr>
                <w:sz w:val="17"/>
              </w:rPr>
              <w:t xml:space="preserve">Produits de données urbaines anonymisées</w:t>
            </w:r>
          </w:p>
        </w:tc>
        <w:tc>
          <w:tcPr>
            <w:shd w:val="clear" w:color="auto" w:fill="F5F7FB"/>
          </w:tcPr>
          <w:p>
            <w:pPr>
              <w:pStyle w:val="Compact"/>
            </w:pPr>
            <w:r>
              <w:rPr>
                <w:sz w:val="17"/>
              </w:rPr>
              <w:t xml:space="preserve">Recette commerciale</w:t>
            </w:r>
          </w:p>
        </w:tc>
        <w:tc>
          <w:tcPr>
            <w:shd w:val="clear" w:color="auto" w:fill="F5F7FB"/>
          </w:tcPr>
          <w:p>
            <w:pPr>
              <w:pStyle w:val="Compact"/>
            </w:pPr>
            <w:r>
              <w:rPr>
                <w:sz w:val="17"/>
              </w:rPr>
              <w:t xml:space="preserve">C + protection des données</w:t>
            </w:r>
          </w:p>
        </w:tc>
        <w:tc>
          <w:tcPr>
            <w:shd w:val="clear" w:color="auto" w:fill="F5F7FB"/>
          </w:tcPr>
          <w:p>
            <w:pPr>
              <w:pStyle w:val="Compact"/>
            </w:pPr>
            <w:r>
              <w:rPr>
                <w:sz w:val="17"/>
              </w:rPr>
              <w:t xml:space="preserve">Faible</w:t>
            </w:r>
          </w:p>
        </w:tc>
        <w:tc>
          <w:tcPr>
            <w:shd w:val="clear" w:color="auto" w:fill="F5F7FB"/>
          </w:tcPr>
          <w:p>
            <w:pPr>
              <w:pStyle w:val="Compact"/>
            </w:pPr>
            <w:r>
              <w:rPr>
                <w:sz w:val="17"/>
              </w:rPr>
              <w:t xml:space="preserve">M (ré-identification)</w:t>
            </w:r>
          </w:p>
        </w:tc>
        <w:tc>
          <w:tcPr>
            <w:shd w:val="clear" w:color="auto" w:fill="F5F7FB"/>
          </w:tcPr>
          <w:p>
            <w:pPr>
              <w:pStyle w:val="Compact"/>
            </w:pPr>
            <w:r>
              <w:rPr>
                <w:sz w:val="17"/>
              </w:rPr>
              <w:t xml:space="preserve">4</w:t>
            </w:r>
          </w:p>
        </w:tc>
        <w:tc>
          <w:tcPr>
            <w:shd w:val="clear" w:color="auto" w:fill="F5F7FB"/>
          </w:tcPr>
          <w:p>
            <w:pPr>
              <w:pStyle w:val="Compact"/>
            </w:pPr>
            <w:r>
              <w:rPr>
                <w:sz w:val="17"/>
              </w:rPr>
              <w:t xml:space="preserve">Non avant 2028</w:t>
            </w:r>
          </w:p>
        </w:tc>
      </w:tr>
      <w:tr>
        <w:tc>
          <w:tcPr/>
          <w:p>
            <w:pPr>
              <w:pStyle w:val="Compact"/>
            </w:pPr>
            <w:r>
              <w:rPr>
                <w:sz w:val="17"/>
              </w:rPr>
              <w:t xml:space="preserve">G25</w:t>
            </w:r>
          </w:p>
        </w:tc>
        <w:tc>
          <w:tcPr/>
          <w:p>
            <w:pPr>
              <w:pStyle w:val="Compact"/>
            </w:pPr>
            <w:r>
              <w:rPr>
                <w:sz w:val="17"/>
              </w:rPr>
              <w:t xml:space="preserve">Contribution environnementale plastique / REP</w:t>
            </w:r>
          </w:p>
        </w:tc>
        <w:tc>
          <w:tcPr/>
          <w:p>
            <w:pPr>
              <w:pStyle w:val="Compact"/>
            </w:pPr>
            <w:r>
              <w:rPr>
                <w:sz w:val="17"/>
              </w:rPr>
              <w:t xml:space="preserve">Prélèvement nouveau</w:t>
            </w:r>
          </w:p>
        </w:tc>
        <w:tc>
          <w:tcPr/>
          <w:p>
            <w:pPr>
              <w:pStyle w:val="Compact"/>
            </w:pPr>
            <w:r>
              <w:rPr>
                <w:b/>
                <w:bCs/>
                <w:sz w:val="17"/>
              </w:rPr>
              <w:t xml:space="preserve">D</w:t>
            </w:r>
          </w:p>
        </w:tc>
        <w:tc>
          <w:tcPr/>
          <w:p>
            <w:pPr>
              <w:pStyle w:val="Compact"/>
            </w:pPr>
            <w:r>
              <w:rPr>
                <w:sz w:val="17"/>
              </w:rPr>
              <w:t xml:space="preserve">Moyen, décroissant</w:t>
            </w:r>
          </w:p>
        </w:tc>
        <w:tc>
          <w:tcPr/>
          <w:p>
            <w:pPr>
              <w:pStyle w:val="Compact"/>
            </w:pPr>
            <w:r>
              <w:rPr>
                <w:sz w:val="17"/>
              </w:rPr>
              <w:t xml:space="preserve">M</w:t>
            </w:r>
          </w:p>
        </w:tc>
        <w:tc>
          <w:tcPr/>
          <w:p>
            <w:pPr>
              <w:pStyle w:val="Compact"/>
            </w:pPr>
            <w:r>
              <w:rPr>
                <w:sz w:val="17"/>
              </w:rPr>
              <w:t xml:space="preserve">4</w:t>
            </w:r>
          </w:p>
        </w:tc>
        <w:tc>
          <w:tcPr/>
          <w:p>
            <w:pPr>
              <w:pStyle w:val="Compact"/>
            </w:pPr>
            <w:r>
              <w:rPr>
                <w:sz w:val="17"/>
              </w:rPr>
              <w:t xml:space="preserve">Étude d’impact</w:t>
            </w:r>
          </w:p>
        </w:tc>
      </w:tr>
      <w:tr>
        <w:tc>
          <w:tcPr>
            <w:shd w:val="clear" w:color="auto" w:fill="F5F7FB"/>
          </w:tcPr>
          <w:p>
            <w:pPr>
              <w:pStyle w:val="Compact"/>
            </w:pPr>
            <w:r>
              <w:rPr>
                <w:sz w:val="17"/>
              </w:rPr>
              <w:t xml:space="preserve">G26</w:t>
            </w:r>
          </w:p>
        </w:tc>
        <w:tc>
          <w:tcPr>
            <w:shd w:val="clear" w:color="auto" w:fill="F5F7FB"/>
          </w:tcPr>
          <w:p>
            <w:pPr>
              <w:pStyle w:val="Compact"/>
            </w:pPr>
            <w:r>
              <w:rPr>
                <w:sz w:val="17"/>
              </w:rPr>
              <w:t xml:space="preserve">Accès logistique des poids lourds et zones de livraison</w:t>
            </w:r>
          </w:p>
        </w:tc>
        <w:tc>
          <w:tcPr>
            <w:shd w:val="clear" w:color="auto" w:fill="F5F7FB"/>
          </w:tcPr>
          <w:p>
            <w:pPr>
              <w:pStyle w:val="Compact"/>
            </w:pPr>
            <w:r>
              <w:rPr>
                <w:sz w:val="17"/>
              </w:rPr>
              <w:t xml:space="preserve">Redevance nouvelle</w:t>
            </w:r>
          </w:p>
        </w:tc>
        <w:tc>
          <w:tcPr>
            <w:shd w:val="clear" w:color="auto" w:fill="F5F7FB"/>
          </w:tcPr>
          <w:p>
            <w:pPr>
              <w:pStyle w:val="Compact"/>
            </w:pPr>
            <w:r>
              <w:rPr>
                <w:sz w:val="17"/>
              </w:rPr>
              <w:t xml:space="preserve">C/D</w:t>
            </w:r>
          </w:p>
        </w:tc>
        <w:tc>
          <w:tcPr>
            <w:shd w:val="clear" w:color="auto" w:fill="F5F7FB"/>
          </w:tcPr>
          <w:p>
            <w:pPr>
              <w:pStyle w:val="Compact"/>
            </w:pPr>
            <w:r>
              <w:rPr>
                <w:sz w:val="17"/>
              </w:rPr>
              <w:t xml:space="preserve">Moyen</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4</w:t>
            </w:r>
          </w:p>
        </w:tc>
        <w:tc>
          <w:tcPr>
            <w:shd w:val="clear" w:color="auto" w:fill="F5F7FB"/>
          </w:tcPr>
          <w:p>
            <w:pPr>
              <w:pStyle w:val="Compact"/>
            </w:pPr>
            <w:r>
              <w:rPr>
                <w:sz w:val="17"/>
              </w:rPr>
              <w:t xml:space="preserve">Étude</w:t>
            </w:r>
          </w:p>
        </w:tc>
      </w:tr>
      <w:tr>
        <w:tc>
          <w:tcPr/>
          <w:p>
            <w:pPr>
              <w:pStyle w:val="Compact"/>
            </w:pPr>
            <w:r>
              <w:rPr>
                <w:sz w:val="17"/>
              </w:rPr>
              <w:t xml:space="preserve">G27</w:t>
            </w:r>
          </w:p>
        </w:tc>
        <w:tc>
          <w:tcPr/>
          <w:p>
            <w:pPr>
              <w:pStyle w:val="Compact"/>
            </w:pPr>
            <w:r>
              <w:rPr>
                <w:sz w:val="17"/>
              </w:rPr>
              <w:t xml:space="preserve">Captation de plus-value foncière liée aux infrastructures</w:t>
            </w:r>
          </w:p>
        </w:tc>
        <w:tc>
          <w:tcPr/>
          <w:p>
            <w:pPr>
              <w:pStyle w:val="Compact"/>
            </w:pPr>
            <w:r>
              <w:rPr>
                <w:sz w:val="17"/>
              </w:rPr>
              <w:t xml:space="preserve">Prélèvement nouveau</w:t>
            </w:r>
          </w:p>
        </w:tc>
        <w:tc>
          <w:tcPr/>
          <w:p>
            <w:pPr>
              <w:pStyle w:val="Compact"/>
            </w:pPr>
            <w:r>
              <w:rPr>
                <w:b/>
                <w:bCs/>
                <w:sz w:val="17"/>
              </w:rPr>
              <w:t xml:space="preserve">D</w:t>
            </w:r>
          </w:p>
        </w:tc>
        <w:tc>
          <w:tcPr/>
          <w:p>
            <w:pPr>
              <w:pStyle w:val="Compact"/>
            </w:pPr>
            <w:r>
              <w:rPr>
                <w:sz w:val="17"/>
              </w:rPr>
              <w:t xml:space="preserve">Élevé à long terme</w:t>
            </w:r>
          </w:p>
        </w:tc>
        <w:tc>
          <w:tcPr/>
          <w:p>
            <w:pPr>
              <w:pStyle w:val="Compact"/>
            </w:pPr>
            <w:r>
              <w:rPr>
                <w:sz w:val="17"/>
              </w:rPr>
              <w:t xml:space="preserve">É (évaluation)</w:t>
            </w:r>
          </w:p>
        </w:tc>
        <w:tc>
          <w:tcPr/>
          <w:p>
            <w:pPr>
              <w:pStyle w:val="Compact"/>
            </w:pPr>
            <w:r>
              <w:rPr>
                <w:sz w:val="17"/>
              </w:rPr>
              <w:t xml:space="preserve">4</w:t>
            </w:r>
          </w:p>
        </w:tc>
        <w:tc>
          <w:tcPr/>
          <w:p>
            <w:pPr>
              <w:pStyle w:val="Compact"/>
            </w:pPr>
            <w:r>
              <w:rPr>
                <w:sz w:val="17"/>
              </w:rPr>
              <w:t xml:space="preserve">Étude</w:t>
            </w:r>
          </w:p>
        </w:tc>
      </w:tr>
      <w:tr>
        <w:tc>
          <w:tcPr>
            <w:shd w:val="clear" w:color="auto" w:fill="F5F7FB"/>
          </w:tcPr>
          <w:p>
            <w:pPr>
              <w:pStyle w:val="Compact"/>
            </w:pPr>
            <w:r>
              <w:rPr>
                <w:sz w:val="17"/>
              </w:rPr>
              <w:t xml:space="preserve">G28</w:t>
            </w:r>
          </w:p>
        </w:tc>
        <w:tc>
          <w:tcPr>
            <w:shd w:val="clear" w:color="auto" w:fill="F5F7FB"/>
          </w:tcPr>
          <w:p>
            <w:pPr>
              <w:pStyle w:val="Compact"/>
            </w:pPr>
            <w:r>
              <w:rPr>
                <w:sz w:val="17"/>
              </w:rPr>
              <w:t xml:space="preserve">Péages urbains, congestion, basses émissions</w:t>
            </w:r>
          </w:p>
        </w:tc>
        <w:tc>
          <w:tcPr>
            <w:shd w:val="clear" w:color="auto" w:fill="F5F7FB"/>
          </w:tcPr>
          <w:p>
            <w:pPr>
              <w:pStyle w:val="Compact"/>
            </w:pPr>
            <w:r>
              <w:rPr>
                <w:sz w:val="17"/>
              </w:rPr>
              <w:t xml:space="preserve">Prélèvement nouveau</w:t>
            </w:r>
          </w:p>
        </w:tc>
        <w:tc>
          <w:tcPr>
            <w:shd w:val="clear" w:color="auto" w:fill="F5F7FB"/>
          </w:tcPr>
          <w:p>
            <w:pPr>
              <w:pStyle w:val="Compact"/>
            </w:pPr>
            <w:r>
              <w:rPr>
                <w:b/>
                <w:bCs/>
                <w:sz w:val="17"/>
              </w:rPr>
              <w:t xml:space="preserve">D</w:t>
            </w:r>
          </w:p>
        </w:tc>
        <w:tc>
          <w:tcPr>
            <w:shd w:val="clear" w:color="auto" w:fill="F5F7FB"/>
          </w:tcPr>
          <w:p>
            <w:pPr>
              <w:pStyle w:val="Compact"/>
            </w:pPr>
            <w:r>
              <w:rPr>
                <w:sz w:val="17"/>
              </w:rPr>
              <w:t xml:space="preserve">Incertain</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4</w:t>
            </w:r>
          </w:p>
        </w:tc>
        <w:tc>
          <w:tcPr>
            <w:shd w:val="clear" w:color="auto" w:fill="F5F7FB"/>
          </w:tcPr>
          <w:p>
            <w:pPr>
              <w:pStyle w:val="Compact"/>
            </w:pPr>
            <w:r>
              <w:rPr>
                <w:sz w:val="17"/>
              </w:rPr>
              <w:t xml:space="preserve">Non recommandé à court terme</w:t>
            </w:r>
          </w:p>
        </w:tc>
      </w:tr>
      <w:tr>
        <w:tc>
          <w:tcPr/>
          <w:p>
            <w:pPr>
              <w:pStyle w:val="Compact"/>
            </w:pPr>
            <w:r>
              <w:rPr>
                <w:sz w:val="17"/>
              </w:rPr>
              <w:t xml:space="preserve">G29</w:t>
            </w:r>
          </w:p>
        </w:tc>
        <w:tc>
          <w:tcPr/>
          <w:p>
            <w:pPr>
              <w:pStyle w:val="Compact"/>
            </w:pPr>
            <w:r>
              <w:rPr>
                <w:sz w:val="17"/>
              </w:rPr>
              <w:t xml:space="preserve">Gestion des déchets : redevance d’enlèvement liée au service</w:t>
            </w:r>
          </w:p>
        </w:tc>
        <w:tc>
          <w:tcPr/>
          <w:p>
            <w:pPr>
              <w:pStyle w:val="Compact"/>
            </w:pPr>
            <w:r>
              <w:rPr>
                <w:sz w:val="17"/>
              </w:rPr>
              <w:t xml:space="preserve">Redevance de service</w:t>
            </w:r>
          </w:p>
        </w:tc>
        <w:tc>
          <w:tcPr/>
          <w:p>
            <w:pPr>
              <w:pStyle w:val="Compact"/>
            </w:pPr>
            <w:r>
              <w:rPr>
                <w:sz w:val="17"/>
              </w:rPr>
              <w:t xml:space="preserve">B/C</w:t>
            </w:r>
          </w:p>
        </w:tc>
        <w:tc>
          <w:tcPr/>
          <w:p>
            <w:pPr>
              <w:pStyle w:val="Compact"/>
            </w:pPr>
            <w:r>
              <w:rPr>
                <w:sz w:val="17"/>
              </w:rPr>
              <w:t xml:space="preserve">Moyen</w:t>
            </w:r>
          </w:p>
        </w:tc>
        <w:tc>
          <w:tcPr/>
          <w:p>
            <w:pPr>
              <w:pStyle w:val="Compact"/>
            </w:pPr>
            <w:r>
              <w:rPr>
                <w:sz w:val="17"/>
              </w:rPr>
              <w:t xml:space="preserve">M</w:t>
            </w:r>
          </w:p>
        </w:tc>
        <w:tc>
          <w:tcPr/>
          <w:p>
            <w:pPr>
              <w:pStyle w:val="Compact"/>
            </w:pPr>
            <w:r>
              <w:rPr>
                <w:sz w:val="17"/>
              </w:rPr>
              <w:t xml:space="preserve">3</w:t>
            </w:r>
          </w:p>
        </w:tc>
        <w:tc>
          <w:tcPr/>
          <w:p>
            <w:pPr>
              <w:pStyle w:val="Compact"/>
            </w:pPr>
            <w:r>
              <w:rPr>
                <w:sz w:val="17"/>
              </w:rPr>
              <w:t xml:space="preserve">Avec un opérateur de service</w:t>
            </w:r>
          </w:p>
        </w:tc>
      </w:tr>
      <w:tr>
        <w:tc>
          <w:tcPr>
            <w:shd w:val="clear" w:color="auto" w:fill="F5F7FB"/>
          </w:tcPr>
          <w:p>
            <w:pPr>
              <w:pStyle w:val="Compact"/>
            </w:pPr>
            <w:r>
              <w:rPr>
                <w:sz w:val="17"/>
              </w:rPr>
              <w:t xml:space="preserve">G30</w:t>
            </w:r>
          </w:p>
        </w:tc>
        <w:tc>
          <w:tcPr>
            <w:shd w:val="clear" w:color="auto" w:fill="F5F7FB"/>
          </w:tcPr>
          <w:p>
            <w:pPr>
              <w:pStyle w:val="Compact"/>
            </w:pPr>
            <w:r>
              <w:rPr>
                <w:sz w:val="17"/>
              </w:rPr>
              <w:t xml:space="preserve">Tourisme (hébergement)</w:t>
            </w:r>
          </w:p>
        </w:tc>
        <w:tc>
          <w:tcPr>
            <w:shd w:val="clear" w:color="auto" w:fill="F5F7FB"/>
          </w:tcPr>
          <w:p>
            <w:pPr>
              <w:pStyle w:val="Compact"/>
            </w:pPr>
            <w:r>
              <w:rPr>
                <w:sz w:val="17"/>
              </w:rPr>
              <w:t xml:space="preserve">Selon nomenclature</w:t>
            </w:r>
          </w:p>
        </w:tc>
        <w:tc>
          <w:tcPr>
            <w:shd w:val="clear" w:color="auto" w:fill="F5F7FB"/>
          </w:tcPr>
          <w:p>
            <w:pPr>
              <w:pStyle w:val="Compact"/>
            </w:pPr>
            <w:r>
              <w:rPr>
                <w:sz w:val="17"/>
              </w:rPr>
              <w:t xml:space="preserve">C/D</w:t>
            </w:r>
          </w:p>
        </w:tc>
        <w:tc>
          <w:tcPr>
            <w:shd w:val="clear" w:color="auto" w:fill="F5F7FB"/>
          </w:tcPr>
          <w:p>
            <w:pPr>
              <w:pStyle w:val="Compact"/>
            </w:pPr>
            <w:r>
              <w:rPr>
                <w:sz w:val="17"/>
              </w:rPr>
              <w:t xml:space="preserve">Faible à moyen</w:t>
            </w:r>
          </w:p>
        </w:tc>
        <w:tc>
          <w:tcPr>
            <w:shd w:val="clear" w:color="auto" w:fill="F5F7FB"/>
          </w:tcPr>
          <w:p>
            <w:pPr>
              <w:pStyle w:val="Compact"/>
            </w:pPr>
            <w:r>
              <w:rPr>
                <w:sz w:val="17"/>
              </w:rPr>
              <w:t xml:space="preserve">F</w:t>
            </w:r>
          </w:p>
        </w:tc>
        <w:tc>
          <w:tcPr>
            <w:shd w:val="clear" w:color="auto" w:fill="F5F7FB"/>
          </w:tcPr>
          <w:p>
            <w:pPr>
              <w:pStyle w:val="Compact"/>
            </w:pPr>
            <w:r>
              <w:rPr>
                <w:sz w:val="17"/>
              </w:rPr>
              <w:t xml:space="preserve">4</w:t>
            </w:r>
          </w:p>
        </w:tc>
        <w:tc>
          <w:tcPr>
            <w:shd w:val="clear" w:color="auto" w:fill="F5F7FB"/>
          </w:tcPr>
          <w:p>
            <w:pPr>
              <w:pStyle w:val="Compact"/>
            </w:pPr>
            <w:r>
              <w:rPr>
                <w:sz w:val="17"/>
              </w:rPr>
              <w:t xml:space="preserve">Étude</w:t>
            </w:r>
          </w:p>
        </w:tc>
      </w:tr>
      <w:tr>
        <w:tc>
          <w:tcPr/>
          <w:p>
            <w:pPr>
              <w:pStyle w:val="Compact"/>
            </w:pPr>
            <w:r>
              <w:rPr>
                <w:sz w:val="17"/>
              </w:rPr>
              <w:t xml:space="preserve">G31</w:t>
            </w:r>
          </w:p>
        </w:tc>
        <w:tc>
          <w:tcPr/>
          <w:p>
            <w:pPr>
              <w:pStyle w:val="Compact"/>
            </w:pPr>
            <w:r>
              <w:rPr>
                <w:sz w:val="17"/>
              </w:rPr>
              <w:t xml:space="preserve">Réduction du coût de collecte (moins d’intermédiaires, moins d’espèces)</w:t>
            </w:r>
          </w:p>
        </w:tc>
        <w:tc>
          <w:tcPr/>
          <w:p>
            <w:pPr>
              <w:pStyle w:val="Compact"/>
            </w:pPr>
            <w:r>
              <w:rPr>
                <w:sz w:val="17"/>
              </w:rPr>
              <w:t xml:space="preserve">Efficience</w:t>
            </w:r>
          </w:p>
        </w:tc>
        <w:tc>
          <w:tcPr/>
          <w:p>
            <w:pPr>
              <w:pStyle w:val="Compact"/>
            </w:pPr>
            <w:r>
              <w:rPr>
                <w:sz w:val="17"/>
              </w:rPr>
              <w:t xml:space="preserve">A</w:t>
            </w:r>
          </w:p>
        </w:tc>
        <w:tc>
          <w:tcPr/>
          <w:p>
            <w:pPr>
              <w:pStyle w:val="Compact"/>
            </w:pPr>
            <w:r>
              <w:rPr>
                <w:sz w:val="17"/>
              </w:rPr>
              <w:t xml:space="preserve">Moyen (net)</w:t>
            </w:r>
          </w:p>
        </w:tc>
        <w:tc>
          <w:tcPr/>
          <w:p>
            <w:pPr>
              <w:pStyle w:val="Compact"/>
            </w:pPr>
            <w:r>
              <w:rPr>
                <w:sz w:val="17"/>
              </w:rPr>
              <w:t xml:space="preserve">Réduit le risque</w:t>
            </w:r>
          </w:p>
        </w:tc>
        <w:tc>
          <w:tcPr/>
          <w:p>
            <w:pPr>
              <w:pStyle w:val="Compact"/>
            </w:pPr>
            <w:r>
              <w:rPr>
                <w:sz w:val="17"/>
              </w:rPr>
              <w:t xml:space="preserve">1</w:t>
            </w:r>
          </w:p>
        </w:tc>
        <w:tc>
          <w:tcPr/>
          <w:p>
            <w:pPr>
              <w:pStyle w:val="Compact"/>
            </w:pPr>
            <w:r>
              <w:rPr>
                <w:sz w:val="17"/>
              </w:rPr>
              <w:t xml:space="preserve">Mesuré dans le pilote</w:t>
            </w:r>
          </w:p>
        </w:tc>
      </w:tr>
      <w:tr>
        <w:tc>
          <w:tcPr>
            <w:shd w:val="clear" w:color="auto" w:fill="F5F7FB"/>
          </w:tcPr>
          <w:p>
            <w:pPr>
              <w:pStyle w:val="Compact"/>
            </w:pPr>
            <w:r>
              <w:rPr>
                <w:sz w:val="17"/>
              </w:rPr>
              <w:t xml:space="preserve">G32</w:t>
            </w:r>
          </w:p>
        </w:tc>
        <w:tc>
          <w:tcPr>
            <w:shd w:val="clear" w:color="auto" w:fill="F5F7FB"/>
          </w:tcPr>
          <w:p>
            <w:pPr>
              <w:pStyle w:val="Compact"/>
            </w:pPr>
            <w:r>
              <w:rPr>
                <w:sz w:val="17"/>
              </w:rPr>
              <w:t xml:space="preserve">Partenariats public-privé d’infrastructures payantes (marchés modernisés, gares routières, parkings en ouvrage)</w:t>
            </w:r>
          </w:p>
        </w:tc>
        <w:tc>
          <w:tcPr>
            <w:shd w:val="clear" w:color="auto" w:fill="F5F7FB"/>
          </w:tcPr>
          <w:p>
            <w:pPr>
              <w:pStyle w:val="Compact"/>
            </w:pPr>
            <w:r>
              <w:rPr>
                <w:sz w:val="17"/>
              </w:rPr>
              <w:t xml:space="preserve">Concession</w:t>
            </w:r>
          </w:p>
        </w:tc>
        <w:tc>
          <w:tcPr>
            <w:shd w:val="clear" w:color="auto" w:fill="F5F7FB"/>
          </w:tcPr>
          <w:p>
            <w:pPr>
              <w:pStyle w:val="Compact"/>
            </w:pPr>
            <w:r>
              <w:rPr>
                <w:sz w:val="17"/>
              </w:rPr>
              <w:t xml:space="preserve">B/C + Loi PPP</w:t>
            </w:r>
          </w:p>
        </w:tc>
        <w:tc>
          <w:tcPr>
            <w:shd w:val="clear" w:color="auto" w:fill="F5F7FB"/>
          </w:tcPr>
          <w:p>
            <w:pPr>
              <w:pStyle w:val="Compact"/>
            </w:pPr>
            <w:r>
              <w:rPr>
                <w:sz w:val="17"/>
              </w:rPr>
              <w:t xml:space="preserve">Moyen</w:t>
            </w:r>
          </w:p>
        </w:tc>
        <w:tc>
          <w:tcPr>
            <w:shd w:val="clear" w:color="auto" w:fill="F5F7FB"/>
          </w:tcPr>
          <w:p>
            <w:pPr>
              <w:pStyle w:val="Compact"/>
            </w:pPr>
            <w:r>
              <w:rPr>
                <w:sz w:val="17"/>
              </w:rPr>
              <w:t xml:space="preserve">É</w:t>
            </w:r>
          </w:p>
        </w:tc>
        <w:tc>
          <w:tcPr>
            <w:shd w:val="clear" w:color="auto" w:fill="F5F7FB"/>
          </w:tcPr>
          <w:p>
            <w:pPr>
              <w:pStyle w:val="Compact"/>
            </w:pPr>
            <w:r>
              <w:rPr>
                <w:sz w:val="17"/>
              </w:rPr>
              <w:t xml:space="preserve">3</w:t>
            </w:r>
          </w:p>
        </w:tc>
        <w:tc>
          <w:tcPr>
            <w:shd w:val="clear" w:color="auto" w:fill="F5F7FB"/>
          </w:tcPr>
          <w:p>
            <w:pPr>
              <w:pStyle w:val="Compact"/>
            </w:pPr>
            <w:r>
              <w:rPr>
                <w:sz w:val="17"/>
              </w:rPr>
              <w:t xml:space="preserve">Un projet test</w:t>
            </w:r>
          </w:p>
        </w:tc>
      </w:tr>
      <w:tr>
        <w:tc>
          <w:tcPr/>
          <w:p>
            <w:pPr>
              <w:pStyle w:val="Compact"/>
            </w:pPr>
            <w:r>
              <w:rPr>
                <w:sz w:val="17"/>
              </w:rPr>
              <w:t xml:space="preserve">G33</w:t>
            </w:r>
          </w:p>
        </w:tc>
        <w:tc>
          <w:tcPr/>
          <w:p>
            <w:pPr>
              <w:pStyle w:val="Compact"/>
            </w:pPr>
            <w:r>
              <w:rPr>
                <w:sz w:val="17"/>
              </w:rPr>
              <w:t xml:space="preserve">Sanctions pour non-conformité vérifiée</w:t>
            </w:r>
          </w:p>
        </w:tc>
        <w:tc>
          <w:tcPr/>
          <w:p>
            <w:pPr>
              <w:pStyle w:val="Compact"/>
            </w:pPr>
            <w:r>
              <w:rPr>
                <w:sz w:val="17"/>
              </w:rPr>
              <w:t xml:space="preserve">Pénalités légales</w:t>
            </w:r>
          </w:p>
        </w:tc>
        <w:tc>
          <w:tcPr/>
          <w:p>
            <w:pPr>
              <w:pStyle w:val="Compact"/>
            </w:pPr>
            <w:r>
              <w:rPr>
                <w:sz w:val="17"/>
              </w:rPr>
              <w:t xml:space="preserve">A (selon édit)</w:t>
            </w:r>
          </w:p>
        </w:tc>
        <w:tc>
          <w:tcPr/>
          <w:p>
            <w:pPr>
              <w:pStyle w:val="Compact"/>
            </w:pPr>
            <w:r>
              <w:rPr>
                <w:sz w:val="17"/>
              </w:rPr>
              <w:t xml:space="preserve">Faible à moyen</w:t>
            </w:r>
          </w:p>
        </w:tc>
        <w:tc>
          <w:tcPr/>
          <w:p>
            <w:pPr>
              <w:pStyle w:val="Compact"/>
            </w:pPr>
            <w:r>
              <w:rPr>
                <w:sz w:val="17"/>
              </w:rPr>
              <w:t xml:space="preserve">É si discrétionnaire</w:t>
            </w:r>
          </w:p>
        </w:tc>
        <w:tc>
          <w:tcPr/>
          <w:p>
            <w:pPr>
              <w:pStyle w:val="Compact"/>
            </w:pPr>
            <w:r>
              <w:rPr>
                <w:sz w:val="17"/>
              </w:rPr>
              <w:t xml:space="preserve">2</w:t>
            </w:r>
          </w:p>
        </w:tc>
        <w:tc>
          <w:tcPr/>
          <w:p>
            <w:pPr>
              <w:pStyle w:val="Compact"/>
            </w:pPr>
            <w:r>
              <w:rPr>
                <w:sz w:val="17"/>
              </w:rPr>
              <w:t xml:space="preserve">Encadré, jamais automatique</w:t>
            </w:r>
          </w:p>
        </w:tc>
      </w:tr>
    </w:tbl>
    <w:p>
      <w:pPr>
        <w:pStyle w:val="CaptionedFigure"/>
      </w:pPr>
      <w:r>
        <w:drawing>
          <wp:inline>
            <wp:extent cx="6108700" cy="4308117"/>
            <wp:effectExtent b="0" l="0" r="0" t="0"/>
            <wp:docPr descr="Matrice des gisements" title="" id="69" name="Picture"/>
            <a:graphic>
              <a:graphicData uri="http://schemas.openxmlformats.org/drawingml/2006/picture">
                <pic:pic>
                  <pic:nvPicPr>
                    <pic:cNvPr descr="figures/fig-matrice-gisements.png" id="70" name="Picture"/>
                    <pic:cNvPicPr>
                      <a:picLocks noChangeArrowheads="1" noChangeAspect="1"/>
                    </pic:cNvPicPr>
                  </pic:nvPicPr>
                  <pic:blipFill>
                    <a:blip r:embed="rId68"/>
                    <a:stretch>
                      <a:fillRect/>
                    </a:stretch>
                  </pic:blipFill>
                  <pic:spPr bwMode="auto">
                    <a:xfrm>
                      <a:off x="0" y="0"/>
                      <a:ext cx="6108700" cy="4308117"/>
                    </a:xfrm>
                    <a:prstGeom prst="rect">
                      <a:avLst/>
                    </a:prstGeom>
                    <a:noFill/>
                    <a:ln w="9525">
                      <a:noFill/>
                      <a:headEnd/>
                      <a:tailEnd/>
                    </a:ln>
                  </pic:spPr>
                </pic:pic>
              </a:graphicData>
            </a:graphic>
          </wp:inline>
        </w:drawing>
      </w:r>
    </w:p>
    <w:p>
      <w:pPr>
        <w:pStyle w:val="ImageCaption"/>
      </w:pPr>
      <w:r>
        <w:t xml:space="preserve">Matrice des gisements</w:t>
      </w:r>
    </w:p>
    <w:bookmarkEnd w:id="71"/>
    <w:bookmarkStart w:id="79" w:name="Xa32efceb7e531de46c2f023d91ca70a222223e6"/>
    <w:p>
      <w:pPr>
        <w:pStyle w:val="Heading2"/>
      </w:pPr>
      <w:r>
        <w:t xml:space="preserve">8.3 Fiches détaillées des gisements prioritaires</w:t>
      </w:r>
    </w:p>
    <w:p>
      <w:pPr>
        <w:pStyle w:val="FirstParagraph"/>
      </w:pPr>
      <w:r>
        <w:t xml:space="preserve">Chaque fiche suit la grille des quinze attributs. Les ordres de grandeur de potentiel sont exprimés</w:t>
      </w:r>
      <w:r>
        <w:t xml:space="preserve"> </w:t>
      </w:r>
      <w:r>
        <w:rPr>
          <w:b/>
          <w:bCs/>
        </w:rPr>
        <w:t xml:space="preserve">en formule</w:t>
      </w:r>
      <w:r>
        <w:t xml:space="preserve"> </w:t>
      </w:r>
      <w:r>
        <w:t xml:space="preserve">; les valeurs chiffrées appartiennent au chapitre 38 et restent des exemples tant que la base de référence n’est pas mesurée.</w:t>
      </w:r>
    </w:p>
    <w:bookmarkStart w:id="72" w:name="g01-recensement-locatif-systématique"/>
    <w:p>
      <w:pPr>
        <w:pStyle w:val="Heading3"/>
      </w:pPr>
      <w:r>
        <w:t xml:space="preserve">G01 — Recensement locatif systématique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Attribut</w:t>
            </w:r>
          </w:p>
        </w:tc>
        <w:tc>
          <w:tcPr>
            <w:shd w:val="clear" w:color="auto" w:fill="232C6B"/>
          </w:tcPr>
          <w:p>
            <w:pPr>
              <w:pStyle w:val="Compact"/>
            </w:pPr>
            <w:r>
              <w:rPr>
                <w:b/>
                <w:color w:val="FFFFFF"/>
                <w:sz w:val="17"/>
              </w:rPr>
              <w:t xml:space="preserve">Contenu</w:t>
            </w:r>
          </w:p>
        </w:tc>
      </w:tr>
      <w:tr>
        <w:tc>
          <w:tcPr/>
          <w:p>
            <w:pPr>
              <w:pStyle w:val="Compact"/>
            </w:pPr>
            <w:r>
              <w:rPr>
                <w:sz w:val="17"/>
              </w:rPr>
              <w:t xml:space="preserve">Faisabilité juridique</w:t>
            </w:r>
          </w:p>
        </w:tc>
        <w:tc>
          <w:tcPr/>
          <w:p>
            <w:pPr>
              <w:pStyle w:val="Compact"/>
            </w:pPr>
            <w:r>
              <w:rPr>
                <w:sz w:val="17"/>
              </w:rPr>
              <w:t xml:space="preserve">A — IRL prévu par la Constitution et la nomenclature ; taux et procédure à certifier (J3, J4)</w:t>
            </w:r>
          </w:p>
        </w:tc>
      </w:tr>
      <w:tr>
        <w:tc>
          <w:tcPr>
            <w:shd w:val="clear" w:color="auto" w:fill="F5F7FB"/>
          </w:tcPr>
          <w:p>
            <w:pPr>
              <w:pStyle w:val="Compact"/>
            </w:pPr>
            <w:r>
              <w:rPr>
                <w:sz w:val="17"/>
              </w:rPr>
              <w:t xml:space="preserve">Objectif de politique publique</w:t>
            </w:r>
          </w:p>
        </w:tc>
        <w:tc>
          <w:tcPr>
            <w:shd w:val="clear" w:color="auto" w:fill="F5F7FB"/>
          </w:tcPr>
          <w:p>
            <w:pPr>
              <w:pStyle w:val="Compact"/>
            </w:pPr>
            <w:r>
              <w:rPr>
                <w:sz w:val="17"/>
              </w:rPr>
              <w:t xml:space="preserve">Équité entre bailleurs ; élargissement de l’assiette sans hausse de taux</w:t>
            </w:r>
          </w:p>
        </w:tc>
      </w:tr>
      <w:tr>
        <w:tc>
          <w:tcPr/>
          <w:p>
            <w:pPr>
              <w:pStyle w:val="Compact"/>
            </w:pPr>
            <w:r>
              <w:rPr>
                <w:sz w:val="17"/>
              </w:rPr>
              <w:t xml:space="preserve">Autorité</w:t>
            </w:r>
          </w:p>
        </w:tc>
        <w:tc>
          <w:tcPr/>
          <w:p>
            <w:pPr>
              <w:pStyle w:val="Compact"/>
            </w:pPr>
            <w:r>
              <w:rPr>
                <w:sz w:val="17"/>
              </w:rPr>
              <w:t xml:space="preserve">DGIPK ; ministère provincial des Finances</w:t>
            </w:r>
          </w:p>
        </w:tc>
      </w:tr>
      <w:tr>
        <w:tc>
          <w:tcPr>
            <w:shd w:val="clear" w:color="auto" w:fill="F5F7FB"/>
          </w:tcPr>
          <w:p>
            <w:pPr>
              <w:pStyle w:val="Compact"/>
            </w:pPr>
            <w:r>
              <w:rPr>
                <w:sz w:val="17"/>
              </w:rPr>
              <w:t xml:space="preserve">Fait générateur</w:t>
            </w:r>
          </w:p>
        </w:tc>
        <w:tc>
          <w:tcPr>
            <w:shd w:val="clear" w:color="auto" w:fill="F5F7FB"/>
          </w:tcPr>
          <w:p>
            <w:pPr>
              <w:pStyle w:val="Compact"/>
            </w:pPr>
            <w:r>
              <w:rPr>
                <w:sz w:val="17"/>
              </w:rPr>
              <w:t xml:space="preserve">Perception d’un loyer sur une unité située à Kinshasa</w:t>
            </w:r>
          </w:p>
        </w:tc>
      </w:tr>
      <w:tr>
        <w:tc>
          <w:tcPr/>
          <w:p>
            <w:pPr>
              <w:pStyle w:val="Compact"/>
            </w:pPr>
            <w:r>
              <w:rPr>
                <w:sz w:val="17"/>
              </w:rPr>
              <w:t xml:space="preserve">Population concernée</w:t>
            </w:r>
          </w:p>
        </w:tc>
        <w:tc>
          <w:tcPr/>
          <w:p>
            <w:pPr>
              <w:pStyle w:val="Compact"/>
            </w:pPr>
            <w:r>
              <w:rPr>
                <w:sz w:val="17"/>
              </w:rPr>
              <w:t xml:space="preserve">Bailleurs personnes physiques et morales ; locataires retenant à la source</w:t>
            </w:r>
          </w:p>
        </w:tc>
      </w:tr>
      <w:tr>
        <w:tc>
          <w:tcPr>
            <w:shd w:val="clear" w:color="auto" w:fill="F5F7FB"/>
          </w:tcPr>
          <w:p>
            <w:pPr>
              <w:pStyle w:val="Compact"/>
            </w:pPr>
            <w:r>
              <w:rPr>
                <w:sz w:val="17"/>
              </w:rPr>
              <w:t xml:space="preserve">Méthode de calcul</w:t>
            </w:r>
          </w:p>
        </w:tc>
        <w:tc>
          <w:tcPr>
            <w:shd w:val="clear" w:color="auto" w:fill="F5F7FB"/>
          </w:tcPr>
          <w:p>
            <w:pPr>
              <w:pStyle w:val="Compact"/>
            </w:pPr>
            <w:r>
              <w:rPr>
                <w:sz w:val="17"/>
              </w:rPr>
              <w:t xml:space="preserve">Loyer effectivement perçu × taux du rang ; imputation des retenues</w:t>
            </w:r>
          </w:p>
        </w:tc>
      </w:tr>
      <w:tr>
        <w:tc>
          <w:tcPr/>
          <w:p>
            <w:pPr>
              <w:pStyle w:val="Compact"/>
            </w:pPr>
            <w:r>
              <w:rPr>
                <w:sz w:val="17"/>
              </w:rPr>
              <w:t xml:space="preserve">Coût de mise en œuvre</w:t>
            </w:r>
          </w:p>
        </w:tc>
        <w:tc>
          <w:tcPr/>
          <w:p>
            <w:pPr>
              <w:pStyle w:val="Compact"/>
            </w:pPr>
            <w:r>
              <w:rPr>
                <w:sz w:val="17"/>
              </w:rPr>
              <w:t xml:space="preserve">Recensement terrain (agents, terminaux), plaques, communication, protocoles de données ; coût par unité à établir par devis</w:t>
            </w:r>
          </w:p>
        </w:tc>
      </w:tr>
      <w:tr>
        <w:tc>
          <w:tcPr>
            <w:shd w:val="clear" w:color="auto" w:fill="F5F7FB"/>
          </w:tcPr>
          <w:p>
            <w:pPr>
              <w:pStyle w:val="Compact"/>
            </w:pPr>
            <w:r>
              <w:rPr>
                <w:sz w:val="17"/>
              </w:rPr>
              <w:t xml:space="preserve">Impact social</w:t>
            </w:r>
          </w:p>
        </w:tc>
        <w:tc>
          <w:tcPr>
            <w:shd w:val="clear" w:color="auto" w:fill="F5F7FB"/>
          </w:tcPr>
          <w:p>
            <w:pPr>
              <w:pStyle w:val="Compact"/>
            </w:pPr>
            <w:r>
              <w:rPr>
                <w:sz w:val="17"/>
              </w:rPr>
              <w:t xml:space="preserve">Risque de répercussion sur les loyers ; risque de pression sur les petits bailleurs ; atténuation par campagne de régularisation, simplicité et paiement fractionné si la loi le permet</w:t>
            </w:r>
          </w:p>
        </w:tc>
      </w:tr>
      <w:tr>
        <w:tc>
          <w:tcPr/>
          <w:p>
            <w:pPr>
              <w:pStyle w:val="Compact"/>
            </w:pPr>
            <w:r>
              <w:rPr>
                <w:sz w:val="17"/>
              </w:rPr>
              <w:t xml:space="preserve">Impact économique</w:t>
            </w:r>
          </w:p>
        </w:tc>
        <w:tc>
          <w:tcPr/>
          <w:p>
            <w:pPr>
              <w:pStyle w:val="Compact"/>
            </w:pPr>
            <w:r>
              <w:rPr>
                <w:sz w:val="17"/>
              </w:rPr>
              <w:t xml:space="preserve">Formalisation du marché locatif ; données utiles à la politique du logement</w:t>
            </w:r>
          </w:p>
        </w:tc>
      </w:tr>
      <w:tr>
        <w:tc>
          <w:tcPr>
            <w:shd w:val="clear" w:color="auto" w:fill="F5F7FB"/>
          </w:tcPr>
          <w:p>
            <w:pPr>
              <w:pStyle w:val="Compact"/>
            </w:pPr>
            <w:r>
              <w:rPr>
                <w:sz w:val="17"/>
              </w:rPr>
              <w:t xml:space="preserve">Potentiel</w:t>
            </w:r>
          </w:p>
        </w:tc>
        <w:tc>
          <w:tcPr>
            <w:shd w:val="clear" w:color="auto" w:fill="F5F7FB"/>
          </w:tcPr>
          <w:p>
            <w:pPr>
              <w:pStyle w:val="Compact"/>
            </w:pPr>
            <w:r>
              <w:rPr>
                <w:rStyle w:val="VerbatimChar"/>
                <w:sz w:val="17"/>
              </w:rPr>
              <w:t xml:space="preserve">Unités louées estimées × loyer moyen × taux × (conformité cible − conformité actuelle)</w:t>
            </w:r>
          </w:p>
        </w:tc>
      </w:tr>
      <w:tr>
        <w:tc>
          <w:tcPr/>
          <w:p>
            <w:pPr>
              <w:pStyle w:val="Compact"/>
            </w:pPr>
            <w:r>
              <w:rPr>
                <w:sz w:val="17"/>
              </w:rPr>
              <w:t xml:space="preserve">Risque de corruption</w:t>
            </w:r>
          </w:p>
        </w:tc>
        <w:tc>
          <w:tcPr/>
          <w:p>
            <w:pPr>
              <w:pStyle w:val="Compact"/>
            </w:pPr>
            <w:r>
              <w:rPr>
                <w:sz w:val="17"/>
              </w:rPr>
              <w:t xml:space="preserve">Élevé : négociation de la déclaration sur le terrain. Contre-mesures : l’agent n’encaisse rien, ne voit pas le montant final, constats photographiés et géolocalisés, double visite aléatoire</w:t>
            </w:r>
          </w:p>
        </w:tc>
      </w:tr>
      <w:tr>
        <w:tc>
          <w:tcPr>
            <w:shd w:val="clear" w:color="auto" w:fill="F5F7FB"/>
          </w:tcPr>
          <w:p>
            <w:pPr>
              <w:pStyle w:val="Compact"/>
            </w:pPr>
            <w:r>
              <w:rPr>
                <w:sz w:val="17"/>
              </w:rPr>
              <w:t xml:space="preserve">Exigences de contrôle</w:t>
            </w:r>
          </w:p>
        </w:tc>
        <w:tc>
          <w:tcPr>
            <w:shd w:val="clear" w:color="auto" w:fill="F5F7FB"/>
          </w:tcPr>
          <w:p>
            <w:pPr>
              <w:pStyle w:val="Compact"/>
            </w:pPr>
            <w:r>
              <w:rPr>
                <w:sz w:val="17"/>
              </w:rPr>
              <w:t xml:space="preserve">Visites ciblées après revue humaine ; recoupements (compteurs, indemnités de logement, annonces) sous protocole</w:t>
            </w:r>
          </w:p>
        </w:tc>
      </w:tr>
      <w:tr>
        <w:tc>
          <w:tcPr/>
          <w:p>
            <w:pPr>
              <w:pStyle w:val="Compact"/>
            </w:pPr>
            <w:r>
              <w:rPr>
                <w:sz w:val="17"/>
              </w:rPr>
              <w:t xml:space="preserve">Texte requis</w:t>
            </w:r>
          </w:p>
        </w:tc>
        <w:tc>
          <w:tcPr/>
          <w:p>
            <w:pPr>
              <w:pStyle w:val="Compact"/>
            </w:pPr>
            <w:r>
              <w:rPr>
                <w:sz w:val="17"/>
              </w:rPr>
              <w:t xml:space="preserve">Aucun pour l’impôt ; protocoles de données (J13) ; éventuel arrêté sur la plaque d’immatriculation fiscale des immeubles</w:t>
            </w:r>
          </w:p>
        </w:tc>
      </w:tr>
      <w:tr>
        <w:tc>
          <w:tcPr>
            <w:shd w:val="clear" w:color="auto" w:fill="F5F7FB"/>
          </w:tcPr>
          <w:p>
            <w:pPr>
              <w:pStyle w:val="Compact"/>
            </w:pPr>
            <w:r>
              <w:rPr>
                <w:sz w:val="17"/>
              </w:rPr>
              <w:t xml:space="preserve">Priorité</w:t>
            </w:r>
          </w:p>
        </w:tc>
        <w:tc>
          <w:tcPr>
            <w:shd w:val="clear" w:color="auto" w:fill="F5F7FB"/>
          </w:tcPr>
          <w:p>
            <w:pPr>
              <w:pStyle w:val="Compact"/>
            </w:pPr>
            <w:r>
              <w:rPr>
                <w:sz w:val="17"/>
              </w:rPr>
              <w:t xml:space="preserve">1</w:t>
            </w:r>
          </w:p>
        </w:tc>
      </w:tr>
      <w:tr>
        <w:tc>
          <w:tcPr/>
          <w:p>
            <w:pPr>
              <w:pStyle w:val="Compact"/>
            </w:pPr>
            <w:r>
              <w:rPr>
                <w:sz w:val="17"/>
              </w:rPr>
              <w:t xml:space="preserve">Pilote</w:t>
            </w:r>
          </w:p>
        </w:tc>
        <w:tc>
          <w:tcPr/>
          <w:p>
            <w:pPr>
              <w:pStyle w:val="Compact"/>
            </w:pPr>
            <w:r>
              <w:rPr>
                <w:sz w:val="17"/>
              </w:rPr>
              <w:t xml:space="preserve">Recensement complet de quartiers échantillons dans les quatre communes pilotes avant la campagne de février 2027</w:t>
            </w:r>
          </w:p>
        </w:tc>
      </w:tr>
    </w:tbl>
    <w:bookmarkEnd w:id="72"/>
    <w:bookmarkStart w:id="73" w:name="g03-quitus-fiscal-numérique"/>
    <w:p>
      <w:pPr>
        <w:pStyle w:val="Heading3"/>
      </w:pPr>
      <w:r>
        <w:t xml:space="preserve">G03 — Quitus fiscal numérique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Attribut</w:t>
            </w:r>
          </w:p>
        </w:tc>
        <w:tc>
          <w:tcPr>
            <w:shd w:val="clear" w:color="auto" w:fill="232C6B"/>
          </w:tcPr>
          <w:p>
            <w:pPr>
              <w:pStyle w:val="Compact"/>
            </w:pPr>
            <w:r>
              <w:rPr>
                <w:b/>
                <w:color w:val="FFFFFF"/>
                <w:sz w:val="17"/>
              </w:rPr>
              <w:t xml:space="preserve">Contenu</w:t>
            </w:r>
          </w:p>
        </w:tc>
      </w:tr>
      <w:tr>
        <w:tc>
          <w:tcPr/>
          <w:p>
            <w:pPr>
              <w:pStyle w:val="Compact"/>
            </w:pPr>
            <w:r>
              <w:rPr>
                <w:sz w:val="17"/>
              </w:rPr>
              <w:t xml:space="preserve">Faisabilité juridique</w:t>
            </w:r>
          </w:p>
        </w:tc>
        <w:tc>
          <w:tcPr/>
          <w:p>
            <w:pPr>
              <w:pStyle w:val="Compact"/>
            </w:pPr>
            <w:r>
              <w:rPr>
                <w:sz w:val="17"/>
              </w:rPr>
              <w:t xml:space="preserve">B — quitus existant ; conditionnalité à fonder sur l’acte qui l’institue et, pour de nouveaux services, sur arrêté</w:t>
            </w:r>
          </w:p>
        </w:tc>
      </w:tr>
      <w:tr>
        <w:tc>
          <w:tcPr>
            <w:shd w:val="clear" w:color="auto" w:fill="F5F7FB"/>
          </w:tcPr>
          <w:p>
            <w:pPr>
              <w:pStyle w:val="Compact"/>
            </w:pPr>
            <w:r>
              <w:rPr>
                <w:sz w:val="17"/>
              </w:rPr>
              <w:t xml:space="preserve">Objectif</w:t>
            </w:r>
          </w:p>
        </w:tc>
        <w:tc>
          <w:tcPr>
            <w:shd w:val="clear" w:color="auto" w:fill="F5F7FB"/>
          </w:tcPr>
          <w:p>
            <w:pPr>
              <w:pStyle w:val="Compact"/>
            </w:pPr>
            <w:r>
              <w:rPr>
                <w:sz w:val="17"/>
              </w:rPr>
              <w:t xml:space="preserve">Faire de la conformité une condition d’accès, sans prélèvement nouveau</w:t>
            </w:r>
          </w:p>
        </w:tc>
      </w:tr>
      <w:tr>
        <w:tc>
          <w:tcPr/>
          <w:p>
            <w:pPr>
              <w:pStyle w:val="Compact"/>
            </w:pPr>
            <w:r>
              <w:rPr>
                <w:sz w:val="17"/>
              </w:rPr>
              <w:t xml:space="preserve">Autorité</w:t>
            </w:r>
          </w:p>
        </w:tc>
        <w:tc>
          <w:tcPr/>
          <w:p>
            <w:pPr>
              <w:pStyle w:val="Compact"/>
            </w:pPr>
            <w:r>
              <w:rPr>
                <w:sz w:val="17"/>
              </w:rPr>
              <w:t xml:space="preserve">DGIPK ; services délivrant les autorisations</w:t>
            </w:r>
          </w:p>
        </w:tc>
      </w:tr>
      <w:tr>
        <w:tc>
          <w:tcPr>
            <w:shd w:val="clear" w:color="auto" w:fill="F5F7FB"/>
          </w:tcPr>
          <w:p>
            <w:pPr>
              <w:pStyle w:val="Compact"/>
            </w:pPr>
            <w:r>
              <w:rPr>
                <w:sz w:val="17"/>
              </w:rPr>
              <w:t xml:space="preserve">Fait générateur</w:t>
            </w:r>
          </w:p>
        </w:tc>
        <w:tc>
          <w:tcPr>
            <w:shd w:val="clear" w:color="auto" w:fill="F5F7FB"/>
          </w:tcPr>
          <w:p>
            <w:pPr>
              <w:pStyle w:val="Compact"/>
            </w:pPr>
            <w:r>
              <w:rPr>
                <w:sz w:val="17"/>
              </w:rPr>
              <w:t xml:space="preserve">Demande d’un service conditionné (marché public provincial, permis de bâtir, mutation, autorisation)</w:t>
            </w:r>
          </w:p>
        </w:tc>
      </w:tr>
      <w:tr>
        <w:tc>
          <w:tcPr/>
          <w:p>
            <w:pPr>
              <w:pStyle w:val="Compact"/>
            </w:pPr>
            <w:r>
              <w:rPr>
                <w:sz w:val="17"/>
              </w:rPr>
              <w:t xml:space="preserve">Population</w:t>
            </w:r>
          </w:p>
        </w:tc>
        <w:tc>
          <w:tcPr/>
          <w:p>
            <w:pPr>
              <w:pStyle w:val="Compact"/>
            </w:pPr>
            <w:r>
              <w:rPr>
                <w:sz w:val="17"/>
              </w:rPr>
              <w:t xml:space="preserve">Entreprises soumissionnaires, propriétaires, demandeurs d’autorisations</w:t>
            </w:r>
          </w:p>
        </w:tc>
      </w:tr>
      <w:tr>
        <w:tc>
          <w:tcPr>
            <w:shd w:val="clear" w:color="auto" w:fill="F5F7FB"/>
          </w:tcPr>
          <w:p>
            <w:pPr>
              <w:pStyle w:val="Compact"/>
            </w:pPr>
            <w:r>
              <w:rPr>
                <w:sz w:val="17"/>
              </w:rPr>
              <w:t xml:space="preserve">Méthode</w:t>
            </w:r>
          </w:p>
        </w:tc>
        <w:tc>
          <w:tcPr>
            <w:shd w:val="clear" w:color="auto" w:fill="F5F7FB"/>
          </w:tcPr>
          <w:p>
            <w:pPr>
              <w:pStyle w:val="Compact"/>
            </w:pPr>
            <w:r>
              <w:rPr>
                <w:sz w:val="17"/>
              </w:rPr>
              <w:t xml:space="preserve">Vérification en temps réel de l’absence d’obligation exigible non contestée ; QR vérifiable ; durée de validité</w:t>
            </w:r>
          </w:p>
        </w:tc>
      </w:tr>
      <w:tr>
        <w:tc>
          <w:tcPr/>
          <w:p>
            <w:pPr>
              <w:pStyle w:val="Compact"/>
            </w:pPr>
            <w:r>
              <w:rPr>
                <w:sz w:val="17"/>
              </w:rPr>
              <w:t xml:space="preserve">Coût</w:t>
            </w:r>
          </w:p>
        </w:tc>
        <w:tc>
          <w:tcPr/>
          <w:p>
            <w:pPr>
              <w:pStyle w:val="Compact"/>
            </w:pPr>
            <w:r>
              <w:rPr>
                <w:sz w:val="17"/>
              </w:rPr>
              <w:t xml:space="preserve">Faible (logiciel, intégration aux services)</w:t>
            </w:r>
          </w:p>
        </w:tc>
      </w:tr>
      <w:tr>
        <w:tc>
          <w:tcPr>
            <w:shd w:val="clear" w:color="auto" w:fill="F5F7FB"/>
          </w:tcPr>
          <w:p>
            <w:pPr>
              <w:pStyle w:val="Compact"/>
            </w:pPr>
            <w:r>
              <w:rPr>
                <w:sz w:val="17"/>
              </w:rPr>
              <w:t xml:space="preserve">Impact social</w:t>
            </w:r>
          </w:p>
        </w:tc>
        <w:tc>
          <w:tcPr>
            <w:shd w:val="clear" w:color="auto" w:fill="F5F7FB"/>
          </w:tcPr>
          <w:p>
            <w:pPr>
              <w:pStyle w:val="Compact"/>
            </w:pPr>
            <w:r>
              <w:rPr>
                <w:sz w:val="17"/>
              </w:rPr>
              <w:t xml:space="preserve">Risque d’exclusion si le contribuable conteste de bonne foi : le recours en cours suspend l’effet bloquant</w:t>
            </w:r>
          </w:p>
        </w:tc>
      </w:tr>
      <w:tr>
        <w:tc>
          <w:tcPr/>
          <w:p>
            <w:pPr>
              <w:pStyle w:val="Compact"/>
            </w:pPr>
            <w:r>
              <w:rPr>
                <w:sz w:val="17"/>
              </w:rPr>
              <w:t xml:space="preserve">Impact économique</w:t>
            </w:r>
          </w:p>
        </w:tc>
        <w:tc>
          <w:tcPr/>
          <w:p>
            <w:pPr>
              <w:pStyle w:val="Compact"/>
            </w:pPr>
            <w:r>
              <w:rPr>
                <w:sz w:val="17"/>
              </w:rPr>
              <w:t xml:space="preserve">Incitation forte à la régularisation des entreprises</w:t>
            </w:r>
          </w:p>
        </w:tc>
      </w:tr>
      <w:tr>
        <w:tc>
          <w:tcPr>
            <w:shd w:val="clear" w:color="auto" w:fill="F5F7FB"/>
          </w:tcPr>
          <w:p>
            <w:pPr>
              <w:pStyle w:val="Compact"/>
            </w:pPr>
            <w:r>
              <w:rPr>
                <w:sz w:val="17"/>
              </w:rPr>
              <w:t xml:space="preserve">Potentiel</w:t>
            </w:r>
          </w:p>
        </w:tc>
        <w:tc>
          <w:tcPr>
            <w:shd w:val="clear" w:color="auto" w:fill="F5F7FB"/>
          </w:tcPr>
          <w:p>
            <w:pPr>
              <w:pStyle w:val="Compact"/>
            </w:pPr>
            <w:r>
              <w:rPr>
                <w:sz w:val="17"/>
              </w:rPr>
              <w:t xml:space="preserve">Indirect :</w:t>
            </w:r>
            <w:r>
              <w:rPr>
                <w:sz w:val="17"/>
              </w:rPr>
              <w:t xml:space="preserve"> </w:t>
            </w:r>
            <w:r>
              <w:rPr>
                <w:rStyle w:val="VerbatimChar"/>
                <w:sz w:val="17"/>
              </w:rPr>
              <w:t xml:space="preserve">régularisations déclenchées par des demandes de service × montant moyen</w:t>
            </w:r>
          </w:p>
        </w:tc>
      </w:tr>
      <w:tr>
        <w:tc>
          <w:tcPr/>
          <w:p>
            <w:pPr>
              <w:pStyle w:val="Compact"/>
            </w:pPr>
            <w:r>
              <w:rPr>
                <w:sz w:val="17"/>
              </w:rPr>
              <w:t xml:space="preserve">Risque de corruption</w:t>
            </w:r>
          </w:p>
        </w:tc>
        <w:tc>
          <w:tcPr/>
          <w:p>
            <w:pPr>
              <w:pStyle w:val="Compact"/>
            </w:pPr>
            <w:r>
              <w:rPr>
                <w:sz w:val="17"/>
              </w:rPr>
              <w:t xml:space="preserve">Faible si délivrance automatique ; élevé si délivrance manuelle — la délivrance manuelle est supprimée</w:t>
            </w:r>
          </w:p>
        </w:tc>
      </w:tr>
      <w:tr>
        <w:tc>
          <w:tcPr>
            <w:shd w:val="clear" w:color="auto" w:fill="F5F7FB"/>
          </w:tcPr>
          <w:p>
            <w:pPr>
              <w:pStyle w:val="Compact"/>
            </w:pPr>
            <w:r>
              <w:rPr>
                <w:sz w:val="17"/>
              </w:rPr>
              <w:t xml:space="preserve">Contrôle</w:t>
            </w:r>
          </w:p>
        </w:tc>
        <w:tc>
          <w:tcPr>
            <w:shd w:val="clear" w:color="auto" w:fill="F5F7FB"/>
          </w:tcPr>
          <w:p>
            <w:pPr>
              <w:pStyle w:val="Compact"/>
            </w:pPr>
            <w:r>
              <w:rPr>
                <w:sz w:val="17"/>
              </w:rPr>
              <w:t xml:space="preserve">API de vérification pour les services ; journal des vérifications</w:t>
            </w:r>
          </w:p>
        </w:tc>
      </w:tr>
      <w:tr>
        <w:tc>
          <w:tcPr/>
          <w:p>
            <w:pPr>
              <w:pStyle w:val="Compact"/>
            </w:pPr>
            <w:r>
              <w:rPr>
                <w:sz w:val="17"/>
              </w:rPr>
              <w:t xml:space="preserve">Texte requis</w:t>
            </w:r>
          </w:p>
        </w:tc>
        <w:tc>
          <w:tcPr/>
          <w:p>
            <w:pPr>
              <w:pStyle w:val="Compact"/>
            </w:pPr>
            <w:r>
              <w:rPr>
                <w:sz w:val="17"/>
              </w:rPr>
              <w:t xml:space="preserve">Acte de conditionnalité par service (J6)</w:t>
            </w:r>
          </w:p>
        </w:tc>
      </w:tr>
      <w:tr>
        <w:tc>
          <w:tcPr>
            <w:shd w:val="clear" w:color="auto" w:fill="F5F7FB"/>
          </w:tcPr>
          <w:p>
            <w:pPr>
              <w:pStyle w:val="Compact"/>
            </w:pPr>
            <w:r>
              <w:rPr>
                <w:sz w:val="17"/>
              </w:rPr>
              <w:t xml:space="preserve">Priorité</w:t>
            </w:r>
          </w:p>
        </w:tc>
        <w:tc>
          <w:tcPr>
            <w:shd w:val="clear" w:color="auto" w:fill="F5F7FB"/>
          </w:tcPr>
          <w:p>
            <w:pPr>
              <w:pStyle w:val="Compact"/>
            </w:pPr>
            <w:r>
              <w:rPr>
                <w:sz w:val="17"/>
              </w:rPr>
              <w:t xml:space="preserve">1</w:t>
            </w:r>
          </w:p>
        </w:tc>
      </w:tr>
      <w:tr>
        <w:tc>
          <w:tcPr/>
          <w:p>
            <w:pPr>
              <w:pStyle w:val="Compact"/>
            </w:pPr>
            <w:r>
              <w:rPr>
                <w:sz w:val="17"/>
              </w:rPr>
              <w:t xml:space="preserve">Pilote</w:t>
            </w:r>
          </w:p>
        </w:tc>
        <w:tc>
          <w:tcPr/>
          <w:p>
            <w:pPr>
              <w:pStyle w:val="Compact"/>
            </w:pPr>
            <w:r>
              <w:rPr>
                <w:sz w:val="17"/>
              </w:rPr>
              <w:t xml:space="preserve">Marchés publics provinciaux et permis de bâtir dans les communes pilotes</w:t>
            </w:r>
          </w:p>
        </w:tc>
      </w:tr>
    </w:tbl>
    <w:bookmarkEnd w:id="73"/>
    <w:bookmarkStart w:id="74" w:name="g05-cellule-grands-redevables"/>
    <w:p>
      <w:pPr>
        <w:pStyle w:val="Heading3"/>
      </w:pPr>
      <w:r>
        <w:t xml:space="preserve">G05 — Cellule grands redevables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Attribut</w:t>
            </w:r>
          </w:p>
        </w:tc>
        <w:tc>
          <w:tcPr>
            <w:shd w:val="clear" w:color="auto" w:fill="232C6B"/>
          </w:tcPr>
          <w:p>
            <w:pPr>
              <w:pStyle w:val="Compact"/>
            </w:pPr>
            <w:r>
              <w:rPr>
                <w:b/>
                <w:color w:val="FFFFFF"/>
                <w:sz w:val="17"/>
              </w:rPr>
              <w:t xml:space="preserve">Contenu</w:t>
            </w:r>
          </w:p>
        </w:tc>
      </w:tr>
      <w:tr>
        <w:tc>
          <w:tcPr/>
          <w:p>
            <w:pPr>
              <w:pStyle w:val="Compact"/>
            </w:pPr>
            <w:r>
              <w:rPr>
                <w:sz w:val="17"/>
              </w:rPr>
              <w:t xml:space="preserve">Faisabilité</w:t>
            </w:r>
          </w:p>
        </w:tc>
        <w:tc>
          <w:tcPr/>
          <w:p>
            <w:pPr>
              <w:pStyle w:val="Compact"/>
            </w:pPr>
            <w:r>
              <w:rPr>
                <w:sz w:val="17"/>
              </w:rPr>
              <w:t xml:space="preserve">A</w:t>
            </w:r>
          </w:p>
        </w:tc>
      </w:tr>
      <w:tr>
        <w:tc>
          <w:tcPr>
            <w:shd w:val="clear" w:color="auto" w:fill="F5F7FB"/>
          </w:tcPr>
          <w:p>
            <w:pPr>
              <w:pStyle w:val="Compact"/>
            </w:pPr>
            <w:r>
              <w:rPr>
                <w:sz w:val="17"/>
              </w:rPr>
              <w:t xml:space="preserve">Objectif</w:t>
            </w:r>
          </w:p>
        </w:tc>
        <w:tc>
          <w:tcPr>
            <w:shd w:val="clear" w:color="auto" w:fill="F5F7FB"/>
          </w:tcPr>
          <w:p>
            <w:pPr>
              <w:pStyle w:val="Compact"/>
            </w:pPr>
            <w:r>
              <w:rPr>
                <w:sz w:val="17"/>
              </w:rPr>
              <w:t xml:space="preserve">Fiabiliser les recettes concentrées (bière, tabac, antennes, carrières, grands bailleurs, grands employeurs)</w:t>
            </w:r>
          </w:p>
        </w:tc>
      </w:tr>
      <w:tr>
        <w:tc>
          <w:tcPr/>
          <w:p>
            <w:pPr>
              <w:pStyle w:val="Compact"/>
            </w:pPr>
            <w:r>
              <w:rPr>
                <w:sz w:val="17"/>
              </w:rPr>
              <w:t xml:space="preserve">Autorité</w:t>
            </w:r>
          </w:p>
        </w:tc>
        <w:tc>
          <w:tcPr/>
          <w:p>
            <w:pPr>
              <w:pStyle w:val="Compact"/>
            </w:pPr>
            <w:r>
              <w:rPr>
                <w:sz w:val="17"/>
              </w:rPr>
              <w:t xml:space="preserve">DGIPK et DGTK selon recette</w:t>
            </w:r>
          </w:p>
        </w:tc>
      </w:tr>
      <w:tr>
        <w:tc>
          <w:tcPr>
            <w:shd w:val="clear" w:color="auto" w:fill="F5F7FB"/>
          </w:tcPr>
          <w:p>
            <w:pPr>
              <w:pStyle w:val="Compact"/>
            </w:pPr>
            <w:r>
              <w:rPr>
                <w:sz w:val="17"/>
              </w:rPr>
              <w:t xml:space="preserve">Fait générateur</w:t>
            </w:r>
          </w:p>
        </w:tc>
        <w:tc>
          <w:tcPr>
            <w:shd w:val="clear" w:color="auto" w:fill="F5F7FB"/>
          </w:tcPr>
          <w:p>
            <w:pPr>
              <w:pStyle w:val="Compact"/>
            </w:pPr>
            <w:r>
              <w:rPr>
                <w:sz w:val="17"/>
              </w:rPr>
              <w:t xml:space="preserve">Selon la recette (volumes mis à la consommation, sites, superficies)</w:t>
            </w:r>
          </w:p>
        </w:tc>
      </w:tr>
      <w:tr>
        <w:tc>
          <w:tcPr/>
          <w:p>
            <w:pPr>
              <w:pStyle w:val="Compact"/>
            </w:pPr>
            <w:r>
              <w:rPr>
                <w:sz w:val="17"/>
              </w:rPr>
              <w:t xml:space="preserve">Population</w:t>
            </w:r>
          </w:p>
        </w:tc>
        <w:tc>
          <w:tcPr/>
          <w:p>
            <w:pPr>
              <w:pStyle w:val="Compact"/>
            </w:pPr>
            <w:r>
              <w:rPr>
                <w:sz w:val="17"/>
              </w:rPr>
              <w:t xml:space="preserve">Quelques centaines d’entités</w:t>
            </w:r>
          </w:p>
        </w:tc>
      </w:tr>
      <w:tr>
        <w:tc>
          <w:tcPr>
            <w:shd w:val="clear" w:color="auto" w:fill="F5F7FB"/>
          </w:tcPr>
          <w:p>
            <w:pPr>
              <w:pStyle w:val="Compact"/>
            </w:pPr>
            <w:r>
              <w:rPr>
                <w:sz w:val="17"/>
              </w:rPr>
              <w:t xml:space="preserve">Méthode</w:t>
            </w:r>
          </w:p>
        </w:tc>
        <w:tc>
          <w:tcPr>
            <w:shd w:val="clear" w:color="auto" w:fill="F5F7FB"/>
          </w:tcPr>
          <w:p>
            <w:pPr>
              <w:pStyle w:val="Compact"/>
            </w:pPr>
            <w:r>
              <w:rPr>
                <w:sz w:val="17"/>
              </w:rPr>
              <w:t xml:space="preserve">Déclaration mensuelle structurée par API ou portail ; rapprochement avec données tierces (accises, facturation, listes de sites)</w:t>
            </w:r>
          </w:p>
        </w:tc>
      </w:tr>
      <w:tr>
        <w:tc>
          <w:tcPr/>
          <w:p>
            <w:pPr>
              <w:pStyle w:val="Compact"/>
            </w:pPr>
            <w:r>
              <w:rPr>
                <w:sz w:val="17"/>
              </w:rPr>
              <w:t xml:space="preserve">Coût</w:t>
            </w:r>
          </w:p>
        </w:tc>
        <w:tc>
          <w:tcPr/>
          <w:p>
            <w:pPr>
              <w:pStyle w:val="Compact"/>
            </w:pPr>
            <w:r>
              <w:rPr>
                <w:sz w:val="17"/>
              </w:rPr>
              <w:t xml:space="preserve">Faible</w:t>
            </w:r>
          </w:p>
        </w:tc>
      </w:tr>
      <w:tr>
        <w:tc>
          <w:tcPr>
            <w:shd w:val="clear" w:color="auto" w:fill="F5F7FB"/>
          </w:tcPr>
          <w:p>
            <w:pPr>
              <w:pStyle w:val="Compact"/>
            </w:pPr>
            <w:r>
              <w:rPr>
                <w:sz w:val="17"/>
              </w:rPr>
              <w:t xml:space="preserve">Impact social</w:t>
            </w:r>
          </w:p>
        </w:tc>
        <w:tc>
          <w:tcPr>
            <w:shd w:val="clear" w:color="auto" w:fill="F5F7FB"/>
          </w:tcPr>
          <w:p>
            <w:pPr>
              <w:pStyle w:val="Compact"/>
            </w:pPr>
            <w:r>
              <w:rPr>
                <w:sz w:val="17"/>
              </w:rPr>
              <w:t xml:space="preserve">Neutre</w:t>
            </w:r>
          </w:p>
        </w:tc>
      </w:tr>
      <w:tr>
        <w:tc>
          <w:tcPr/>
          <w:p>
            <w:pPr>
              <w:pStyle w:val="Compact"/>
            </w:pPr>
            <w:r>
              <w:rPr>
                <w:sz w:val="17"/>
              </w:rPr>
              <w:t xml:space="preserve">Impact économique</w:t>
            </w:r>
          </w:p>
        </w:tc>
        <w:tc>
          <w:tcPr/>
          <w:p>
            <w:pPr>
              <w:pStyle w:val="Compact"/>
            </w:pPr>
            <w:r>
              <w:rPr>
                <w:sz w:val="17"/>
              </w:rPr>
              <w:t xml:space="preserve">Sécurité juridique pour les entreprises (interlocuteur unique, règles lisibles)</w:t>
            </w:r>
          </w:p>
        </w:tc>
      </w:tr>
      <w:tr>
        <w:tc>
          <w:tcPr>
            <w:shd w:val="clear" w:color="auto" w:fill="F5F7FB"/>
          </w:tcPr>
          <w:p>
            <w:pPr>
              <w:pStyle w:val="Compact"/>
            </w:pPr>
            <w:r>
              <w:rPr>
                <w:sz w:val="17"/>
              </w:rPr>
              <w:t xml:space="preserve">Potentiel</w:t>
            </w:r>
          </w:p>
        </w:tc>
        <w:tc>
          <w:tcPr>
            <w:shd w:val="clear" w:color="auto" w:fill="F5F7FB"/>
          </w:tcPr>
          <w:p>
            <w:pPr>
              <w:pStyle w:val="Compact"/>
            </w:pPr>
            <w:r>
              <w:rPr>
                <w:rStyle w:val="VerbatimChar"/>
                <w:sz w:val="17"/>
              </w:rPr>
              <w:t xml:space="preserve">Écart déclaré vs rapproché × nombre de redevables</w:t>
            </w:r>
          </w:p>
        </w:tc>
      </w:tr>
      <w:tr>
        <w:tc>
          <w:tcPr/>
          <w:p>
            <w:pPr>
              <w:pStyle w:val="Compact"/>
            </w:pPr>
            <w:r>
              <w:rPr>
                <w:sz w:val="17"/>
              </w:rPr>
              <w:t xml:space="preserve">Risque de corruption</w:t>
            </w:r>
          </w:p>
        </w:tc>
        <w:tc>
          <w:tcPr/>
          <w:p>
            <w:pPr>
              <w:pStyle w:val="Compact"/>
            </w:pPr>
            <w:r>
              <w:rPr>
                <w:sz w:val="17"/>
              </w:rPr>
              <w:t xml:space="preserve">Moyen (négociations de haut niveau) : décisions collégiales, piste d’audit, rotation</w:t>
            </w:r>
          </w:p>
        </w:tc>
      </w:tr>
      <w:tr>
        <w:tc>
          <w:tcPr>
            <w:shd w:val="clear" w:color="auto" w:fill="F5F7FB"/>
          </w:tcPr>
          <w:p>
            <w:pPr>
              <w:pStyle w:val="Compact"/>
            </w:pPr>
            <w:r>
              <w:rPr>
                <w:sz w:val="17"/>
              </w:rPr>
              <w:t xml:space="preserve">Contrôle</w:t>
            </w:r>
          </w:p>
        </w:tc>
        <w:tc>
          <w:tcPr>
            <w:shd w:val="clear" w:color="auto" w:fill="F5F7FB"/>
          </w:tcPr>
          <w:p>
            <w:pPr>
              <w:pStyle w:val="Compact"/>
            </w:pPr>
            <w:r>
              <w:rPr>
                <w:sz w:val="17"/>
              </w:rPr>
              <w:t xml:space="preserve">Contrôles sur pièces, contrôle contradictoire</w:t>
            </w:r>
          </w:p>
        </w:tc>
      </w:tr>
      <w:tr>
        <w:tc>
          <w:tcPr/>
          <w:p>
            <w:pPr>
              <w:pStyle w:val="Compact"/>
            </w:pPr>
            <w:r>
              <w:rPr>
                <w:sz w:val="17"/>
              </w:rPr>
              <w:t xml:space="preserve">Texte requis</w:t>
            </w:r>
          </w:p>
        </w:tc>
        <w:tc>
          <w:tcPr/>
          <w:p>
            <w:pPr>
              <w:pStyle w:val="Compact"/>
            </w:pPr>
            <w:r>
              <w:rPr>
                <w:sz w:val="17"/>
              </w:rPr>
              <w:t xml:space="preserve">Conventions de déclaration</w:t>
            </w:r>
          </w:p>
        </w:tc>
      </w:tr>
      <w:tr>
        <w:tc>
          <w:tcPr>
            <w:shd w:val="clear" w:color="auto" w:fill="F5F7FB"/>
          </w:tcPr>
          <w:p>
            <w:pPr>
              <w:pStyle w:val="Compact"/>
            </w:pPr>
            <w:r>
              <w:rPr>
                <w:sz w:val="17"/>
              </w:rPr>
              <w:t xml:space="preserve">Priorité</w:t>
            </w:r>
          </w:p>
        </w:tc>
        <w:tc>
          <w:tcPr>
            <w:shd w:val="clear" w:color="auto" w:fill="F5F7FB"/>
          </w:tcPr>
          <w:p>
            <w:pPr>
              <w:pStyle w:val="Compact"/>
            </w:pPr>
            <w:r>
              <w:rPr>
                <w:sz w:val="17"/>
              </w:rPr>
              <w:t xml:space="preserve">1</w:t>
            </w:r>
          </w:p>
        </w:tc>
      </w:tr>
      <w:tr>
        <w:tc>
          <w:tcPr/>
          <w:p>
            <w:pPr>
              <w:pStyle w:val="Compact"/>
            </w:pPr>
            <w:r>
              <w:rPr>
                <w:sz w:val="17"/>
              </w:rPr>
              <w:t xml:space="preserve">Pilote</w:t>
            </w:r>
          </w:p>
        </w:tc>
        <w:tc>
          <w:tcPr/>
          <w:p>
            <w:pPr>
              <w:pStyle w:val="Compact"/>
            </w:pPr>
            <w:r>
              <w:rPr>
                <w:sz w:val="17"/>
              </w:rPr>
              <w:t xml:space="preserve">Brasseries et opérateurs télécoms dès R2</w:t>
            </w:r>
          </w:p>
        </w:tc>
      </w:tr>
    </w:tbl>
    <w:bookmarkEnd w:id="74"/>
    <w:bookmarkStart w:id="75" w:name="X368a4d49e772e27b1af50909b38910ae4446063"/>
    <w:p>
      <w:pPr>
        <w:pStyle w:val="Heading3"/>
      </w:pPr>
      <w:r>
        <w:t xml:space="preserve">G06 — Rapprochement automatisé et fin des fausses quittances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Attribut</w:t>
            </w:r>
          </w:p>
        </w:tc>
        <w:tc>
          <w:tcPr>
            <w:shd w:val="clear" w:color="auto" w:fill="232C6B"/>
          </w:tcPr>
          <w:p>
            <w:pPr>
              <w:pStyle w:val="Compact"/>
            </w:pPr>
            <w:r>
              <w:rPr>
                <w:b/>
                <w:color w:val="FFFFFF"/>
                <w:sz w:val="17"/>
              </w:rPr>
              <w:t xml:space="preserve">Contenu</w:t>
            </w:r>
          </w:p>
        </w:tc>
      </w:tr>
      <w:tr>
        <w:tc>
          <w:tcPr/>
          <w:p>
            <w:pPr>
              <w:pStyle w:val="Compact"/>
            </w:pPr>
            <w:r>
              <w:rPr>
                <w:sz w:val="17"/>
              </w:rPr>
              <w:t xml:space="preserve">Faisabilité</w:t>
            </w:r>
          </w:p>
        </w:tc>
        <w:tc>
          <w:tcPr/>
          <w:p>
            <w:pPr>
              <w:pStyle w:val="Compact"/>
            </w:pPr>
            <w:r>
              <w:rPr>
                <w:sz w:val="17"/>
              </w:rPr>
              <w:t xml:space="preserve">A</w:t>
            </w:r>
          </w:p>
        </w:tc>
      </w:tr>
      <w:tr>
        <w:tc>
          <w:tcPr>
            <w:shd w:val="clear" w:color="auto" w:fill="F5F7FB"/>
          </w:tcPr>
          <w:p>
            <w:pPr>
              <w:pStyle w:val="Compact"/>
            </w:pPr>
            <w:r>
              <w:rPr>
                <w:sz w:val="17"/>
              </w:rPr>
              <w:t xml:space="preserve">Objectif</w:t>
            </w:r>
          </w:p>
        </w:tc>
        <w:tc>
          <w:tcPr>
            <w:shd w:val="clear" w:color="auto" w:fill="F5F7FB"/>
          </w:tcPr>
          <w:p>
            <w:pPr>
              <w:pStyle w:val="Compact"/>
            </w:pPr>
            <w:r>
              <w:rPr>
                <w:sz w:val="17"/>
              </w:rPr>
              <w:t xml:space="preserve">Garantir que chaque paiement déclaré atteint le compte public ; rendre inopérantes les fausses preuves de paiement (des poursuites pour faux et usage de faux sur des preuves de paiement ont été rapportées à Kinshasa en 2025–2026)</w:t>
            </w:r>
          </w:p>
        </w:tc>
      </w:tr>
      <w:tr>
        <w:tc>
          <w:tcPr/>
          <w:p>
            <w:pPr>
              <w:pStyle w:val="Compact"/>
            </w:pPr>
            <w:r>
              <w:rPr>
                <w:sz w:val="17"/>
              </w:rPr>
              <w:t xml:space="preserve">Autorité</w:t>
            </w:r>
          </w:p>
        </w:tc>
        <w:tc>
          <w:tcPr/>
          <w:p>
            <w:pPr>
              <w:pStyle w:val="Compact"/>
            </w:pPr>
            <w:r>
              <w:rPr>
                <w:sz w:val="17"/>
              </w:rPr>
              <w:t xml:space="preserve">Trésor provincial ; régies</w:t>
            </w:r>
          </w:p>
        </w:tc>
      </w:tr>
      <w:tr>
        <w:tc>
          <w:tcPr>
            <w:shd w:val="clear" w:color="auto" w:fill="F5F7FB"/>
          </w:tcPr>
          <w:p>
            <w:pPr>
              <w:pStyle w:val="Compact"/>
            </w:pPr>
            <w:r>
              <w:rPr>
                <w:sz w:val="17"/>
              </w:rPr>
              <w:t xml:space="preserve">Fait générateur</w:t>
            </w:r>
          </w:p>
        </w:tc>
        <w:tc>
          <w:tcPr>
            <w:shd w:val="clear" w:color="auto" w:fill="F5F7FB"/>
          </w:tcPr>
          <w:p>
            <w:pPr>
              <w:pStyle w:val="Compact"/>
            </w:pPr>
            <w:r>
              <w:rPr>
                <w:sz w:val="17"/>
              </w:rPr>
              <w:t xml:space="preserve">Tout paiement</w:t>
            </w:r>
          </w:p>
        </w:tc>
      </w:tr>
      <w:tr>
        <w:tc>
          <w:tcPr/>
          <w:p>
            <w:pPr>
              <w:pStyle w:val="Compact"/>
            </w:pPr>
            <w:r>
              <w:rPr>
                <w:sz w:val="17"/>
              </w:rPr>
              <w:t xml:space="preserve">Population</w:t>
            </w:r>
          </w:p>
        </w:tc>
        <w:tc>
          <w:tcPr/>
          <w:p>
            <w:pPr>
              <w:pStyle w:val="Compact"/>
            </w:pPr>
            <w:r>
              <w:rPr>
                <w:sz w:val="17"/>
              </w:rPr>
              <w:t xml:space="preserve">Tous les contribuables</w:t>
            </w:r>
          </w:p>
        </w:tc>
      </w:tr>
      <w:tr>
        <w:tc>
          <w:tcPr>
            <w:shd w:val="clear" w:color="auto" w:fill="F5F7FB"/>
          </w:tcPr>
          <w:p>
            <w:pPr>
              <w:pStyle w:val="Compact"/>
            </w:pPr>
            <w:r>
              <w:rPr>
                <w:sz w:val="17"/>
              </w:rPr>
              <w:t xml:space="preserve">Méthode</w:t>
            </w:r>
          </w:p>
        </w:tc>
        <w:tc>
          <w:tcPr>
            <w:shd w:val="clear" w:color="auto" w:fill="F5F7FB"/>
          </w:tcPr>
          <w:p>
            <w:pPr>
              <w:pStyle w:val="Compact"/>
            </w:pPr>
            <w:r>
              <w:rPr>
                <w:sz w:val="17"/>
              </w:rPr>
              <w:t xml:space="preserve">Référence unique, confirmation serveur à serveur signée, relevés bancaires quotidiens, grand livre en partie double</w:t>
            </w:r>
          </w:p>
        </w:tc>
      </w:tr>
      <w:tr>
        <w:tc>
          <w:tcPr/>
          <w:p>
            <w:pPr>
              <w:pStyle w:val="Compact"/>
            </w:pPr>
            <w:r>
              <w:rPr>
                <w:sz w:val="17"/>
              </w:rPr>
              <w:t xml:space="preserve">Coût</w:t>
            </w:r>
          </w:p>
        </w:tc>
        <w:tc>
          <w:tcPr/>
          <w:p>
            <w:pPr>
              <w:pStyle w:val="Compact"/>
            </w:pPr>
            <w:r>
              <w:rPr>
                <w:sz w:val="17"/>
              </w:rPr>
              <w:t xml:space="preserve">Intégrations bancaires et opérateurs</w:t>
            </w:r>
          </w:p>
        </w:tc>
      </w:tr>
      <w:tr>
        <w:tc>
          <w:tcPr>
            <w:shd w:val="clear" w:color="auto" w:fill="F5F7FB"/>
          </w:tcPr>
          <w:p>
            <w:pPr>
              <w:pStyle w:val="Compact"/>
            </w:pPr>
            <w:r>
              <w:rPr>
                <w:sz w:val="17"/>
              </w:rPr>
              <w:t xml:space="preserve">Impact social</w:t>
            </w:r>
          </w:p>
        </w:tc>
        <w:tc>
          <w:tcPr>
            <w:shd w:val="clear" w:color="auto" w:fill="F5F7FB"/>
          </w:tcPr>
          <w:p>
            <w:pPr>
              <w:pStyle w:val="Compact"/>
            </w:pPr>
            <w:r>
              <w:rPr>
                <w:sz w:val="17"/>
              </w:rPr>
              <w:t xml:space="preserve">Positif : preuve vérifiable par le contribuable</w:t>
            </w:r>
          </w:p>
        </w:tc>
      </w:tr>
      <w:tr>
        <w:tc>
          <w:tcPr/>
          <w:p>
            <w:pPr>
              <w:pStyle w:val="Compact"/>
            </w:pPr>
            <w:r>
              <w:rPr>
                <w:sz w:val="17"/>
              </w:rPr>
              <w:t xml:space="preserve">Impact économique</w:t>
            </w:r>
          </w:p>
        </w:tc>
        <w:tc>
          <w:tcPr/>
          <w:p>
            <w:pPr>
              <w:pStyle w:val="Compact"/>
            </w:pPr>
            <w:r>
              <w:rPr>
                <w:sz w:val="17"/>
              </w:rPr>
              <w:t xml:space="preserve">Baisse du coût de la conformité</w:t>
            </w:r>
          </w:p>
        </w:tc>
      </w:tr>
      <w:tr>
        <w:tc>
          <w:tcPr>
            <w:shd w:val="clear" w:color="auto" w:fill="F5F7FB"/>
          </w:tcPr>
          <w:p>
            <w:pPr>
              <w:pStyle w:val="Compact"/>
            </w:pPr>
            <w:r>
              <w:rPr>
                <w:sz w:val="17"/>
              </w:rPr>
              <w:t xml:space="preserve">Potentiel</w:t>
            </w:r>
          </w:p>
        </w:tc>
        <w:tc>
          <w:tcPr>
            <w:shd w:val="clear" w:color="auto" w:fill="F5F7FB"/>
          </w:tcPr>
          <w:p>
            <w:pPr>
              <w:pStyle w:val="Compact"/>
            </w:pPr>
            <w:r>
              <w:rPr>
                <w:rStyle w:val="VerbatimChar"/>
                <w:sz w:val="17"/>
              </w:rPr>
              <w:t xml:space="preserve">Montants en suspens ou détournés récupérés + fraudes évitées</w:t>
            </w:r>
          </w:p>
        </w:tc>
      </w:tr>
      <w:tr>
        <w:tc>
          <w:tcPr/>
          <w:p>
            <w:pPr>
              <w:pStyle w:val="Compact"/>
            </w:pPr>
            <w:r>
              <w:rPr>
                <w:sz w:val="17"/>
              </w:rPr>
              <w:t xml:space="preserve">Risque de corruption</w:t>
            </w:r>
          </w:p>
        </w:tc>
        <w:tc>
          <w:tcPr/>
          <w:p>
            <w:pPr>
              <w:pStyle w:val="Compact"/>
            </w:pPr>
            <w:r>
              <w:rPr>
                <w:sz w:val="17"/>
              </w:rPr>
              <w:t xml:space="preserve">Réduit structurellement</w:t>
            </w:r>
          </w:p>
        </w:tc>
      </w:tr>
      <w:tr>
        <w:tc>
          <w:tcPr>
            <w:shd w:val="clear" w:color="auto" w:fill="F5F7FB"/>
          </w:tcPr>
          <w:p>
            <w:pPr>
              <w:pStyle w:val="Compact"/>
            </w:pPr>
            <w:r>
              <w:rPr>
                <w:sz w:val="17"/>
              </w:rPr>
              <w:t xml:space="preserve">Contrôle</w:t>
            </w:r>
          </w:p>
        </w:tc>
        <w:tc>
          <w:tcPr>
            <w:shd w:val="clear" w:color="auto" w:fill="F5F7FB"/>
          </w:tcPr>
          <w:p>
            <w:pPr>
              <w:pStyle w:val="Compact"/>
            </w:pPr>
            <w:r>
              <w:rPr>
                <w:sz w:val="17"/>
              </w:rPr>
              <w:t xml:space="preserve">Files d’exception, suspens daté, alertes</w:t>
            </w:r>
          </w:p>
        </w:tc>
      </w:tr>
      <w:tr>
        <w:tc>
          <w:tcPr/>
          <w:p>
            <w:pPr>
              <w:pStyle w:val="Compact"/>
            </w:pPr>
            <w:r>
              <w:rPr>
                <w:sz w:val="17"/>
              </w:rPr>
              <w:t xml:space="preserve">Texte requis</w:t>
            </w:r>
          </w:p>
        </w:tc>
        <w:tc>
          <w:tcPr/>
          <w:p>
            <w:pPr>
              <w:pStyle w:val="Compact"/>
            </w:pPr>
            <w:r>
              <w:rPr>
                <w:sz w:val="17"/>
              </w:rPr>
              <w:t xml:space="preserve">Conventions avec banques et opérateurs</w:t>
            </w:r>
          </w:p>
        </w:tc>
      </w:tr>
      <w:tr>
        <w:tc>
          <w:tcPr>
            <w:shd w:val="clear" w:color="auto" w:fill="F5F7FB"/>
          </w:tcPr>
          <w:p>
            <w:pPr>
              <w:pStyle w:val="Compact"/>
            </w:pPr>
            <w:r>
              <w:rPr>
                <w:sz w:val="17"/>
              </w:rPr>
              <w:t xml:space="preserve">Priorité</w:t>
            </w:r>
          </w:p>
        </w:tc>
        <w:tc>
          <w:tcPr>
            <w:shd w:val="clear" w:color="auto" w:fill="F5F7FB"/>
          </w:tcPr>
          <w:p>
            <w:pPr>
              <w:pStyle w:val="Compact"/>
            </w:pPr>
            <w:r>
              <w:rPr>
                <w:sz w:val="17"/>
              </w:rPr>
              <w:t xml:space="preserve">1</w:t>
            </w:r>
          </w:p>
        </w:tc>
      </w:tr>
      <w:tr>
        <w:tc>
          <w:tcPr/>
          <w:p>
            <w:pPr>
              <w:pStyle w:val="Compact"/>
            </w:pPr>
            <w:r>
              <w:rPr>
                <w:sz w:val="17"/>
              </w:rPr>
              <w:t xml:space="preserve">Pilote</w:t>
            </w:r>
          </w:p>
        </w:tc>
        <w:tc>
          <w:tcPr/>
          <w:p>
            <w:pPr>
              <w:pStyle w:val="Compact"/>
            </w:pPr>
            <w:r>
              <w:rPr>
                <w:sz w:val="17"/>
              </w:rPr>
              <w:t xml:space="preserve">Toutes les recettes du pilote</w:t>
            </w:r>
          </w:p>
        </w:tc>
      </w:tr>
    </w:tbl>
    <w:bookmarkEnd w:id="75"/>
    <w:bookmarkStart w:id="76" w:name="g11-marchés-sans-espèces"/>
    <w:p>
      <w:pPr>
        <w:pStyle w:val="Heading3"/>
      </w:pPr>
      <w:r>
        <w:t xml:space="preserve">G11 — Marchés sans espèces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Attribut</w:t>
            </w:r>
          </w:p>
        </w:tc>
        <w:tc>
          <w:tcPr>
            <w:shd w:val="clear" w:color="auto" w:fill="232C6B"/>
          </w:tcPr>
          <w:p>
            <w:pPr>
              <w:pStyle w:val="Compact"/>
            </w:pPr>
            <w:r>
              <w:rPr>
                <w:b/>
                <w:color w:val="FFFFFF"/>
                <w:sz w:val="17"/>
              </w:rPr>
              <w:t xml:space="preserve">Contenu</w:t>
            </w:r>
          </w:p>
        </w:tc>
      </w:tr>
      <w:tr>
        <w:tc>
          <w:tcPr/>
          <w:p>
            <w:pPr>
              <w:pStyle w:val="Compact"/>
            </w:pPr>
            <w:r>
              <w:rPr>
                <w:sz w:val="17"/>
              </w:rPr>
              <w:t xml:space="preserve">Faisabilité</w:t>
            </w:r>
          </w:p>
        </w:tc>
        <w:tc>
          <w:tcPr/>
          <w:p>
            <w:pPr>
              <w:pStyle w:val="Compact"/>
            </w:pPr>
            <w:r>
              <w:rPr>
                <w:sz w:val="17"/>
              </w:rPr>
              <w:t xml:space="preserve">A/B — droits de place existants ; modalités de perception numérique par arrêté ou décision</w:t>
            </w:r>
          </w:p>
        </w:tc>
      </w:tr>
      <w:tr>
        <w:tc>
          <w:tcPr>
            <w:shd w:val="clear" w:color="auto" w:fill="F5F7FB"/>
          </w:tcPr>
          <w:p>
            <w:pPr>
              <w:pStyle w:val="Compact"/>
            </w:pPr>
            <w:r>
              <w:rPr>
                <w:sz w:val="17"/>
              </w:rPr>
              <w:t xml:space="preserve">Objectif</w:t>
            </w:r>
          </w:p>
        </w:tc>
        <w:tc>
          <w:tcPr>
            <w:shd w:val="clear" w:color="auto" w:fill="F5F7FB"/>
          </w:tcPr>
          <w:p>
            <w:pPr>
              <w:pStyle w:val="Compact"/>
            </w:pPr>
            <w:r>
              <w:rPr>
                <w:sz w:val="17"/>
              </w:rPr>
              <w:t xml:space="preserve">Supprimer la collecte en espèces, première source de fuite ; sécuriser les vendeurs contre les prélèvements multiples</w:t>
            </w:r>
          </w:p>
        </w:tc>
      </w:tr>
      <w:tr>
        <w:tc>
          <w:tcPr/>
          <w:p>
            <w:pPr>
              <w:pStyle w:val="Compact"/>
            </w:pPr>
            <w:r>
              <w:rPr>
                <w:sz w:val="17"/>
              </w:rPr>
              <w:t xml:space="preserve">Autorité</w:t>
            </w:r>
          </w:p>
        </w:tc>
        <w:tc>
          <w:tcPr/>
          <w:p>
            <w:pPr>
              <w:pStyle w:val="Compact"/>
            </w:pPr>
            <w:r>
              <w:rPr>
                <w:sz w:val="17"/>
              </w:rPr>
              <w:t xml:space="preserve">Régie compétente ; gestionnaires de marchés ; communes selon compétence</w:t>
            </w:r>
          </w:p>
        </w:tc>
      </w:tr>
      <w:tr>
        <w:tc>
          <w:tcPr>
            <w:shd w:val="clear" w:color="auto" w:fill="F5F7FB"/>
          </w:tcPr>
          <w:p>
            <w:pPr>
              <w:pStyle w:val="Compact"/>
            </w:pPr>
            <w:r>
              <w:rPr>
                <w:sz w:val="17"/>
              </w:rPr>
              <w:t xml:space="preserve">Fait générateur</w:t>
            </w:r>
          </w:p>
        </w:tc>
        <w:tc>
          <w:tcPr>
            <w:shd w:val="clear" w:color="auto" w:fill="F5F7FB"/>
          </w:tcPr>
          <w:p>
            <w:pPr>
              <w:pStyle w:val="Compact"/>
            </w:pPr>
            <w:r>
              <w:rPr>
                <w:sz w:val="17"/>
              </w:rPr>
              <w:t xml:space="preserve">Occupation d’un étal ou d’un emplacement</w:t>
            </w:r>
          </w:p>
        </w:tc>
      </w:tr>
      <w:tr>
        <w:tc>
          <w:tcPr/>
          <w:p>
            <w:pPr>
              <w:pStyle w:val="Compact"/>
            </w:pPr>
            <w:r>
              <w:rPr>
                <w:sz w:val="17"/>
              </w:rPr>
              <w:t xml:space="preserve">Population</w:t>
            </w:r>
          </w:p>
        </w:tc>
        <w:tc>
          <w:tcPr/>
          <w:p>
            <w:pPr>
              <w:pStyle w:val="Compact"/>
            </w:pPr>
            <w:r>
              <w:rPr>
                <w:sz w:val="17"/>
              </w:rPr>
              <w:t xml:space="preserve">Commerçants de marché, dont beaucoup sans compte bancaire</w:t>
            </w:r>
          </w:p>
        </w:tc>
      </w:tr>
      <w:tr>
        <w:tc>
          <w:tcPr>
            <w:shd w:val="clear" w:color="auto" w:fill="F5F7FB"/>
          </w:tcPr>
          <w:p>
            <w:pPr>
              <w:pStyle w:val="Compact"/>
            </w:pPr>
            <w:r>
              <w:rPr>
                <w:sz w:val="17"/>
              </w:rPr>
              <w:t xml:space="preserve">Méthode</w:t>
            </w:r>
          </w:p>
        </w:tc>
        <w:tc>
          <w:tcPr>
            <w:shd w:val="clear" w:color="auto" w:fill="F5F7FB"/>
          </w:tcPr>
          <w:p>
            <w:pPr>
              <w:pStyle w:val="Compact"/>
            </w:pPr>
            <w:r>
              <w:rPr>
                <w:sz w:val="17"/>
              </w:rPr>
              <w:t xml:space="preserve">Tarif par étal et par période ; titre numérique (QR, SMS) ; paiement par monnaie mobile ou point de paiement agréé</w:t>
            </w:r>
          </w:p>
        </w:tc>
      </w:tr>
      <w:tr>
        <w:tc>
          <w:tcPr/>
          <w:p>
            <w:pPr>
              <w:pStyle w:val="Compact"/>
            </w:pPr>
            <w:r>
              <w:rPr>
                <w:sz w:val="17"/>
              </w:rPr>
              <w:t xml:space="preserve">Coût</w:t>
            </w:r>
          </w:p>
        </w:tc>
        <w:tc>
          <w:tcPr/>
          <w:p>
            <w:pPr>
              <w:pStyle w:val="Compact"/>
            </w:pPr>
            <w:r>
              <w:rPr>
                <w:sz w:val="17"/>
              </w:rPr>
              <w:t xml:space="preserve">Plans des marchés, plaques d’étal, points de paiement</w:t>
            </w:r>
          </w:p>
        </w:tc>
      </w:tr>
      <w:tr>
        <w:tc>
          <w:tcPr>
            <w:shd w:val="clear" w:color="auto" w:fill="F5F7FB"/>
          </w:tcPr>
          <w:p>
            <w:pPr>
              <w:pStyle w:val="Compact"/>
            </w:pPr>
            <w:r>
              <w:rPr>
                <w:sz w:val="17"/>
              </w:rPr>
              <w:t xml:space="preserve">Impact social</w:t>
            </w:r>
          </w:p>
        </w:tc>
        <w:tc>
          <w:tcPr>
            <w:shd w:val="clear" w:color="auto" w:fill="F5F7FB"/>
          </w:tcPr>
          <w:p>
            <w:pPr>
              <w:pStyle w:val="Compact"/>
            </w:pPr>
            <w:r>
              <w:rPr>
                <w:sz w:val="17"/>
              </w:rPr>
              <w:t xml:space="preserve">Fort, positif si les prélèvements informels disparaissent ; risque d’exclusion des vendeurs sans téléphone : carte MOSOLO et points agréés</w:t>
            </w:r>
          </w:p>
        </w:tc>
      </w:tr>
      <w:tr>
        <w:tc>
          <w:tcPr/>
          <w:p>
            <w:pPr>
              <w:pStyle w:val="Compact"/>
            </w:pPr>
            <w:r>
              <w:rPr>
                <w:sz w:val="17"/>
              </w:rPr>
              <w:t xml:space="preserve">Impact économique</w:t>
            </w:r>
          </w:p>
        </w:tc>
        <w:tc>
          <w:tcPr/>
          <w:p>
            <w:pPr>
              <w:pStyle w:val="Compact"/>
            </w:pPr>
            <w:r>
              <w:rPr>
                <w:sz w:val="17"/>
              </w:rPr>
              <w:t xml:space="preserve">Prévisibilité pour les vendeurs</w:t>
            </w:r>
          </w:p>
        </w:tc>
      </w:tr>
      <w:tr>
        <w:tc>
          <w:tcPr>
            <w:shd w:val="clear" w:color="auto" w:fill="F5F7FB"/>
          </w:tcPr>
          <w:p>
            <w:pPr>
              <w:pStyle w:val="Compact"/>
            </w:pPr>
            <w:r>
              <w:rPr>
                <w:sz w:val="17"/>
              </w:rPr>
              <w:t xml:space="preserve">Potentiel</w:t>
            </w:r>
          </w:p>
        </w:tc>
        <w:tc>
          <w:tcPr>
            <w:shd w:val="clear" w:color="auto" w:fill="F5F7FB"/>
          </w:tcPr>
          <w:p>
            <w:pPr>
              <w:pStyle w:val="Compact"/>
            </w:pPr>
            <w:r>
              <w:rPr>
                <w:rStyle w:val="VerbatimChar"/>
                <w:sz w:val="17"/>
              </w:rPr>
              <w:t xml:space="preserve">Étals × tarif × jours × (taux de paiement cible − actuel)</w:t>
            </w:r>
          </w:p>
        </w:tc>
      </w:tr>
      <w:tr>
        <w:tc>
          <w:tcPr/>
          <w:p>
            <w:pPr>
              <w:pStyle w:val="Compact"/>
            </w:pPr>
            <w:r>
              <w:rPr>
                <w:sz w:val="17"/>
              </w:rPr>
              <w:t xml:space="preserve">Risque de corruption</w:t>
            </w:r>
          </w:p>
        </w:tc>
        <w:tc>
          <w:tcPr/>
          <w:p>
            <w:pPr>
              <w:pStyle w:val="Compact"/>
            </w:pPr>
            <w:r>
              <w:rPr>
                <w:sz w:val="17"/>
              </w:rPr>
              <w:t xml:space="preserve">Élevé : les expériences régionales montrent qu’une « numérisation cosmétique » avec saisie a posteriori par le collecteur laisse les fuites intactes ;</w:t>
            </w:r>
            <w:r>
              <w:rPr>
                <w:sz w:val="17"/>
              </w:rPr>
              <w:t xml:space="preserve"> </w:t>
            </w:r>
            <w:r>
              <w:rPr>
                <w:b/>
                <w:bCs/>
                <w:sz w:val="17"/>
              </w:rPr>
              <w:t xml:space="preserve">le paiement direct au compte public est la condition de l’effet</w:t>
            </w:r>
          </w:p>
        </w:tc>
      </w:tr>
      <w:tr>
        <w:tc>
          <w:tcPr>
            <w:shd w:val="clear" w:color="auto" w:fill="F5F7FB"/>
          </w:tcPr>
          <w:p>
            <w:pPr>
              <w:pStyle w:val="Compact"/>
            </w:pPr>
            <w:r>
              <w:rPr>
                <w:sz w:val="17"/>
              </w:rPr>
              <w:t xml:space="preserve">Contrôle</w:t>
            </w:r>
          </w:p>
        </w:tc>
        <w:tc>
          <w:tcPr>
            <w:shd w:val="clear" w:color="auto" w:fill="F5F7FB"/>
          </w:tcPr>
          <w:p>
            <w:pPr>
              <w:pStyle w:val="Compact"/>
            </w:pPr>
            <w:r>
              <w:rPr>
                <w:sz w:val="17"/>
              </w:rPr>
              <w:t xml:space="preserve">Contrôle par scan d’étal ; contrôles mystère</w:t>
            </w:r>
          </w:p>
        </w:tc>
      </w:tr>
      <w:tr>
        <w:tc>
          <w:tcPr/>
          <w:p>
            <w:pPr>
              <w:pStyle w:val="Compact"/>
            </w:pPr>
            <w:r>
              <w:rPr>
                <w:sz w:val="17"/>
              </w:rPr>
              <w:t xml:space="preserve">Texte requis</w:t>
            </w:r>
          </w:p>
        </w:tc>
        <w:tc>
          <w:tcPr/>
          <w:p>
            <w:pPr>
              <w:pStyle w:val="Compact"/>
            </w:pPr>
            <w:r>
              <w:rPr>
                <w:sz w:val="17"/>
              </w:rPr>
              <w:t xml:space="preserve">Décision fixant la perception numérique exclusive</w:t>
            </w:r>
          </w:p>
        </w:tc>
      </w:tr>
      <w:tr>
        <w:tc>
          <w:tcPr>
            <w:shd w:val="clear" w:color="auto" w:fill="F5F7FB"/>
          </w:tcPr>
          <w:p>
            <w:pPr>
              <w:pStyle w:val="Compact"/>
            </w:pPr>
            <w:r>
              <w:rPr>
                <w:sz w:val="17"/>
              </w:rPr>
              <w:t xml:space="preserve">Priorité</w:t>
            </w:r>
          </w:p>
        </w:tc>
        <w:tc>
          <w:tcPr>
            <w:shd w:val="clear" w:color="auto" w:fill="F5F7FB"/>
          </w:tcPr>
          <w:p>
            <w:pPr>
              <w:pStyle w:val="Compact"/>
            </w:pPr>
            <w:r>
              <w:rPr>
                <w:sz w:val="17"/>
              </w:rPr>
              <w:t xml:space="preserve">2</w:t>
            </w:r>
          </w:p>
        </w:tc>
      </w:tr>
      <w:tr>
        <w:tc>
          <w:tcPr/>
          <w:p>
            <w:pPr>
              <w:pStyle w:val="Compact"/>
            </w:pPr>
            <w:r>
              <w:rPr>
                <w:sz w:val="17"/>
              </w:rPr>
              <w:t xml:space="preserve">Pilote</w:t>
            </w:r>
          </w:p>
        </w:tc>
        <w:tc>
          <w:tcPr/>
          <w:p>
            <w:pPr>
              <w:pStyle w:val="Compact"/>
            </w:pPr>
            <w:r>
              <w:rPr>
                <w:sz w:val="17"/>
              </w:rPr>
              <w:t xml:space="preserve">Deux marchés de taille moyenne</w:t>
            </w:r>
          </w:p>
        </w:tc>
      </w:tr>
    </w:tbl>
    <w:bookmarkEnd w:id="76"/>
    <w:bookmarkStart w:id="77" w:name="g15-stationnement-réglementé"/>
    <w:p>
      <w:pPr>
        <w:pStyle w:val="Heading3"/>
      </w:pPr>
      <w:r>
        <w:t xml:space="preserve">G15 — Stationnement réglementé</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Attribut</w:t>
            </w:r>
          </w:p>
        </w:tc>
        <w:tc>
          <w:tcPr>
            <w:shd w:val="clear" w:color="auto" w:fill="232C6B"/>
          </w:tcPr>
          <w:p>
            <w:pPr>
              <w:pStyle w:val="Compact"/>
            </w:pPr>
            <w:r>
              <w:rPr>
                <w:b/>
                <w:color w:val="FFFFFF"/>
                <w:sz w:val="17"/>
              </w:rPr>
              <w:t xml:space="preserve">Contenu</w:t>
            </w:r>
          </w:p>
        </w:tc>
      </w:tr>
      <w:tr>
        <w:tc>
          <w:tcPr/>
          <w:p>
            <w:pPr>
              <w:pStyle w:val="Compact"/>
            </w:pPr>
            <w:r>
              <w:rPr>
                <w:sz w:val="17"/>
              </w:rPr>
              <w:t xml:space="preserve">Faisabilité</w:t>
            </w:r>
          </w:p>
        </w:tc>
        <w:tc>
          <w:tcPr/>
          <w:p>
            <w:pPr>
              <w:pStyle w:val="Compact"/>
            </w:pPr>
            <w:r>
              <w:rPr>
                <w:sz w:val="17"/>
              </w:rPr>
              <w:t xml:space="preserve">B/C — redevance existante dans la nomenclature provinciale ; acte de zonage et barème nécessaires</w:t>
            </w:r>
          </w:p>
        </w:tc>
      </w:tr>
      <w:tr>
        <w:tc>
          <w:tcPr>
            <w:shd w:val="clear" w:color="auto" w:fill="F5F7FB"/>
          </w:tcPr>
          <w:p>
            <w:pPr>
              <w:pStyle w:val="Compact"/>
            </w:pPr>
            <w:r>
              <w:rPr>
                <w:sz w:val="17"/>
              </w:rPr>
              <w:t xml:space="preserve">Objectif</w:t>
            </w:r>
          </w:p>
        </w:tc>
        <w:tc>
          <w:tcPr>
            <w:shd w:val="clear" w:color="auto" w:fill="F5F7FB"/>
          </w:tcPr>
          <w:p>
            <w:pPr>
              <w:pStyle w:val="Compact"/>
            </w:pPr>
            <w:r>
              <w:rPr>
                <w:sz w:val="17"/>
              </w:rPr>
              <w:t xml:space="preserve">Rotation, fluidité, recettes d’usage de la voirie</w:t>
            </w:r>
          </w:p>
        </w:tc>
      </w:tr>
      <w:tr>
        <w:tc>
          <w:tcPr/>
          <w:p>
            <w:pPr>
              <w:pStyle w:val="Compact"/>
            </w:pPr>
            <w:r>
              <w:rPr>
                <w:sz w:val="17"/>
              </w:rPr>
              <w:t xml:space="preserve">Autorité</w:t>
            </w:r>
          </w:p>
        </w:tc>
        <w:tc>
          <w:tcPr/>
          <w:p>
            <w:pPr>
              <w:pStyle w:val="Compact"/>
            </w:pPr>
            <w:r>
              <w:rPr>
                <w:sz w:val="17"/>
              </w:rPr>
              <w:t xml:space="preserve">Ministère provincial des Transports ; régie des taxes</w:t>
            </w:r>
          </w:p>
        </w:tc>
      </w:tr>
      <w:tr>
        <w:tc>
          <w:tcPr>
            <w:shd w:val="clear" w:color="auto" w:fill="F5F7FB"/>
          </w:tcPr>
          <w:p>
            <w:pPr>
              <w:pStyle w:val="Compact"/>
            </w:pPr>
            <w:r>
              <w:rPr>
                <w:sz w:val="17"/>
              </w:rPr>
              <w:t xml:space="preserve">Fait générateur</w:t>
            </w:r>
          </w:p>
        </w:tc>
        <w:tc>
          <w:tcPr>
            <w:shd w:val="clear" w:color="auto" w:fill="F5F7FB"/>
          </w:tcPr>
          <w:p>
            <w:pPr>
              <w:pStyle w:val="Compact"/>
            </w:pPr>
            <w:r>
              <w:rPr>
                <w:sz w:val="17"/>
              </w:rPr>
              <w:t xml:space="preserve">Stationnement en zone réglementée</w:t>
            </w:r>
          </w:p>
        </w:tc>
      </w:tr>
      <w:tr>
        <w:tc>
          <w:tcPr/>
          <w:p>
            <w:pPr>
              <w:pStyle w:val="Compact"/>
            </w:pPr>
            <w:r>
              <w:rPr>
                <w:sz w:val="17"/>
              </w:rPr>
              <w:t xml:space="preserve">Population</w:t>
            </w:r>
          </w:p>
        </w:tc>
        <w:tc>
          <w:tcPr/>
          <w:p>
            <w:pPr>
              <w:pStyle w:val="Compact"/>
            </w:pPr>
            <w:r>
              <w:rPr>
                <w:sz w:val="17"/>
              </w:rPr>
              <w:t xml:space="preserve">Automobilistes, entreprises</w:t>
            </w:r>
          </w:p>
        </w:tc>
      </w:tr>
      <w:tr>
        <w:tc>
          <w:tcPr>
            <w:shd w:val="clear" w:color="auto" w:fill="F5F7FB"/>
          </w:tcPr>
          <w:p>
            <w:pPr>
              <w:pStyle w:val="Compact"/>
            </w:pPr>
            <w:r>
              <w:rPr>
                <w:sz w:val="17"/>
              </w:rPr>
              <w:t xml:space="preserve">Méthode</w:t>
            </w:r>
          </w:p>
        </w:tc>
        <w:tc>
          <w:tcPr>
            <w:shd w:val="clear" w:color="auto" w:fill="F5F7FB"/>
          </w:tcPr>
          <w:p>
            <w:pPr>
              <w:pStyle w:val="Compact"/>
            </w:pPr>
            <w:r>
              <w:rPr>
                <w:sz w:val="17"/>
              </w:rPr>
              <w:t xml:space="preserve">Tarif horaire par zone ; titre lié à la plaque ; contrôle par terminal ou caméra</w:t>
            </w:r>
          </w:p>
        </w:tc>
      </w:tr>
      <w:tr>
        <w:tc>
          <w:tcPr/>
          <w:p>
            <w:pPr>
              <w:pStyle w:val="Compact"/>
            </w:pPr>
            <w:r>
              <w:rPr>
                <w:sz w:val="17"/>
              </w:rPr>
              <w:t xml:space="preserve">Coût</w:t>
            </w:r>
          </w:p>
        </w:tc>
        <w:tc>
          <w:tcPr/>
          <w:p>
            <w:pPr>
              <w:pStyle w:val="Compact"/>
            </w:pPr>
            <w:r>
              <w:rPr>
                <w:sz w:val="17"/>
              </w:rPr>
              <w:t xml:space="preserve">Signalisation, marquage, terminaux ; caméras en phase ultérieure</w:t>
            </w:r>
          </w:p>
        </w:tc>
      </w:tr>
      <w:tr>
        <w:tc>
          <w:tcPr>
            <w:shd w:val="clear" w:color="auto" w:fill="F5F7FB"/>
          </w:tcPr>
          <w:p>
            <w:pPr>
              <w:pStyle w:val="Compact"/>
            </w:pPr>
            <w:r>
              <w:rPr>
                <w:sz w:val="17"/>
              </w:rPr>
              <w:t xml:space="preserve">Impact social</w:t>
            </w:r>
          </w:p>
        </w:tc>
        <w:tc>
          <w:tcPr>
            <w:shd w:val="clear" w:color="auto" w:fill="F5F7FB"/>
          </w:tcPr>
          <w:p>
            <w:pPr>
              <w:pStyle w:val="Compact"/>
            </w:pPr>
            <w:r>
              <w:rPr>
                <w:sz w:val="17"/>
              </w:rPr>
              <w:t xml:space="preserve">Faible pour les ménages sans véhicule ; attention aux riverains (abonnements)</w:t>
            </w:r>
          </w:p>
        </w:tc>
      </w:tr>
      <w:tr>
        <w:tc>
          <w:tcPr/>
          <w:p>
            <w:pPr>
              <w:pStyle w:val="Compact"/>
            </w:pPr>
            <w:r>
              <w:rPr>
                <w:sz w:val="17"/>
              </w:rPr>
              <w:t xml:space="preserve">Impact économique</w:t>
            </w:r>
          </w:p>
        </w:tc>
        <w:tc>
          <w:tcPr/>
          <w:p>
            <w:pPr>
              <w:pStyle w:val="Compact"/>
            </w:pPr>
            <w:r>
              <w:rPr>
                <w:sz w:val="17"/>
              </w:rPr>
              <w:t xml:space="preserve">Rotation favorable au commerce</w:t>
            </w:r>
          </w:p>
        </w:tc>
      </w:tr>
      <w:tr>
        <w:tc>
          <w:tcPr>
            <w:shd w:val="clear" w:color="auto" w:fill="F5F7FB"/>
          </w:tcPr>
          <w:p>
            <w:pPr>
              <w:pStyle w:val="Compact"/>
            </w:pPr>
            <w:r>
              <w:rPr>
                <w:sz w:val="17"/>
              </w:rPr>
              <w:t xml:space="preserve">Potentiel</w:t>
            </w:r>
          </w:p>
        </w:tc>
        <w:tc>
          <w:tcPr>
            <w:shd w:val="clear" w:color="auto" w:fill="F5F7FB"/>
          </w:tcPr>
          <w:p>
            <w:pPr>
              <w:pStyle w:val="Compact"/>
            </w:pPr>
            <w:r>
              <w:rPr>
                <w:rStyle w:val="VerbatimChar"/>
                <w:sz w:val="17"/>
              </w:rPr>
              <w:t xml:space="preserve">Places × taux d'occupation payante × heures × tarif</w:t>
            </w:r>
          </w:p>
        </w:tc>
      </w:tr>
      <w:tr>
        <w:tc>
          <w:tcPr/>
          <w:p>
            <w:pPr>
              <w:pStyle w:val="Compact"/>
            </w:pPr>
            <w:r>
              <w:rPr>
                <w:sz w:val="17"/>
              </w:rPr>
              <w:t xml:space="preserve">Risque de corruption</w:t>
            </w:r>
          </w:p>
        </w:tc>
        <w:tc>
          <w:tcPr/>
          <w:p>
            <w:pPr>
              <w:pStyle w:val="Compact"/>
            </w:pPr>
            <w:r>
              <w:rPr>
                <w:sz w:val="17"/>
              </w:rPr>
              <w:t xml:space="preserve">Moyen ; réduit par l’absence d’espèces et la verbalisation tracée</w:t>
            </w:r>
          </w:p>
        </w:tc>
      </w:tr>
      <w:tr>
        <w:tc>
          <w:tcPr>
            <w:shd w:val="clear" w:color="auto" w:fill="F5F7FB"/>
          </w:tcPr>
          <w:p>
            <w:pPr>
              <w:pStyle w:val="Compact"/>
            </w:pPr>
            <w:r>
              <w:rPr>
                <w:sz w:val="17"/>
              </w:rPr>
              <w:t xml:space="preserve">Contrôle</w:t>
            </w:r>
          </w:p>
        </w:tc>
        <w:tc>
          <w:tcPr>
            <w:shd w:val="clear" w:color="auto" w:fill="F5F7FB"/>
          </w:tcPr>
          <w:p>
            <w:pPr>
              <w:pStyle w:val="Compact"/>
            </w:pPr>
            <w:r>
              <w:rPr>
                <w:sz w:val="17"/>
              </w:rPr>
              <w:t xml:space="preserve">Constat numérique ; amende selon barème réglementaire ; recours</w:t>
            </w:r>
          </w:p>
        </w:tc>
      </w:tr>
      <w:tr>
        <w:tc>
          <w:tcPr/>
          <w:p>
            <w:pPr>
              <w:pStyle w:val="Compact"/>
            </w:pPr>
            <w:r>
              <w:rPr>
                <w:sz w:val="17"/>
              </w:rPr>
              <w:t xml:space="preserve">Texte requis</w:t>
            </w:r>
          </w:p>
        </w:tc>
        <w:tc>
          <w:tcPr/>
          <w:p>
            <w:pPr>
              <w:pStyle w:val="Compact"/>
            </w:pPr>
            <w:r>
              <w:rPr>
                <w:sz w:val="17"/>
              </w:rPr>
              <w:t xml:space="preserve">Arrêté de zonage et de tarifs ; barème des amendes</w:t>
            </w:r>
          </w:p>
        </w:tc>
      </w:tr>
      <w:tr>
        <w:tc>
          <w:tcPr>
            <w:shd w:val="clear" w:color="auto" w:fill="F5F7FB"/>
          </w:tcPr>
          <w:p>
            <w:pPr>
              <w:pStyle w:val="Compact"/>
            </w:pPr>
            <w:r>
              <w:rPr>
                <w:sz w:val="17"/>
              </w:rPr>
              <w:t xml:space="preserve">Priorité</w:t>
            </w:r>
          </w:p>
        </w:tc>
        <w:tc>
          <w:tcPr>
            <w:shd w:val="clear" w:color="auto" w:fill="F5F7FB"/>
          </w:tcPr>
          <w:p>
            <w:pPr>
              <w:pStyle w:val="Compact"/>
            </w:pPr>
            <w:r>
              <w:rPr>
                <w:sz w:val="17"/>
              </w:rPr>
              <w:t xml:space="preserve">2</w:t>
            </w:r>
          </w:p>
        </w:tc>
      </w:tr>
      <w:tr>
        <w:tc>
          <w:tcPr/>
          <w:p>
            <w:pPr>
              <w:pStyle w:val="Compact"/>
            </w:pPr>
            <w:r>
              <w:rPr>
                <w:sz w:val="17"/>
              </w:rPr>
              <w:t xml:space="preserve">Pilote</w:t>
            </w:r>
          </w:p>
        </w:tc>
        <w:tc>
          <w:tcPr/>
          <w:p>
            <w:pPr>
              <w:pStyle w:val="Compact"/>
            </w:pPr>
            <w:r>
              <w:rPr>
                <w:sz w:val="17"/>
              </w:rPr>
              <w:t xml:space="preserve">Axes de la Gombe après l’acte ; les enlèvements et immobilisations restent des décisions humaines</w:t>
            </w:r>
          </w:p>
        </w:tc>
      </w:tr>
    </w:tbl>
    <w:bookmarkEnd w:id="77"/>
    <w:bookmarkStart w:id="78" w:name="Xb2523fdbd88feac4e05d5060d17eb29bd66db14"/>
    <w:p>
      <w:pPr>
        <w:pStyle w:val="Heading3"/>
      </w:pPr>
      <w:r>
        <w:t xml:space="preserve">G12 — Arriérés et régularisation volontaire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Attribut</w:t>
            </w:r>
          </w:p>
        </w:tc>
        <w:tc>
          <w:tcPr>
            <w:shd w:val="clear" w:color="auto" w:fill="232C6B"/>
          </w:tcPr>
          <w:p>
            <w:pPr>
              <w:pStyle w:val="Compact"/>
            </w:pPr>
            <w:r>
              <w:rPr>
                <w:b/>
                <w:color w:val="FFFFFF"/>
                <w:sz w:val="17"/>
              </w:rPr>
              <w:t xml:space="preserve">Contenu</w:t>
            </w:r>
          </w:p>
        </w:tc>
      </w:tr>
      <w:tr>
        <w:tc>
          <w:tcPr/>
          <w:p>
            <w:pPr>
              <w:pStyle w:val="Compact"/>
            </w:pPr>
            <w:r>
              <w:rPr>
                <w:sz w:val="17"/>
              </w:rPr>
              <w:t xml:space="preserve">Faisabilité</w:t>
            </w:r>
          </w:p>
        </w:tc>
        <w:tc>
          <w:tcPr/>
          <w:p>
            <w:pPr>
              <w:pStyle w:val="Compact"/>
            </w:pPr>
            <w:r>
              <w:rPr>
                <w:sz w:val="17"/>
              </w:rPr>
              <w:t xml:space="preserve">A pour le recouvrement ; B/C pour une remise de pénalités (J14)</w:t>
            </w:r>
          </w:p>
        </w:tc>
      </w:tr>
      <w:tr>
        <w:tc>
          <w:tcPr>
            <w:shd w:val="clear" w:color="auto" w:fill="F5F7FB"/>
          </w:tcPr>
          <w:p>
            <w:pPr>
              <w:pStyle w:val="Compact"/>
            </w:pPr>
            <w:r>
              <w:rPr>
                <w:sz w:val="17"/>
              </w:rPr>
              <w:t xml:space="preserve">Objectif</w:t>
            </w:r>
          </w:p>
        </w:tc>
        <w:tc>
          <w:tcPr>
            <w:shd w:val="clear" w:color="auto" w:fill="F5F7FB"/>
          </w:tcPr>
          <w:p>
            <w:pPr>
              <w:pStyle w:val="Compact"/>
            </w:pPr>
            <w:r>
              <w:rPr>
                <w:sz w:val="17"/>
              </w:rPr>
              <w:t xml:space="preserve">Récupérer des recettes dues ; remettre les contribuables dans le système</w:t>
            </w:r>
          </w:p>
        </w:tc>
      </w:tr>
      <w:tr>
        <w:tc>
          <w:tcPr/>
          <w:p>
            <w:pPr>
              <w:pStyle w:val="Compact"/>
            </w:pPr>
            <w:r>
              <w:rPr>
                <w:sz w:val="17"/>
              </w:rPr>
              <w:t xml:space="preserve">Autorité</w:t>
            </w:r>
          </w:p>
        </w:tc>
        <w:tc>
          <w:tcPr/>
          <w:p>
            <w:pPr>
              <w:pStyle w:val="Compact"/>
            </w:pPr>
            <w:r>
              <w:rPr>
                <w:sz w:val="17"/>
              </w:rPr>
              <w:t xml:space="preserve">Régies ; Finances</w:t>
            </w:r>
          </w:p>
        </w:tc>
      </w:tr>
      <w:tr>
        <w:tc>
          <w:tcPr>
            <w:shd w:val="clear" w:color="auto" w:fill="F5F7FB"/>
          </w:tcPr>
          <w:p>
            <w:pPr>
              <w:pStyle w:val="Compact"/>
            </w:pPr>
            <w:r>
              <w:rPr>
                <w:sz w:val="17"/>
              </w:rPr>
              <w:t xml:space="preserve">Fait générateur</w:t>
            </w:r>
          </w:p>
        </w:tc>
        <w:tc>
          <w:tcPr>
            <w:shd w:val="clear" w:color="auto" w:fill="F5F7FB"/>
          </w:tcPr>
          <w:p>
            <w:pPr>
              <w:pStyle w:val="Compact"/>
            </w:pPr>
            <w:r>
              <w:rPr>
                <w:sz w:val="17"/>
              </w:rPr>
              <w:t xml:space="preserve">Obligations antérieures non payées et non prescrites</w:t>
            </w:r>
          </w:p>
        </w:tc>
      </w:tr>
      <w:tr>
        <w:tc>
          <w:tcPr/>
          <w:p>
            <w:pPr>
              <w:pStyle w:val="Compact"/>
            </w:pPr>
            <w:r>
              <w:rPr>
                <w:sz w:val="17"/>
              </w:rPr>
              <w:t xml:space="preserve">Population</w:t>
            </w:r>
          </w:p>
        </w:tc>
        <w:tc>
          <w:tcPr/>
          <w:p>
            <w:pPr>
              <w:pStyle w:val="Compact"/>
            </w:pPr>
            <w:r>
              <w:rPr>
                <w:sz w:val="17"/>
              </w:rPr>
              <w:t xml:space="preserve">Contribuables en retard</w:t>
            </w:r>
          </w:p>
        </w:tc>
      </w:tr>
      <w:tr>
        <w:tc>
          <w:tcPr>
            <w:shd w:val="clear" w:color="auto" w:fill="F5F7FB"/>
          </w:tcPr>
          <w:p>
            <w:pPr>
              <w:pStyle w:val="Compact"/>
            </w:pPr>
            <w:r>
              <w:rPr>
                <w:sz w:val="17"/>
              </w:rPr>
              <w:t xml:space="preserve">Méthode</w:t>
            </w:r>
          </w:p>
        </w:tc>
        <w:tc>
          <w:tcPr>
            <w:shd w:val="clear" w:color="auto" w:fill="F5F7FB"/>
          </w:tcPr>
          <w:p>
            <w:pPr>
              <w:pStyle w:val="Compact"/>
            </w:pPr>
            <w:r>
              <w:rPr>
                <w:sz w:val="17"/>
              </w:rPr>
              <w:t xml:space="preserve">Segmentation par âge, montant, solvabilité ; relances graduées ; échéanciers si la loi le permet</w:t>
            </w:r>
          </w:p>
        </w:tc>
      </w:tr>
      <w:tr>
        <w:tc>
          <w:tcPr/>
          <w:p>
            <w:pPr>
              <w:pStyle w:val="Compact"/>
            </w:pPr>
            <w:r>
              <w:rPr>
                <w:sz w:val="17"/>
              </w:rPr>
              <w:t xml:space="preserve">Coût</w:t>
            </w:r>
          </w:p>
        </w:tc>
        <w:tc>
          <w:tcPr/>
          <w:p>
            <w:pPr>
              <w:pStyle w:val="Compact"/>
            </w:pPr>
            <w:r>
              <w:rPr>
                <w:sz w:val="17"/>
              </w:rPr>
              <w:t xml:space="preserve">Faible</w:t>
            </w:r>
          </w:p>
        </w:tc>
      </w:tr>
      <w:tr>
        <w:tc>
          <w:tcPr>
            <w:shd w:val="clear" w:color="auto" w:fill="F5F7FB"/>
          </w:tcPr>
          <w:p>
            <w:pPr>
              <w:pStyle w:val="Compact"/>
            </w:pPr>
            <w:r>
              <w:rPr>
                <w:sz w:val="17"/>
              </w:rPr>
              <w:t xml:space="preserve">Impact social</w:t>
            </w:r>
          </w:p>
        </w:tc>
        <w:tc>
          <w:tcPr>
            <w:shd w:val="clear" w:color="auto" w:fill="F5F7FB"/>
          </w:tcPr>
          <w:p>
            <w:pPr>
              <w:pStyle w:val="Compact"/>
            </w:pPr>
            <w:r>
              <w:rPr>
                <w:sz w:val="17"/>
              </w:rPr>
              <w:t xml:space="preserve">Modéré ; proportionnalité exigée</w:t>
            </w:r>
          </w:p>
        </w:tc>
      </w:tr>
      <w:tr>
        <w:tc>
          <w:tcPr/>
          <w:p>
            <w:pPr>
              <w:pStyle w:val="Compact"/>
            </w:pPr>
            <w:r>
              <w:rPr>
                <w:sz w:val="17"/>
              </w:rPr>
              <w:t xml:space="preserve">Impact économique</w:t>
            </w:r>
          </w:p>
        </w:tc>
        <w:tc>
          <w:tcPr/>
          <w:p>
            <w:pPr>
              <w:pStyle w:val="Compact"/>
            </w:pPr>
            <w:r>
              <w:rPr>
                <w:sz w:val="17"/>
              </w:rPr>
              <w:t xml:space="preserve">Neutre à positif</w:t>
            </w:r>
          </w:p>
        </w:tc>
      </w:tr>
      <w:tr>
        <w:tc>
          <w:tcPr>
            <w:shd w:val="clear" w:color="auto" w:fill="F5F7FB"/>
          </w:tcPr>
          <w:p>
            <w:pPr>
              <w:pStyle w:val="Compact"/>
            </w:pPr>
            <w:r>
              <w:rPr>
                <w:sz w:val="17"/>
              </w:rPr>
              <w:t xml:space="preserve">Potentiel</w:t>
            </w:r>
          </w:p>
        </w:tc>
        <w:tc>
          <w:tcPr>
            <w:shd w:val="clear" w:color="auto" w:fill="F5F7FB"/>
          </w:tcPr>
          <w:p>
            <w:pPr>
              <w:pStyle w:val="Compact"/>
            </w:pPr>
            <w:r>
              <w:rPr>
                <w:rStyle w:val="VerbatimChar"/>
                <w:sz w:val="17"/>
              </w:rPr>
              <w:t xml:space="preserve">Stock d'arriérés recouvrables × taux de recouvrement par segment</w:t>
            </w:r>
          </w:p>
        </w:tc>
      </w:tr>
      <w:tr>
        <w:tc>
          <w:tcPr/>
          <w:p>
            <w:pPr>
              <w:pStyle w:val="Compact"/>
            </w:pPr>
            <w:r>
              <w:rPr>
                <w:sz w:val="17"/>
              </w:rPr>
              <w:t xml:space="preserve">Risque de corruption</w:t>
            </w:r>
          </w:p>
        </w:tc>
        <w:tc>
          <w:tcPr/>
          <w:p>
            <w:pPr>
              <w:pStyle w:val="Compact"/>
            </w:pPr>
            <w:r>
              <w:rPr>
                <w:sz w:val="17"/>
              </w:rPr>
              <w:t xml:space="preserve">Moyen (remises négociées) : remises uniquement par règle, jamais au cas par cas sans double approbation</w:t>
            </w:r>
          </w:p>
        </w:tc>
      </w:tr>
      <w:tr>
        <w:tc>
          <w:tcPr>
            <w:shd w:val="clear" w:color="auto" w:fill="F5F7FB"/>
          </w:tcPr>
          <w:p>
            <w:pPr>
              <w:pStyle w:val="Compact"/>
            </w:pPr>
            <w:r>
              <w:rPr>
                <w:sz w:val="17"/>
              </w:rPr>
              <w:t xml:space="preserve">Contrôle</w:t>
            </w:r>
          </w:p>
        </w:tc>
        <w:tc>
          <w:tcPr>
            <w:shd w:val="clear" w:color="auto" w:fill="F5F7FB"/>
          </w:tcPr>
          <w:p>
            <w:pPr>
              <w:pStyle w:val="Compact"/>
            </w:pPr>
            <w:r>
              <w:rPr>
                <w:sz w:val="17"/>
              </w:rPr>
              <w:t xml:space="preserve">Journal des remises ; alertes de concentration</w:t>
            </w:r>
          </w:p>
        </w:tc>
      </w:tr>
      <w:tr>
        <w:tc>
          <w:tcPr/>
          <w:p>
            <w:pPr>
              <w:pStyle w:val="Compact"/>
            </w:pPr>
            <w:r>
              <w:rPr>
                <w:sz w:val="17"/>
              </w:rPr>
              <w:t xml:space="preserve">Texte requis</w:t>
            </w:r>
          </w:p>
        </w:tc>
        <w:tc>
          <w:tcPr/>
          <w:p>
            <w:pPr>
              <w:pStyle w:val="Compact"/>
            </w:pPr>
            <w:r>
              <w:rPr>
                <w:sz w:val="17"/>
              </w:rPr>
              <w:t xml:space="preserve">Acte de régularisation si remise de pénalités</w:t>
            </w:r>
          </w:p>
        </w:tc>
      </w:tr>
      <w:tr>
        <w:tc>
          <w:tcPr>
            <w:shd w:val="clear" w:color="auto" w:fill="F5F7FB"/>
          </w:tcPr>
          <w:p>
            <w:pPr>
              <w:pStyle w:val="Compact"/>
            </w:pPr>
            <w:r>
              <w:rPr>
                <w:sz w:val="17"/>
              </w:rPr>
              <w:t xml:space="preserve">Priorité</w:t>
            </w:r>
          </w:p>
        </w:tc>
        <w:tc>
          <w:tcPr>
            <w:shd w:val="clear" w:color="auto" w:fill="F5F7FB"/>
          </w:tcPr>
          <w:p>
            <w:pPr>
              <w:pStyle w:val="Compact"/>
            </w:pPr>
            <w:r>
              <w:rPr>
                <w:sz w:val="17"/>
              </w:rPr>
              <w:t xml:space="preserve">2</w:t>
            </w:r>
          </w:p>
        </w:tc>
      </w:tr>
      <w:tr>
        <w:tc>
          <w:tcPr/>
          <w:p>
            <w:pPr>
              <w:pStyle w:val="Compact"/>
            </w:pPr>
            <w:r>
              <w:rPr>
                <w:sz w:val="17"/>
              </w:rPr>
              <w:t xml:space="preserve">Pilote</w:t>
            </w:r>
          </w:p>
        </w:tc>
        <w:tc>
          <w:tcPr/>
          <w:p>
            <w:pPr>
              <w:pStyle w:val="Compact"/>
            </w:pPr>
            <w:r>
              <w:rPr>
                <w:sz w:val="17"/>
              </w:rPr>
              <w:t xml:space="preserve">Campagne ciblée après la campagne de février 2027</w:t>
            </w:r>
          </w:p>
        </w:tc>
      </w:tr>
    </w:tbl>
    <w:bookmarkEnd w:id="78"/>
    <w:bookmarkEnd w:id="79"/>
    <w:bookmarkStart w:id="80" w:name="Xff3cafef3f1bef8b4c3b659e301cd410fa09134"/>
    <w:p>
      <w:pPr>
        <w:pStyle w:val="Heading2"/>
      </w:pPr>
      <w:r>
        <w:t xml:space="preserve">8.4 Leviers de maximisation et moteur de découverte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w:t>
            </w:r>
          </w:p>
        </w:tc>
        <w:tc>
          <w:tcPr>
            <w:shd w:val="clear" w:color="auto" w:fill="232C6B"/>
          </w:tcPr>
          <w:p>
            <w:pPr>
              <w:pStyle w:val="Compact"/>
            </w:pPr>
            <w:r>
              <w:rPr>
                <w:b/>
                <w:color w:val="FFFFFF"/>
                <w:sz w:val="17"/>
              </w:rPr>
              <w:t xml:space="preserve">Levier</w:t>
            </w:r>
          </w:p>
        </w:tc>
        <w:tc>
          <w:tcPr>
            <w:shd w:val="clear" w:color="auto" w:fill="232C6B"/>
          </w:tcPr>
          <w:p>
            <w:pPr>
              <w:pStyle w:val="Compact"/>
            </w:pPr>
            <w:r>
              <w:rPr>
                <w:b/>
                <w:color w:val="FFFFFF"/>
                <w:sz w:val="17"/>
              </w:rPr>
              <w:t xml:space="preserve">Action</w:t>
            </w:r>
          </w:p>
        </w:tc>
        <w:tc>
          <w:tcPr>
            <w:shd w:val="clear" w:color="auto" w:fill="232C6B"/>
          </w:tcPr>
          <w:p>
            <w:pPr>
              <w:pStyle w:val="Compact"/>
            </w:pPr>
            <w:r>
              <w:rPr>
                <w:b/>
                <w:color w:val="FFFFFF"/>
                <w:sz w:val="17"/>
              </w:rPr>
              <w:t xml:space="preserve">Mesure</w:t>
            </w:r>
          </w:p>
        </w:tc>
      </w:tr>
      <w:tr>
        <w:tc>
          <w:tcPr/>
          <w:p>
            <w:pPr>
              <w:pStyle w:val="Compact"/>
            </w:pPr>
            <w:r>
              <w:rPr>
                <w:sz w:val="17"/>
              </w:rPr>
              <w:t xml:space="preserve">1</w:t>
            </w:r>
          </w:p>
        </w:tc>
        <w:tc>
          <w:tcPr/>
          <w:p>
            <w:pPr>
              <w:pStyle w:val="Compact"/>
            </w:pPr>
            <w:r>
              <w:rPr>
                <w:sz w:val="17"/>
              </w:rPr>
              <w:t xml:space="preserve">Couverture</w:t>
            </w:r>
          </w:p>
        </w:tc>
        <w:tc>
          <w:tcPr/>
          <w:p>
            <w:pPr>
              <w:pStyle w:val="Compact"/>
            </w:pPr>
            <w:r>
              <w:rPr>
                <w:sz w:val="17"/>
              </w:rPr>
              <w:t xml:space="preserve">Recenser objets et activités invisibles</w:t>
            </w:r>
          </w:p>
        </w:tc>
        <w:tc>
          <w:tcPr/>
          <w:p>
            <w:pPr>
              <w:pStyle w:val="Compact"/>
            </w:pPr>
            <w:r>
              <w:rPr>
                <w:sz w:val="17"/>
              </w:rPr>
              <w:t xml:space="preserve">Objets vérifiés nouveaux</w:t>
            </w:r>
          </w:p>
        </w:tc>
      </w:tr>
      <w:tr>
        <w:tc>
          <w:tcPr>
            <w:shd w:val="clear" w:color="auto" w:fill="F5F7FB"/>
          </w:tcPr>
          <w:p>
            <w:pPr>
              <w:pStyle w:val="Compact"/>
            </w:pPr>
            <w:r>
              <w:rPr>
                <w:sz w:val="17"/>
              </w:rPr>
              <w:t xml:space="preserve">2</w:t>
            </w:r>
          </w:p>
        </w:tc>
        <w:tc>
          <w:tcPr>
            <w:shd w:val="clear" w:color="auto" w:fill="F5F7FB"/>
          </w:tcPr>
          <w:p>
            <w:pPr>
              <w:pStyle w:val="Compact"/>
            </w:pPr>
            <w:r>
              <w:rPr>
                <w:sz w:val="17"/>
              </w:rPr>
              <w:t xml:space="preserve">Rattachement</w:t>
            </w:r>
          </w:p>
        </w:tc>
        <w:tc>
          <w:tcPr>
            <w:shd w:val="clear" w:color="auto" w:fill="F5F7FB"/>
          </w:tcPr>
          <w:p>
            <w:pPr>
              <w:pStyle w:val="Compact"/>
            </w:pPr>
            <w:r>
              <w:rPr>
                <w:sz w:val="17"/>
              </w:rPr>
              <w:t xml:space="preserve">Associer chaque objet au bon compte</w:t>
            </w:r>
          </w:p>
        </w:tc>
        <w:tc>
          <w:tcPr>
            <w:shd w:val="clear" w:color="auto" w:fill="F5F7FB"/>
          </w:tcPr>
          <w:p>
            <w:pPr>
              <w:pStyle w:val="Compact"/>
            </w:pPr>
            <w:r>
              <w:rPr>
                <w:sz w:val="17"/>
              </w:rPr>
              <w:t xml:space="preserve">Taux d’identification</w:t>
            </w:r>
          </w:p>
        </w:tc>
      </w:tr>
      <w:tr>
        <w:tc>
          <w:tcPr/>
          <w:p>
            <w:pPr>
              <w:pStyle w:val="Compact"/>
            </w:pPr>
            <w:r>
              <w:rPr>
                <w:sz w:val="17"/>
              </w:rPr>
              <w:t xml:space="preserve">3</w:t>
            </w:r>
          </w:p>
        </w:tc>
        <w:tc>
          <w:tcPr/>
          <w:p>
            <w:pPr>
              <w:pStyle w:val="Compact"/>
            </w:pPr>
            <w:r>
              <w:rPr>
                <w:sz w:val="17"/>
              </w:rPr>
              <w:t xml:space="preserve">Qualité</w:t>
            </w:r>
          </w:p>
        </w:tc>
        <w:tc>
          <w:tcPr/>
          <w:p>
            <w:pPr>
              <w:pStyle w:val="Compact"/>
            </w:pPr>
            <w:r>
              <w:rPr>
                <w:sz w:val="17"/>
              </w:rPr>
              <w:t xml:space="preserve">Corriger adresses, catégories, dimensions</w:t>
            </w:r>
          </w:p>
        </w:tc>
        <w:tc>
          <w:tcPr/>
          <w:p>
            <w:pPr>
              <w:pStyle w:val="Compact"/>
            </w:pPr>
            <w:r>
              <w:rPr>
                <w:sz w:val="17"/>
              </w:rPr>
              <w:t xml:space="preserve">Baisse des rejets et recours fondés</w:t>
            </w:r>
          </w:p>
        </w:tc>
      </w:tr>
      <w:tr>
        <w:tc>
          <w:tcPr>
            <w:shd w:val="clear" w:color="auto" w:fill="F5F7FB"/>
          </w:tcPr>
          <w:p>
            <w:pPr>
              <w:pStyle w:val="Compact"/>
            </w:pPr>
            <w:r>
              <w:rPr>
                <w:sz w:val="17"/>
              </w:rPr>
              <w:t xml:space="preserve">4</w:t>
            </w:r>
          </w:p>
        </w:tc>
        <w:tc>
          <w:tcPr>
            <w:shd w:val="clear" w:color="auto" w:fill="F5F7FB"/>
          </w:tcPr>
          <w:p>
            <w:pPr>
              <w:pStyle w:val="Compact"/>
            </w:pPr>
            <w:r>
              <w:rPr>
                <w:sz w:val="17"/>
              </w:rPr>
              <w:t xml:space="preserve">Règles</w:t>
            </w:r>
          </w:p>
        </w:tc>
        <w:tc>
          <w:tcPr>
            <w:shd w:val="clear" w:color="auto" w:fill="F5F7FB"/>
          </w:tcPr>
          <w:p>
            <w:pPr>
              <w:pStyle w:val="Compact"/>
            </w:pPr>
            <w:r>
              <w:rPr>
                <w:sz w:val="17"/>
              </w:rPr>
              <w:t xml:space="preserve">Appliquer exactement la règle en vigueur</w:t>
            </w:r>
          </w:p>
        </w:tc>
        <w:tc>
          <w:tcPr>
            <w:shd w:val="clear" w:color="auto" w:fill="F5F7FB"/>
          </w:tcPr>
          <w:p>
            <w:pPr>
              <w:pStyle w:val="Compact"/>
            </w:pPr>
            <w:r>
              <w:rPr>
                <w:sz w:val="17"/>
              </w:rPr>
              <w:t xml:space="preserve">Écart de liquidation</w:t>
            </w:r>
          </w:p>
        </w:tc>
      </w:tr>
      <w:tr>
        <w:tc>
          <w:tcPr/>
          <w:p>
            <w:pPr>
              <w:pStyle w:val="Compact"/>
            </w:pPr>
            <w:r>
              <w:rPr>
                <w:sz w:val="17"/>
              </w:rPr>
              <w:t xml:space="preserve">5</w:t>
            </w:r>
          </w:p>
        </w:tc>
        <w:tc>
          <w:tcPr/>
          <w:p>
            <w:pPr>
              <w:pStyle w:val="Compact"/>
            </w:pPr>
            <w:r>
              <w:rPr>
                <w:sz w:val="17"/>
              </w:rPr>
              <w:t xml:space="preserve">Déclaration</w:t>
            </w:r>
          </w:p>
        </w:tc>
        <w:tc>
          <w:tcPr/>
          <w:p>
            <w:pPr>
              <w:pStyle w:val="Compact"/>
            </w:pPr>
            <w:r>
              <w:rPr>
                <w:sz w:val="17"/>
              </w:rPr>
              <w:t xml:space="preserve">Pré-remplissage, rappels</w:t>
            </w:r>
          </w:p>
        </w:tc>
        <w:tc>
          <w:tcPr/>
          <w:p>
            <w:pPr>
              <w:pStyle w:val="Compact"/>
            </w:pPr>
            <w:r>
              <w:rPr>
                <w:sz w:val="17"/>
              </w:rPr>
              <w:t xml:space="preserve">Taux de dépôt à temps</w:t>
            </w:r>
          </w:p>
        </w:tc>
      </w:tr>
      <w:tr>
        <w:tc>
          <w:tcPr>
            <w:shd w:val="clear" w:color="auto" w:fill="F5F7FB"/>
          </w:tcPr>
          <w:p>
            <w:pPr>
              <w:pStyle w:val="Compact"/>
            </w:pPr>
            <w:r>
              <w:rPr>
                <w:sz w:val="17"/>
              </w:rPr>
              <w:t xml:space="preserve">6</w:t>
            </w:r>
          </w:p>
        </w:tc>
        <w:tc>
          <w:tcPr>
            <w:shd w:val="clear" w:color="auto" w:fill="F5F7FB"/>
          </w:tcPr>
          <w:p>
            <w:pPr>
              <w:pStyle w:val="Compact"/>
            </w:pPr>
            <w:r>
              <w:rPr>
                <w:sz w:val="17"/>
              </w:rPr>
              <w:t xml:space="preserve">Paiement</w:t>
            </w:r>
          </w:p>
        </w:tc>
        <w:tc>
          <w:tcPr>
            <w:shd w:val="clear" w:color="auto" w:fill="F5F7FB"/>
          </w:tcPr>
          <w:p>
            <w:pPr>
              <w:pStyle w:val="Compact"/>
            </w:pPr>
            <w:r>
              <w:rPr>
                <w:sz w:val="17"/>
              </w:rPr>
              <w:t xml:space="preserve">Canaux simples, références uniques</w:t>
            </w:r>
          </w:p>
        </w:tc>
        <w:tc>
          <w:tcPr>
            <w:shd w:val="clear" w:color="auto" w:fill="F5F7FB"/>
          </w:tcPr>
          <w:p>
            <w:pPr>
              <w:pStyle w:val="Compact"/>
            </w:pPr>
            <w:r>
              <w:rPr>
                <w:sz w:val="17"/>
              </w:rPr>
              <w:t xml:space="preserve">Conversion avis → paiement</w:t>
            </w:r>
          </w:p>
        </w:tc>
      </w:tr>
      <w:tr>
        <w:tc>
          <w:tcPr/>
          <w:p>
            <w:pPr>
              <w:pStyle w:val="Compact"/>
            </w:pPr>
            <w:r>
              <w:rPr>
                <w:sz w:val="17"/>
              </w:rPr>
              <w:t xml:space="preserve">7</w:t>
            </w:r>
          </w:p>
        </w:tc>
        <w:tc>
          <w:tcPr/>
          <w:p>
            <w:pPr>
              <w:pStyle w:val="Compact"/>
            </w:pPr>
            <w:r>
              <w:rPr>
                <w:sz w:val="17"/>
              </w:rPr>
              <w:t xml:space="preserve">Rapprochement</w:t>
            </w:r>
          </w:p>
        </w:tc>
        <w:tc>
          <w:tcPr/>
          <w:p>
            <w:pPr>
              <w:pStyle w:val="Compact"/>
            </w:pPr>
            <w:r>
              <w:rPr>
                <w:sz w:val="17"/>
              </w:rPr>
              <w:t xml:space="preserve">Dénouement automatisé</w:t>
            </w:r>
          </w:p>
        </w:tc>
        <w:tc>
          <w:tcPr/>
          <w:p>
            <w:pPr>
              <w:pStyle w:val="Compact"/>
            </w:pPr>
            <w:r>
              <w:rPr>
                <w:sz w:val="17"/>
              </w:rPr>
              <w:t xml:space="preserve">Montants en exception</w:t>
            </w:r>
          </w:p>
        </w:tc>
      </w:tr>
      <w:tr>
        <w:tc>
          <w:tcPr>
            <w:shd w:val="clear" w:color="auto" w:fill="F5F7FB"/>
          </w:tcPr>
          <w:p>
            <w:pPr>
              <w:pStyle w:val="Compact"/>
            </w:pPr>
            <w:r>
              <w:rPr>
                <w:sz w:val="17"/>
              </w:rPr>
              <w:t xml:space="preserve">8</w:t>
            </w:r>
          </w:p>
        </w:tc>
        <w:tc>
          <w:tcPr>
            <w:shd w:val="clear" w:color="auto" w:fill="F5F7FB"/>
          </w:tcPr>
          <w:p>
            <w:pPr>
              <w:pStyle w:val="Compact"/>
            </w:pPr>
            <w:r>
              <w:rPr>
                <w:sz w:val="17"/>
              </w:rPr>
              <w:t xml:space="preserve">Recouvrement</w:t>
            </w:r>
          </w:p>
        </w:tc>
        <w:tc>
          <w:tcPr>
            <w:shd w:val="clear" w:color="auto" w:fill="F5F7FB"/>
          </w:tcPr>
          <w:p>
            <w:pPr>
              <w:pStyle w:val="Compact"/>
            </w:pPr>
            <w:r>
              <w:rPr>
                <w:sz w:val="17"/>
              </w:rPr>
              <w:t xml:space="preserve">Prioriser le rendement net</w:t>
            </w:r>
          </w:p>
        </w:tc>
        <w:tc>
          <w:tcPr>
            <w:shd w:val="clear" w:color="auto" w:fill="F5F7FB"/>
          </w:tcPr>
          <w:p>
            <w:pPr>
              <w:pStyle w:val="Compact"/>
            </w:pPr>
            <w:r>
              <w:rPr>
                <w:sz w:val="17"/>
              </w:rPr>
              <w:t xml:space="preserve">Recouvré par unité de coût</w:t>
            </w:r>
          </w:p>
        </w:tc>
      </w:tr>
      <w:tr>
        <w:tc>
          <w:tcPr/>
          <w:p>
            <w:pPr>
              <w:pStyle w:val="Compact"/>
            </w:pPr>
            <w:r>
              <w:rPr>
                <w:sz w:val="17"/>
              </w:rPr>
              <w:t xml:space="preserve">9</w:t>
            </w:r>
          </w:p>
        </w:tc>
        <w:tc>
          <w:tcPr/>
          <w:p>
            <w:pPr>
              <w:pStyle w:val="Compact"/>
            </w:pPr>
            <w:r>
              <w:rPr>
                <w:sz w:val="17"/>
              </w:rPr>
              <w:t xml:space="preserve">Intégrité</w:t>
            </w:r>
          </w:p>
        </w:tc>
        <w:tc>
          <w:tcPr/>
          <w:p>
            <w:pPr>
              <w:pStyle w:val="Compact"/>
            </w:pPr>
            <w:r>
              <w:rPr>
                <w:sz w:val="17"/>
              </w:rPr>
              <w:t xml:space="preserve">Détecter exonérations, annulations, collusions</w:t>
            </w:r>
          </w:p>
        </w:tc>
        <w:tc>
          <w:tcPr/>
          <w:p>
            <w:pPr>
              <w:pStyle w:val="Compact"/>
            </w:pPr>
            <w:r>
              <w:rPr>
                <w:sz w:val="17"/>
              </w:rPr>
              <w:t xml:space="preserve">Déperdition évitée</w:t>
            </w:r>
          </w:p>
        </w:tc>
      </w:tr>
      <w:tr>
        <w:tc>
          <w:tcPr>
            <w:shd w:val="clear" w:color="auto" w:fill="F5F7FB"/>
          </w:tcPr>
          <w:p>
            <w:pPr>
              <w:pStyle w:val="Compact"/>
            </w:pPr>
            <w:r>
              <w:rPr>
                <w:sz w:val="17"/>
              </w:rPr>
              <w:t xml:space="preserve">10</w:t>
            </w:r>
          </w:p>
        </w:tc>
        <w:tc>
          <w:tcPr>
            <w:shd w:val="clear" w:color="auto" w:fill="F5F7FB"/>
          </w:tcPr>
          <w:p>
            <w:pPr>
              <w:pStyle w:val="Compact"/>
            </w:pPr>
            <w:r>
              <w:rPr>
                <w:sz w:val="17"/>
              </w:rPr>
              <w:t xml:space="preserve">Service</w:t>
            </w:r>
          </w:p>
        </w:tc>
        <w:tc>
          <w:tcPr>
            <w:shd w:val="clear" w:color="auto" w:fill="F5F7FB"/>
          </w:tcPr>
          <w:p>
            <w:pPr>
              <w:pStyle w:val="Compact"/>
            </w:pPr>
            <w:r>
              <w:rPr>
                <w:sz w:val="17"/>
              </w:rPr>
              <w:t xml:space="preserve">Réduire erreurs et déplacements</w:t>
            </w:r>
          </w:p>
        </w:tc>
        <w:tc>
          <w:tcPr>
            <w:shd w:val="clear" w:color="auto" w:fill="F5F7FB"/>
          </w:tcPr>
          <w:p>
            <w:pPr>
              <w:pStyle w:val="Compact"/>
            </w:pPr>
            <w:r>
              <w:rPr>
                <w:sz w:val="17"/>
              </w:rPr>
              <w:t xml:space="preserve">Satisfaction, délais</w:t>
            </w:r>
          </w:p>
        </w:tc>
      </w:tr>
      <w:tr>
        <w:tc>
          <w:tcPr/>
          <w:p>
            <w:pPr>
              <w:pStyle w:val="Compact"/>
            </w:pPr>
            <w:r>
              <w:rPr>
                <w:sz w:val="17"/>
              </w:rPr>
              <w:t xml:space="preserve">11</w:t>
            </w:r>
          </w:p>
        </w:tc>
        <w:tc>
          <w:tcPr/>
          <w:p>
            <w:pPr>
              <w:pStyle w:val="Compact"/>
            </w:pPr>
            <w:r>
              <w:rPr>
                <w:sz w:val="17"/>
              </w:rPr>
              <w:t xml:space="preserve">Données</w:t>
            </w:r>
          </w:p>
        </w:tc>
        <w:tc>
          <w:tcPr/>
          <w:p>
            <w:pPr>
              <w:pStyle w:val="Compact"/>
            </w:pPr>
            <w:r>
              <w:rPr>
                <w:sz w:val="17"/>
              </w:rPr>
              <w:t xml:space="preserve">Partager légalement les signaux utiles</w:t>
            </w:r>
          </w:p>
        </w:tc>
        <w:tc>
          <w:tcPr/>
          <w:p>
            <w:pPr>
              <w:pStyle w:val="Compact"/>
            </w:pPr>
            <w:r>
              <w:rPr>
                <w:sz w:val="17"/>
              </w:rPr>
              <w:t xml:space="preserve">Nouvelles correspondances</w:t>
            </w:r>
          </w:p>
        </w:tc>
      </w:tr>
      <w:tr>
        <w:tc>
          <w:tcPr>
            <w:shd w:val="clear" w:color="auto" w:fill="F5F7FB"/>
          </w:tcPr>
          <w:p>
            <w:pPr>
              <w:pStyle w:val="Compact"/>
            </w:pPr>
            <w:r>
              <w:rPr>
                <w:sz w:val="17"/>
              </w:rPr>
              <w:t xml:space="preserve">12</w:t>
            </w:r>
          </w:p>
        </w:tc>
        <w:tc>
          <w:tcPr>
            <w:shd w:val="clear" w:color="auto" w:fill="F5F7FB"/>
          </w:tcPr>
          <w:p>
            <w:pPr>
              <w:pStyle w:val="Compact"/>
            </w:pPr>
            <w:r>
              <w:rPr>
                <w:sz w:val="17"/>
              </w:rPr>
              <w:t xml:space="preserve">Pilotage</w:t>
            </w:r>
          </w:p>
        </w:tc>
        <w:tc>
          <w:tcPr>
            <w:shd w:val="clear" w:color="auto" w:fill="F5F7FB"/>
          </w:tcPr>
          <w:p>
            <w:pPr>
              <w:pStyle w:val="Compact"/>
            </w:pPr>
            <w:r>
              <w:rPr>
                <w:sz w:val="17"/>
              </w:rPr>
              <w:t xml:space="preserve">Responsabiliser par zone et catégorie</w:t>
            </w:r>
          </w:p>
        </w:tc>
        <w:tc>
          <w:tcPr>
            <w:shd w:val="clear" w:color="auto" w:fill="F5F7FB"/>
          </w:tcPr>
          <w:p>
            <w:pPr>
              <w:pStyle w:val="Compact"/>
            </w:pPr>
            <w:r>
              <w:rPr>
                <w:sz w:val="17"/>
              </w:rPr>
              <w:t xml:space="preserve">Écart cible/réalisé</w:t>
            </w:r>
          </w:p>
        </w:tc>
      </w:tr>
    </w:tbl>
    <w:p>
      <w:pPr>
        <w:pStyle w:val="BodyText"/>
      </w:pPr>
      <w:r>
        <w:rPr>
          <w:b/>
          <w:bCs/>
        </w:rPr>
        <w:t xml:space="preserve">Pipeline de découverte.</w:t>
      </w:r>
      <w:r>
        <w:t xml:space="preserve"> </w:t>
      </w:r>
      <w:r>
        <w:t xml:space="preserve">Signal (IA, terrain, partenaire) → qualification juridique (juriste) → estimation en trois scénarios (analyste) → impact socio-économique → risque de corruption (contrôle interne) → coût → proposition de pilote → décision motivée de l’autorité compétente. Le moteur classe les pistes par</w:t>
      </w:r>
      <w:r>
        <w:t xml:space="preserve"> </w:t>
      </w:r>
      <w:r>
        <w:rPr>
          <w:b/>
          <w:bCs/>
        </w:rPr>
        <w:t xml:space="preserve">revenu net ajusté du risque</w:t>
      </w:r>
      <w:r>
        <w:t xml:space="preserve"> </w:t>
      </w:r>
      <w:r>
        <w:t xml:space="preserve">: potentiel légal × probabilité de conformité × vitesse d’encaissement − coûts de recensement et de contrôle − risque de contestation − risque social. Les tableaux de bord séparent toujours recettes nouvelles, arriérés, gains de rapprochement et simple reclassement.</w:t>
      </w:r>
    </w:p>
    <w:p>
      <w:pPr>
        <w:pStyle w:val="BodyText"/>
      </w:pPr>
      <w:r>
        <w:rPr>
          <w:b/>
          <w:bCs/>
        </w:rPr>
        <w:t xml:space="preserve">Signaux de recoupement</w:t>
      </w:r>
      <w:r>
        <w:t xml:space="preserve"> </w:t>
      </w:r>
      <w:r>
        <w:t xml:space="preserve">(chaque source exige un protocole signé, J13) :</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Signal</w:t>
            </w:r>
          </w:p>
        </w:tc>
        <w:tc>
          <w:tcPr>
            <w:shd w:val="clear" w:color="auto" w:fill="232C6B"/>
          </w:tcPr>
          <w:p>
            <w:pPr>
              <w:pStyle w:val="Compact"/>
            </w:pPr>
            <w:r>
              <w:rPr>
                <w:b/>
                <w:color w:val="FFFFFF"/>
                <w:sz w:val="17"/>
              </w:rPr>
              <w:t xml:space="preserve">Règle</w:t>
            </w:r>
          </w:p>
        </w:tc>
        <w:tc>
          <w:tcPr>
            <w:shd w:val="clear" w:color="auto" w:fill="232C6B"/>
          </w:tcPr>
          <w:p>
            <w:pPr>
              <w:pStyle w:val="Compact"/>
            </w:pPr>
            <w:r>
              <w:rPr>
                <w:b/>
                <w:color w:val="FFFFFF"/>
                <w:sz w:val="17"/>
              </w:rPr>
              <w:t xml:space="preserve">Sortie (jamais une dette)</w:t>
            </w:r>
          </w:p>
        </w:tc>
      </w:tr>
      <w:tr>
        <w:tc>
          <w:tcPr/>
          <w:p>
            <w:pPr>
              <w:pStyle w:val="Compact"/>
            </w:pPr>
            <w:r>
              <w:rPr>
                <w:sz w:val="17"/>
              </w:rPr>
              <w:t xml:space="preserve">Point de livraison d’une brasserie</w:t>
            </w:r>
          </w:p>
        </w:tc>
        <w:tc>
          <w:tcPr/>
          <w:p>
            <w:pPr>
              <w:pStyle w:val="Compact"/>
            </w:pPr>
            <w:r>
              <w:rPr>
                <w:sz w:val="17"/>
              </w:rPr>
              <w:t xml:space="preserve">Pas d’autorisation de débit de boissons à moins de 50 m</w:t>
            </w:r>
          </w:p>
        </w:tc>
        <w:tc>
          <w:tcPr/>
          <w:p>
            <w:pPr>
              <w:pStyle w:val="Compact"/>
            </w:pPr>
            <w:r>
              <w:rPr>
                <w:sz w:val="17"/>
              </w:rPr>
              <w:t xml:space="preserve">Objet provisoire « débit de boissons » et visite</w:t>
            </w:r>
          </w:p>
        </w:tc>
      </w:tr>
      <w:tr>
        <w:tc>
          <w:tcPr>
            <w:shd w:val="clear" w:color="auto" w:fill="F5F7FB"/>
          </w:tcPr>
          <w:p>
            <w:pPr>
              <w:pStyle w:val="Compact"/>
            </w:pPr>
            <w:r>
              <w:rPr>
                <w:sz w:val="17"/>
              </w:rPr>
              <w:t xml:space="preserve">Code marchand de monnaie mobile actif</w:t>
            </w:r>
          </w:p>
        </w:tc>
        <w:tc>
          <w:tcPr>
            <w:shd w:val="clear" w:color="auto" w:fill="F5F7FB"/>
          </w:tcPr>
          <w:p>
            <w:pPr>
              <w:pStyle w:val="Compact"/>
            </w:pPr>
            <w:r>
              <w:rPr>
                <w:sz w:val="17"/>
              </w:rPr>
              <w:t xml:space="preserve">Pas d’objet patente à l’emplacement</w:t>
            </w:r>
          </w:p>
        </w:tc>
        <w:tc>
          <w:tcPr>
            <w:shd w:val="clear" w:color="auto" w:fill="F5F7FB"/>
          </w:tcPr>
          <w:p>
            <w:pPr>
              <w:pStyle w:val="Compact"/>
            </w:pPr>
            <w:r>
              <w:rPr>
                <w:sz w:val="17"/>
              </w:rPr>
              <w:t xml:space="preserve">Commerce probablement non enregistré</w:t>
            </w:r>
          </w:p>
        </w:tc>
      </w:tr>
      <w:tr>
        <w:tc>
          <w:tcPr/>
          <w:p>
            <w:pPr>
              <w:pStyle w:val="Compact"/>
            </w:pPr>
            <w:r>
              <w:rPr>
                <w:sz w:val="17"/>
              </w:rPr>
              <w:t xml:space="preserve">Plaque lue lors d’un contrôle</w:t>
            </w:r>
          </w:p>
        </w:tc>
        <w:tc>
          <w:tcPr/>
          <w:p>
            <w:pPr>
              <w:pStyle w:val="Compact"/>
            </w:pPr>
            <w:r>
              <w:rPr>
                <w:sz w:val="17"/>
              </w:rPr>
              <w:t xml:space="preserve">Vignette non valide</w:t>
            </w:r>
          </w:p>
        </w:tc>
        <w:tc>
          <w:tcPr/>
          <w:p>
            <w:pPr>
              <w:pStyle w:val="Compact"/>
            </w:pPr>
            <w:r>
              <w:rPr>
                <w:sz w:val="17"/>
              </w:rPr>
              <w:t xml:space="preserve">Statut pour le contrôleur</w:t>
            </w:r>
          </w:p>
        </w:tc>
      </w:tr>
      <w:tr>
        <w:tc>
          <w:tcPr>
            <w:shd w:val="clear" w:color="auto" w:fill="F5F7FB"/>
          </w:tcPr>
          <w:p>
            <w:pPr>
              <w:pStyle w:val="Compact"/>
            </w:pPr>
            <w:r>
              <w:rPr>
                <w:sz w:val="17"/>
              </w:rPr>
              <w:t xml:space="preserve">Candidature à un marché provincial</w:t>
            </w:r>
          </w:p>
        </w:tc>
        <w:tc>
          <w:tcPr>
            <w:shd w:val="clear" w:color="auto" w:fill="F5F7FB"/>
          </w:tcPr>
          <w:p>
            <w:pPr>
              <w:pStyle w:val="Compact"/>
            </w:pPr>
            <w:r>
              <w:rPr>
                <w:sz w:val="17"/>
              </w:rPr>
              <w:t xml:space="preserve">Pas de quitus valide</w:t>
            </w:r>
          </w:p>
        </w:tc>
        <w:tc>
          <w:tcPr>
            <w:shd w:val="clear" w:color="auto" w:fill="F5F7FB"/>
          </w:tcPr>
          <w:p>
            <w:pPr>
              <w:pStyle w:val="Compact"/>
            </w:pPr>
            <w:r>
              <w:rPr>
                <w:sz w:val="17"/>
              </w:rPr>
              <w:t xml:space="preserve">Service suspendu jusqu’à régularisation, si l’acte le prévoit</w:t>
            </w:r>
          </w:p>
        </w:tc>
      </w:tr>
      <w:tr>
        <w:tc>
          <w:tcPr/>
          <w:p>
            <w:pPr>
              <w:pStyle w:val="Compact"/>
            </w:pPr>
            <w:r>
              <w:rPr>
                <w:sz w:val="17"/>
              </w:rPr>
              <w:t xml:space="preserve">Parcelle à compteurs multiples</w:t>
            </w:r>
          </w:p>
        </w:tc>
        <w:tc>
          <w:tcPr/>
          <w:p>
            <w:pPr>
              <w:pStyle w:val="Compact"/>
            </w:pPr>
            <w:r>
              <w:rPr>
                <w:sz w:val="17"/>
              </w:rPr>
              <w:t xml:space="preserve">Pas de déclaration locative</w:t>
            </w:r>
          </w:p>
        </w:tc>
        <w:tc>
          <w:tcPr/>
          <w:p>
            <w:pPr>
              <w:pStyle w:val="Compact"/>
            </w:pPr>
            <w:r>
              <w:rPr>
                <w:sz w:val="17"/>
              </w:rPr>
              <w:t xml:space="preserve">Probable bien loué : visite de vérification</w:t>
            </w:r>
          </w:p>
        </w:tc>
      </w:tr>
      <w:tr>
        <w:tc>
          <w:tcPr>
            <w:shd w:val="clear" w:color="auto" w:fill="F5F7FB"/>
          </w:tcPr>
          <w:p>
            <w:pPr>
              <w:pStyle w:val="Compact"/>
            </w:pPr>
            <w:r>
              <w:rPr>
                <w:sz w:val="17"/>
              </w:rPr>
              <w:t xml:space="preserve">Indemnités de logement en paie</w:t>
            </w:r>
          </w:p>
        </w:tc>
        <w:tc>
          <w:tcPr>
            <w:shd w:val="clear" w:color="auto" w:fill="F5F7FB"/>
          </w:tcPr>
          <w:p>
            <w:pPr>
              <w:pStyle w:val="Compact"/>
            </w:pPr>
            <w:r>
              <w:rPr>
                <w:sz w:val="17"/>
              </w:rPr>
              <w:t xml:space="preserve">Pas de retenue IRL correspondante</w:t>
            </w:r>
          </w:p>
        </w:tc>
        <w:tc>
          <w:tcPr>
            <w:shd w:val="clear" w:color="auto" w:fill="F5F7FB"/>
          </w:tcPr>
          <w:p>
            <w:pPr>
              <w:pStyle w:val="Compact"/>
            </w:pPr>
            <w:r>
              <w:rPr>
                <w:sz w:val="17"/>
              </w:rPr>
              <w:t xml:space="preserve">Notification à l’employeur</w:t>
            </w:r>
          </w:p>
        </w:tc>
      </w:tr>
      <w:tr>
        <w:tc>
          <w:tcPr/>
          <w:p>
            <w:pPr>
              <w:pStyle w:val="Compact"/>
            </w:pPr>
            <w:r>
              <w:rPr>
                <w:sz w:val="17"/>
              </w:rPr>
              <w:t xml:space="preserve">Parcelle déclarée non bâtie</w:t>
            </w:r>
          </w:p>
        </w:tc>
        <w:tc>
          <w:tcPr/>
          <w:p>
            <w:pPr>
              <w:pStyle w:val="Compact"/>
            </w:pPr>
            <w:r>
              <w:rPr>
                <w:sz w:val="17"/>
              </w:rPr>
              <w:t xml:space="preserve">Imagerie ou permis montrant une construction</w:t>
            </w:r>
          </w:p>
        </w:tc>
        <w:tc>
          <w:tcPr/>
          <w:p>
            <w:pPr>
              <w:pStyle w:val="Compact"/>
            </w:pPr>
            <w:r>
              <w:rPr>
                <w:sz w:val="17"/>
              </w:rPr>
              <w:t xml:space="preserve">Requalification contrôlée</w:t>
            </w:r>
          </w:p>
        </w:tc>
      </w:tr>
    </w:tbl>
    <w:bookmarkEnd w:id="80"/>
    <w:bookmarkStart w:id="81" w:name="Xa9a46024a67d1b000945013983e6d899106daf8"/>
    <w:p>
      <w:pPr>
        <w:pStyle w:val="Heading2"/>
      </w:pPr>
      <w:r>
        <w:t xml:space="preserve">8.5 Contribution sur les plastiques : analyse de faisabilité</w:t>
      </w:r>
    </w:p>
    <w:p>
      <w:pPr>
        <w:pStyle w:val="FirstParagraph"/>
      </w:pPr>
      <w:r>
        <w:rPr>
          <w:b/>
          <w:bCs/>
        </w:rPr>
        <w:t xml:space="preserve">Constat juridique.</w:t>
      </w:r>
      <w:r>
        <w:t xml:space="preserve"> </w:t>
      </w:r>
      <w:r>
        <w:t xml:space="preserve">Le Décret n° 17/018 du 30 décembre 2017</w:t>
      </w:r>
      <w:r>
        <w:t xml:space="preserve"> </w:t>
      </w:r>
      <w:r>
        <w:rPr>
          <w:b/>
          <w:bCs/>
        </w:rPr>
        <w:t xml:space="preserve">interdit</w:t>
      </w:r>
      <w:r>
        <w:t xml:space="preserve"> </w:t>
      </w:r>
      <w:r>
        <w:t xml:space="preserve">la production, l’importation, la commercialisation et l’utilisation de sacs, sachets, films et autres emballages plastiques visés (emballages alimentaires, eau et boissons, plastiques non biodégradables), avec des exemptions (usage médical, agricole, sacs poubelle, BTP, bouteilles d’eau, etc.) [CONFIRMÉ]. La Ville a par ailleurs pris en 2021 une mesure d’interdiction des emballages plastiques et de l’eau en sachet, faiblement appliquée [PROBABLE]. La Loi n° 11/009 modifiée consacre le principe pollueur-payeur [CONFIRMÉ].</w:t>
      </w:r>
      <w:r>
        <w:t xml:space="preserve"> </w:t>
      </w:r>
      <w:r>
        <w:rPr>
          <w:b/>
          <w:bCs/>
        </w:rPr>
        <w:t xml:space="preserve">Aucune taxe ni contribution plastique nationale ou provinciale n’a été identifiée.</w:t>
      </w:r>
    </w:p>
    <w:p>
      <w:pPr>
        <w:pStyle w:val="BodyText"/>
      </w:pPr>
      <w:r>
        <w:rPr>
          <w:b/>
          <w:bCs/>
        </w:rPr>
        <w:t xml:space="preserve">Conséquences.</w:t>
      </w:r>
    </w:p>
    <w:p>
      <w:pPr>
        <w:pStyle w:val="Compact"/>
        <w:numPr>
          <w:ilvl w:val="0"/>
          <w:numId w:val="1007"/>
        </w:numPr>
      </w:pPr>
      <w:r>
        <w:t xml:space="preserve">Une taxe sur des produits</w:t>
      </w:r>
      <w:r>
        <w:t xml:space="preserve"> </w:t>
      </w:r>
      <w:r>
        <w:rPr>
          <w:b/>
          <w:bCs/>
        </w:rPr>
        <w:t xml:space="preserve">interdits</w:t>
      </w:r>
      <w:r>
        <w:t xml:space="preserve"> </w:t>
      </w:r>
      <w:r>
        <w:t xml:space="preserve">serait incohérente : elle légitimerait une activité illicite. Le seul flux financier lié aux produits interdits est l’amende prévue par l’arrêté d’exécution, qui relève de l’autorité compétente en matière d’environnement.</w:t>
      </w:r>
    </w:p>
    <w:p>
      <w:pPr>
        <w:pStyle w:val="Compact"/>
        <w:numPr>
          <w:ilvl w:val="0"/>
          <w:numId w:val="1007"/>
        </w:numPr>
      </w:pPr>
      <w:r>
        <w:t xml:space="preserve">Un prélèvement ne peut viser que les plastiques</w:t>
      </w:r>
      <w:r>
        <w:t xml:space="preserve"> </w:t>
      </w:r>
      <w:r>
        <w:rPr>
          <w:b/>
          <w:bCs/>
        </w:rPr>
        <w:t xml:space="preserve">licites</w:t>
      </w:r>
      <w:r>
        <w:t xml:space="preserve"> </w:t>
      </w:r>
      <w:r>
        <w:t xml:space="preserve">(produits exemptés, emballages non couverts, bouteilles PET, emballages industriels).</w:t>
      </w:r>
    </w:p>
    <w:p>
      <w:pPr>
        <w:pStyle w:val="Compact"/>
        <w:numPr>
          <w:ilvl w:val="0"/>
          <w:numId w:val="1007"/>
        </w:numPr>
      </w:pPr>
      <w:r>
        <w:t xml:space="preserve">En vertu de l’article 174 de la Constitution et de la nomenclature,</w:t>
      </w:r>
      <w:r>
        <w:t xml:space="preserve"> </w:t>
      </w:r>
      <w:r>
        <w:rPr>
          <w:b/>
          <w:bCs/>
        </w:rPr>
        <w:t xml:space="preserve">une province ne peut pas créer par simple édit un impôt absent de la nomenclature</w:t>
      </w:r>
      <w:r>
        <w:t xml:space="preserve"> </w:t>
      </w:r>
      <w:r>
        <w:t xml:space="preserve">[à confirmer par J15–J16]. Trois voies sont envisageables :</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584"/>
        <w:gridCol w:w="1584"/>
        <w:gridCol w:w="1584"/>
        <w:gridCol w:w="1584"/>
        <w:gridCol w:w="1584"/>
      </w:tblGrid>
      <w:tr>
        <w:trPr>
          <w:tblHeader w:val="on"/>
        </w:trPr>
        <w:tc>
          <w:tcPr>
            <w:shd w:val="clear" w:color="auto" w:fill="232C6B"/>
          </w:tcPr>
          <w:p>
            <w:pPr>
              <w:pStyle w:val="Compact"/>
            </w:pPr>
            <w:r>
              <w:rPr>
                <w:b/>
                <w:color w:val="FFFFFF"/>
                <w:sz w:val="17"/>
              </w:rPr>
              <w:t xml:space="preserve">Voie</w:t>
            </w:r>
          </w:p>
        </w:tc>
        <w:tc>
          <w:tcPr>
            <w:shd w:val="clear" w:color="auto" w:fill="232C6B"/>
          </w:tcPr>
          <w:p>
            <w:pPr>
              <w:pStyle w:val="Compact"/>
            </w:pPr>
            <w:r>
              <w:rPr>
                <w:b/>
                <w:color w:val="FFFFFF"/>
                <w:sz w:val="17"/>
              </w:rPr>
              <w:t xml:space="preserve">Nature</w:t>
            </w:r>
          </w:p>
        </w:tc>
        <w:tc>
          <w:tcPr>
            <w:shd w:val="clear" w:color="auto" w:fill="232C6B"/>
          </w:tcPr>
          <w:p>
            <w:pPr>
              <w:pStyle w:val="Compact"/>
            </w:pPr>
            <w:r>
              <w:rPr>
                <w:b/>
                <w:color w:val="FFFFFF"/>
                <w:sz w:val="17"/>
              </w:rPr>
              <w:t xml:space="preserve">Base juridique à établir</w:t>
            </w:r>
          </w:p>
        </w:tc>
        <w:tc>
          <w:tcPr>
            <w:shd w:val="clear" w:color="auto" w:fill="232C6B"/>
          </w:tcPr>
          <w:p>
            <w:pPr>
              <w:pStyle w:val="Compact"/>
            </w:pPr>
            <w:r>
              <w:rPr>
                <w:b/>
                <w:color w:val="FFFFFF"/>
                <w:sz w:val="17"/>
              </w:rPr>
              <w:t xml:space="preserve">Avantages</w:t>
            </w:r>
          </w:p>
        </w:tc>
        <w:tc>
          <w:tcPr>
            <w:shd w:val="clear" w:color="auto" w:fill="232C6B"/>
          </w:tcPr>
          <w:p>
            <w:pPr>
              <w:pStyle w:val="Compact"/>
            </w:pPr>
            <w:r>
              <w:rPr>
                <w:b/>
                <w:color w:val="FFFFFF"/>
                <w:sz w:val="17"/>
              </w:rPr>
              <w:t xml:space="preserve">Risques</w:t>
            </w:r>
          </w:p>
        </w:tc>
      </w:tr>
      <w:tr>
        <w:tc>
          <w:tcPr/>
          <w:p>
            <w:pPr>
              <w:pStyle w:val="Compact"/>
            </w:pPr>
            <w:r>
              <w:rPr>
                <w:sz w:val="17"/>
              </w:rPr>
              <w:t xml:space="preserve">V1 — Rattachement à une ligne existante de la nomenclature (assainissement, environnement)</w:t>
            </w:r>
          </w:p>
        </w:tc>
        <w:tc>
          <w:tcPr/>
          <w:p>
            <w:pPr>
              <w:pStyle w:val="Compact"/>
            </w:pPr>
            <w:r>
              <w:rPr>
                <w:sz w:val="17"/>
              </w:rPr>
              <w:t xml:space="preserve">Taxe ou redevance provinciale</w:t>
            </w:r>
          </w:p>
        </w:tc>
        <w:tc>
          <w:tcPr/>
          <w:p>
            <w:pPr>
              <w:pStyle w:val="Compact"/>
            </w:pPr>
            <w:r>
              <w:rPr>
                <w:sz w:val="17"/>
              </w:rPr>
              <w:t xml:space="preserve">Lecture certifiée de l’OL 18/004</w:t>
            </w:r>
          </w:p>
        </w:tc>
        <w:tc>
          <w:tcPr/>
          <w:p>
            <w:pPr>
              <w:pStyle w:val="Compact"/>
            </w:pPr>
            <w:r>
              <w:rPr>
                <w:sz w:val="17"/>
              </w:rPr>
              <w:t xml:space="preserve">Pas de loi nouvelle</w:t>
            </w:r>
          </w:p>
        </w:tc>
        <w:tc>
          <w:tcPr/>
          <w:p>
            <w:pPr>
              <w:pStyle w:val="Compact"/>
            </w:pPr>
            <w:r>
              <w:rPr>
                <w:sz w:val="17"/>
              </w:rPr>
              <w:t xml:space="preserve">Risque de requalification et de contentieux si le rattachement est forcé</w:t>
            </w:r>
          </w:p>
        </w:tc>
      </w:tr>
      <w:tr>
        <w:tc>
          <w:tcPr>
            <w:shd w:val="clear" w:color="auto" w:fill="F5F7FB"/>
          </w:tcPr>
          <w:p>
            <w:pPr>
              <w:pStyle w:val="Compact"/>
            </w:pPr>
            <w:r>
              <w:rPr>
                <w:sz w:val="17"/>
              </w:rPr>
              <w:t xml:space="preserve">V2 — Responsabilité élargie du producteur (REP) conventionnelle</w:t>
            </w:r>
          </w:p>
        </w:tc>
        <w:tc>
          <w:tcPr>
            <w:shd w:val="clear" w:color="auto" w:fill="F5F7FB"/>
          </w:tcPr>
          <w:p>
            <w:pPr>
              <w:pStyle w:val="Compact"/>
            </w:pPr>
            <w:r>
              <w:rPr>
                <w:sz w:val="17"/>
              </w:rPr>
              <w:t xml:space="preserve">Contribution versée par les metteurs en marché à un dispositif de collecte et de recyclage, contre un service</w:t>
            </w:r>
          </w:p>
        </w:tc>
        <w:tc>
          <w:tcPr>
            <w:shd w:val="clear" w:color="auto" w:fill="F5F7FB"/>
          </w:tcPr>
          <w:p>
            <w:pPr>
              <w:pStyle w:val="Compact"/>
            </w:pPr>
            <w:r>
              <w:rPr>
                <w:sz w:val="17"/>
              </w:rPr>
              <w:t xml:space="preserve">Loi environnementale (pollueur-payeur) + convention + éventuel décret national</w:t>
            </w:r>
          </w:p>
        </w:tc>
        <w:tc>
          <w:tcPr>
            <w:shd w:val="clear" w:color="auto" w:fill="F5F7FB"/>
          </w:tcPr>
          <w:p>
            <w:pPr>
              <w:pStyle w:val="Compact"/>
            </w:pPr>
            <w:r>
              <w:rPr>
                <w:sz w:val="17"/>
              </w:rPr>
              <w:t xml:space="preserve">Finance un service mesurable ; accepté internationalement</w:t>
            </w:r>
          </w:p>
        </w:tc>
        <w:tc>
          <w:tcPr>
            <w:shd w:val="clear" w:color="auto" w:fill="F5F7FB"/>
          </w:tcPr>
          <w:p>
            <w:pPr>
              <w:pStyle w:val="Compact"/>
            </w:pPr>
            <w:r>
              <w:rPr>
                <w:sz w:val="17"/>
              </w:rPr>
              <w:t xml:space="preserve">Ce n’est pas une recette fiscale ; exige un éco-organisme gouverné et audité</w:t>
            </w:r>
          </w:p>
        </w:tc>
      </w:tr>
      <w:tr>
        <w:tc>
          <w:tcPr/>
          <w:p>
            <w:pPr>
              <w:pStyle w:val="Compact"/>
            </w:pPr>
            <w:r>
              <w:rPr>
                <w:sz w:val="17"/>
              </w:rPr>
              <w:t xml:space="preserve">V3 — Loi nationale ou modification de la nomenclature</w:t>
            </w:r>
          </w:p>
        </w:tc>
        <w:tc>
          <w:tcPr/>
          <w:p>
            <w:pPr>
              <w:pStyle w:val="Compact"/>
            </w:pPr>
            <w:r>
              <w:rPr>
                <w:sz w:val="17"/>
              </w:rPr>
              <w:t xml:space="preserve">Impôt ou taxe nouvelle</w:t>
            </w:r>
          </w:p>
        </w:tc>
        <w:tc>
          <w:tcPr/>
          <w:p>
            <w:pPr>
              <w:pStyle w:val="Compact"/>
            </w:pPr>
            <w:r>
              <w:rPr>
                <w:sz w:val="17"/>
              </w:rPr>
              <w:t xml:space="preserve">Parlement</w:t>
            </w:r>
          </w:p>
        </w:tc>
        <w:tc>
          <w:tcPr/>
          <w:p>
            <w:pPr>
              <w:pStyle w:val="Compact"/>
            </w:pPr>
            <w:r>
              <w:rPr>
                <w:sz w:val="17"/>
              </w:rPr>
              <w:t xml:space="preserve">Sécurité juridique maximale</w:t>
            </w:r>
          </w:p>
        </w:tc>
        <w:tc>
          <w:tcPr/>
          <w:p>
            <w:pPr>
              <w:pStyle w:val="Compact"/>
            </w:pPr>
            <w:r>
              <w:rPr>
                <w:sz w:val="17"/>
              </w:rPr>
              <w:t xml:space="preserve">Délai long</w:t>
            </w:r>
          </w:p>
        </w:tc>
      </w:tr>
    </w:tbl>
    <w:p>
      <w:pPr>
        <w:pStyle w:val="BodyText"/>
      </w:pPr>
      <w:r>
        <w:rPr>
          <w:b/>
          <w:bCs/>
        </w:rPr>
        <w:t xml:space="preserve">Politique recommandée.</w:t>
      </w:r>
      <w:r>
        <w:t xml:space="preserve"> </w:t>
      </w:r>
      <w:r>
        <w:t xml:space="preserve">(1) Faire appliquer l’interdiction existante par l’autorité compétente, avec des amendes tracées dans MOSOLO si la Province est compétente pour les constater ; (2) lancer une étude d’impact et une consultation sur une</w:t>
      </w:r>
      <w:r>
        <w:t xml:space="preserve"> </w:t>
      </w:r>
      <w:r>
        <w:rPr>
          <w:b/>
          <w:bCs/>
        </w:rPr>
        <w:t xml:space="preserve">REP</w:t>
      </w:r>
      <w:r>
        <w:t xml:space="preserve"> </w:t>
      </w:r>
      <w:r>
        <w:t xml:space="preserve">couvrant les emballages licites (voie V2) ; (3) ne mettre en place une contribution fiscale (V1 ou V3) qu’après avis juridique certifié.</w:t>
      </w:r>
      <w:r>
        <w:t xml:space="preserve"> </w:t>
      </w:r>
      <w:r>
        <w:rPr>
          <w:b/>
          <w:bCs/>
        </w:rPr>
        <w:t xml:space="preserve">Aucune activation dans la plateforme avant ces étapes</w:t>
      </w:r>
      <w:r>
        <w:t xml:space="preserve"> </w:t>
      </w:r>
      <w:r>
        <w:t xml:space="preserve">(module 18 en catégorie</w:t>
      </w:r>
      <w:r>
        <w:t xml:space="preserve"> </w:t>
      </w:r>
      <w:r>
        <w:rPr>
          <w:rStyle w:val="VerbatimChar"/>
        </w:rPr>
        <w:t xml:space="preserve">ACTE_REQUIS</w:t>
      </w:r>
      <w:r>
        <w:t xml:space="preserve">).</w:t>
      </w:r>
    </w:p>
    <w:p>
      <w:pPr>
        <w:pStyle w:val="BodyText"/>
      </w:pPr>
      <w:r>
        <w:rPr>
          <w:b/>
          <w:bCs/>
        </w:rPr>
        <w:t xml:space="preserve">Évaluation d’impact économique à produire.</w:t>
      </w:r>
      <w:r>
        <w:t xml:space="preserve"> </w:t>
      </w:r>
      <w:r>
        <w:t xml:space="preserve">Volumes mis en marché par catégorie (importations, production locale) ; élasticité de la demande ; effet sur les prix des biens de première nécessité ; risque de contrebande interprovinciale et transfrontalière ; effet sur l’emploi informel (récupérateurs) ; coût de collecte et de recyclage ; scénario de</w:t>
      </w:r>
      <w:r>
        <w:t xml:space="preserve"> </w:t>
      </w:r>
      <w:r>
        <w:rPr>
          <w:b/>
          <w:bCs/>
        </w:rPr>
        <w:t xml:space="preserve">recettes décroissantes</w:t>
      </w:r>
      <w:r>
        <w:t xml:space="preserve"> </w:t>
      </w:r>
      <w:r>
        <w:t xml:space="preserve">si la politique réussit (les recettes d’une taxe à l’unité baissent quand la consommation baisse).</w:t>
      </w:r>
    </w:p>
    <w:p>
      <w:pPr>
        <w:pStyle w:val="BodyText"/>
      </w:pPr>
      <w:r>
        <w:rPr>
          <w:b/>
          <w:bCs/>
        </w:rPr>
        <w:t xml:space="preserve">Consultation.</w:t>
      </w:r>
      <w:r>
        <w:t xml:space="preserve"> </w:t>
      </w:r>
      <w:r>
        <w:t xml:space="preserve">Fabricants, importateurs, distributeurs, grandes surfaces, brasseries et producteurs d’eau, associations de récupérateurs, organisations environnementales, communes, ministère national de l’Environnement.</w:t>
      </w:r>
    </w:p>
    <w:p>
      <w:pPr>
        <w:pStyle w:val="BodyText"/>
      </w:pPr>
      <w:r>
        <w:rPr>
          <w:b/>
          <w:bCs/>
        </w:rPr>
        <w:t xml:space="preserve">Conditions de mise en œuvre.</w:t>
      </w:r>
      <w:r>
        <w:t xml:space="preserve"> </w:t>
      </w:r>
      <w:r>
        <w:t xml:space="preserve">Base juridique certifiée ; registre des metteurs en marché ; déclarations périodiques de volumes ; rapprochement avec données douanières ; affectation transparente (collecte, assainissement) dans le respect des règles budgétaires ; indicateurs environnementaux publiés.</w:t>
      </w:r>
    </w:p>
    <w:p>
      <w:pPr>
        <w:pStyle w:val="BodyText"/>
      </w:pPr>
      <w:r>
        <w:rPr>
          <w:b/>
          <w:bCs/>
        </w:rPr>
        <w:t xml:space="preserve">Références comparatives</w:t>
      </w:r>
      <w:r>
        <w:t xml:space="preserve"> </w:t>
      </w:r>
      <w:r>
        <w:t xml:space="preserve">: taxe à l’unité sur les sacs en Afrique du Sud (depuis 2004, relevée progressivement) ; interdictions au Rwanda (2008), au Kenya (2017), en Tanzanie (2019) ; interdiction du plastique à usage unique et cadre REP au Nigeria [voir Annexe A]. Leçon : les interdictions ne produisent pas de recettes, hors amendes ; seule une contribution par unité ou une REP produit un flux régulier.</w:t>
      </w:r>
    </w:p>
    <w:bookmarkEnd w:id="81"/>
    <w:bookmarkStart w:id="85" w:name="scénarios-de-potentiel-méthode"/>
    <w:p>
      <w:pPr>
        <w:pStyle w:val="Heading2"/>
      </w:pPr>
      <w:r>
        <w:t xml:space="preserve">8.6 Scénarios de potentiel : méthode</w:t>
      </w:r>
    </w:p>
    <w:p>
      <w:pPr>
        <w:pStyle w:val="FirstParagraph"/>
      </w:pPr>
      <w:r>
        <w:t xml:space="preserve">Aucune projection n’est présentée comme acquise. Trois scénarios sont calculés pour chaque gisement, à partir de la base de référence :</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Scénario</w:t>
            </w:r>
          </w:p>
        </w:tc>
        <w:tc>
          <w:tcPr>
            <w:shd w:val="clear" w:color="auto" w:fill="232C6B"/>
          </w:tcPr>
          <w:p>
            <w:pPr>
              <w:pStyle w:val="Compact"/>
            </w:pPr>
            <w:r>
              <w:rPr>
                <w:b/>
                <w:color w:val="FFFFFF"/>
                <w:sz w:val="17"/>
              </w:rPr>
              <w:t xml:space="preserve">Hypothèses types</w:t>
            </w:r>
          </w:p>
        </w:tc>
        <w:tc>
          <w:tcPr>
            <w:shd w:val="clear" w:color="auto" w:fill="232C6B"/>
          </w:tcPr>
          <w:p>
            <w:pPr>
              <w:pStyle w:val="Compact"/>
            </w:pPr>
            <w:r>
              <w:rPr>
                <w:b/>
                <w:color w:val="FFFFFF"/>
                <w:sz w:val="17"/>
              </w:rPr>
              <w:t xml:space="preserve">Référence empirique utilisable</w:t>
            </w:r>
          </w:p>
        </w:tc>
      </w:tr>
      <w:tr>
        <w:tc>
          <w:tcPr/>
          <w:p>
            <w:pPr>
              <w:pStyle w:val="Compact"/>
            </w:pPr>
            <w:r>
              <w:rPr>
                <w:b/>
                <w:bCs/>
                <w:sz w:val="17"/>
              </w:rPr>
              <w:t xml:space="preserve">Conservateur</w:t>
            </w:r>
          </w:p>
        </w:tc>
        <w:tc>
          <w:tcPr/>
          <w:p>
            <w:pPr>
              <w:pStyle w:val="Compact"/>
            </w:pPr>
            <w:r>
              <w:rPr>
                <w:sz w:val="17"/>
              </w:rPr>
              <w:t xml:space="preserve">Conformité faible et lente à progresser ; résistance ; protocoles de données retardés</w:t>
            </w:r>
          </w:p>
        </w:tc>
        <w:tc>
          <w:tcPr/>
          <w:p>
            <w:pPr>
              <w:pStyle w:val="Compact"/>
            </w:pPr>
            <w:r>
              <w:rPr>
                <w:sz w:val="17"/>
              </w:rPr>
              <w:t xml:space="preserve">Expériences de collecte de l’impôt foncier à Kananga (RDC) : conformité de l’ordre de 5 à 13 % selon les modalités [CONFIRMÉ — publications académiques]</w:t>
            </w:r>
          </w:p>
        </w:tc>
      </w:tr>
      <w:tr>
        <w:tc>
          <w:tcPr>
            <w:shd w:val="clear" w:color="auto" w:fill="F5F7FB"/>
          </w:tcPr>
          <w:p>
            <w:pPr>
              <w:pStyle w:val="Compact"/>
            </w:pPr>
            <w:r>
              <w:rPr>
                <w:b/>
                <w:bCs/>
                <w:sz w:val="17"/>
              </w:rPr>
              <w:t xml:space="preserve">Attendu</w:t>
            </w:r>
          </w:p>
        </w:tc>
        <w:tc>
          <w:tcPr>
            <w:shd w:val="clear" w:color="auto" w:fill="F5F7FB"/>
          </w:tcPr>
          <w:p>
            <w:pPr>
              <w:pStyle w:val="Compact"/>
            </w:pPr>
            <w:r>
              <w:rPr>
                <w:sz w:val="17"/>
              </w:rPr>
              <w:t xml:space="preserve">Pilote réussi ; extension régulière ; protocoles obtenus ; rapprochement automatisé</w:t>
            </w:r>
          </w:p>
        </w:tc>
        <w:tc>
          <w:tcPr>
            <w:shd w:val="clear" w:color="auto" w:fill="F5F7FB"/>
          </w:tcPr>
          <w:p>
            <w:pPr>
              <w:pStyle w:val="Compact"/>
            </w:pPr>
            <w:r>
              <w:rPr>
                <w:sz w:val="17"/>
              </w:rPr>
              <w:t xml:space="preserve">Hausse des recettes propres de Kampala (KCCA) d’environ ×3,7 en cinq ans après réforme administrative et numérique [CONFIRMÉ]</w:t>
            </w:r>
          </w:p>
        </w:tc>
      </w:tr>
      <w:tr>
        <w:tc>
          <w:tcPr/>
          <w:p>
            <w:pPr>
              <w:pStyle w:val="Compact"/>
            </w:pPr>
            <w:r>
              <w:rPr>
                <w:b/>
                <w:bCs/>
                <w:sz w:val="17"/>
              </w:rPr>
              <w:t xml:space="preserve">Transformationnel (ambitieux)</w:t>
            </w:r>
          </w:p>
        </w:tc>
        <w:tc>
          <w:tcPr/>
          <w:p>
            <w:pPr>
              <w:pStyle w:val="Compact"/>
            </w:pPr>
            <w:r>
              <w:rPr>
                <w:sz w:val="17"/>
              </w:rPr>
              <w:t xml:space="preserve">Quitus généralisé ; grands redevables fiabilisés ; arriérés recouvrés ; registre quasi exhaustif</w:t>
            </w:r>
          </w:p>
        </w:tc>
        <w:tc>
          <w:tcPr/>
          <w:p>
            <w:pPr>
              <w:pStyle w:val="Compact"/>
            </w:pPr>
            <w:r>
              <w:rPr>
                <w:sz w:val="17"/>
              </w:rPr>
              <w:t xml:space="preserve">Freetown : registre foncier doublé et recettes foncières multipliées par plus de trois en trois ans, avec une réforme suspendue six mois pour raisons politiques [PROBABLE]</w:t>
            </w:r>
          </w:p>
        </w:tc>
      </w:tr>
    </w:tbl>
    <w:p>
      <w:pPr>
        <w:pStyle w:val="BodyText"/>
      </w:pPr>
      <w:r>
        <w:t xml:space="preserve">Deux enseignements empiriques orientent la conception : (1)</w:t>
      </w:r>
      <w:r>
        <w:t xml:space="preserve"> </w:t>
      </w:r>
      <w:r>
        <w:rPr>
          <w:b/>
          <w:bCs/>
        </w:rPr>
        <w:t xml:space="preserve">la simplicité et la modération des montants forfaitaires augmentent la conformité</w:t>
      </w:r>
      <w:r>
        <w:t xml:space="preserve">, parfois au point d’augmenter la recette totale ; (2)</w:t>
      </w:r>
      <w:r>
        <w:t xml:space="preserve"> </w:t>
      </w:r>
      <w:r>
        <w:rPr>
          <w:b/>
          <w:bCs/>
        </w:rPr>
        <w:t xml:space="preserve">l’appui d’acteurs locaux de confiance</w:t>
      </w:r>
      <w:r>
        <w:t xml:space="preserve"> </w:t>
      </w:r>
      <w:r>
        <w:t xml:space="preserve">(chefs de quartier, associations) améliore la conformité et le rendement par unité de coût. Ces effets doivent être testés, pas supposés, dans le pilote (chapitre 45).</w:t>
      </w:r>
    </w:p>
    <w:p>
      <w:pPr>
        <w:pStyle w:val="CaptionedFigure"/>
      </w:pPr>
      <w:r>
        <w:drawing>
          <wp:inline>
            <wp:extent cx="6108700" cy="2988617"/>
            <wp:effectExtent b="0" l="0" r="0" t="0"/>
            <wp:docPr descr="Réformes comparables" title="" id="83" name="Picture"/>
            <a:graphic>
              <a:graphicData uri="http://schemas.openxmlformats.org/drawingml/2006/picture">
                <pic:pic>
                  <pic:nvPicPr>
                    <pic:cNvPr descr="figures/fig-benchmarks.png" id="84" name="Picture"/>
                    <pic:cNvPicPr>
                      <a:picLocks noChangeArrowheads="1" noChangeAspect="1"/>
                    </pic:cNvPicPr>
                  </pic:nvPicPr>
                  <pic:blipFill>
                    <a:blip r:embed="rId82"/>
                    <a:stretch>
                      <a:fillRect/>
                    </a:stretch>
                  </pic:blipFill>
                  <pic:spPr bwMode="auto">
                    <a:xfrm>
                      <a:off x="0" y="0"/>
                      <a:ext cx="6108700" cy="2988617"/>
                    </a:xfrm>
                    <a:prstGeom prst="rect">
                      <a:avLst/>
                    </a:prstGeom>
                    <a:noFill/>
                    <a:ln w="9525">
                      <a:noFill/>
                      <a:headEnd/>
                      <a:tailEnd/>
                    </a:ln>
                  </pic:spPr>
                </pic:pic>
              </a:graphicData>
            </a:graphic>
          </wp:inline>
        </w:drawing>
      </w:r>
    </w:p>
    <w:p>
      <w:pPr>
        <w:pStyle w:val="ImageCaption"/>
      </w:pPr>
      <w:r>
        <w:t xml:space="preserve">Réformes comparables</w:t>
      </w:r>
    </w:p>
    <w:bookmarkEnd w:id="85"/>
    <w:bookmarkEnd w:id="86"/>
    <w:bookmarkStart w:id="98" w:name="modèle-un-utilisateur-un-compte"/>
    <w:p>
      <w:pPr>
        <w:pStyle w:val="Heading1"/>
      </w:pPr>
      <w:r>
        <w:t xml:space="preserve">9. Modèle « un utilisateur, un compte »</w:t>
      </w:r>
    </w:p>
    <w:bookmarkStart w:id="87" w:name="principe"/>
    <w:p>
      <w:pPr>
        <w:pStyle w:val="Heading2"/>
      </w:pPr>
      <w:r>
        <w:t xml:space="preserve">9.1 Principe</w:t>
      </w:r>
    </w:p>
    <w:p>
      <w:pPr>
        <w:pStyle w:val="FirstParagraph"/>
      </w:pPr>
      <w:r>
        <w:t xml:space="preserve">Chaque personne physique ou morale dispose d’</w:t>
      </w:r>
      <w:r>
        <w:rPr>
          <w:b/>
          <w:bCs/>
        </w:rPr>
        <w:t xml:space="preserve">un compte principal unique</w:t>
      </w:r>
      <w:r>
        <w:t xml:space="preserve">, utilisable dans tous les modules. Ce compte porte l’identité, les coordonnées vérifiées, les rôles, les objets rattachés, les obligations, les paiements, les quittances, les preuves, les mandats, les consentements et les recours. Une même personne peut détenir, sous une seule connexion, un espace personnel et un ou plusieurs espaces d’organisation (entreprise, association, institution) dont elle est mandataire.</w:t>
      </w:r>
    </w:p>
    <w:p>
      <w:pPr>
        <w:pStyle w:val="BodyText"/>
      </w:pPr>
      <w:r>
        <w:t xml:space="preserve">Trois règles gouvernent le modèle :</w:t>
      </w:r>
    </w:p>
    <w:p>
      <w:pPr>
        <w:pStyle w:val="Compact"/>
        <w:numPr>
          <w:ilvl w:val="0"/>
          <w:numId w:val="1008"/>
        </w:numPr>
      </w:pPr>
      <w:r>
        <w:rPr>
          <w:b/>
          <w:bCs/>
        </w:rPr>
        <w:t xml:space="preserve">Saisir une fois, réutiliser partout.</w:t>
      </w:r>
      <w:r>
        <w:t xml:space="preserve"> </w:t>
      </w:r>
      <w:r>
        <w:t xml:space="preserve">Une donnée vérifiée n’est jamais redemandée par un autre module ; elle est réutilisée avec son niveau de vérification et sa date.</w:t>
      </w:r>
    </w:p>
    <w:p>
      <w:pPr>
        <w:pStyle w:val="Compact"/>
        <w:numPr>
          <w:ilvl w:val="0"/>
          <w:numId w:val="1008"/>
        </w:numPr>
      </w:pPr>
      <w:r>
        <w:rPr>
          <w:b/>
          <w:bCs/>
        </w:rPr>
        <w:t xml:space="preserve">Minimiser.</w:t>
      </w:r>
      <w:r>
        <w:t xml:space="preserve"> </w:t>
      </w:r>
      <w:r>
        <w:t xml:space="preserve">Chaque champ du profil a une finalité documentée dans le registre des traitements (chapitre 32). Un champ sans finalité n’est pas collecté. La date et le lieu de naissance, par exemple, ne sont collectés que lorsqu’un texte ou une procédure d’identification l’exige.</w:t>
      </w:r>
    </w:p>
    <w:p>
      <w:pPr>
        <w:pStyle w:val="Compact"/>
        <w:numPr>
          <w:ilvl w:val="0"/>
          <w:numId w:val="1008"/>
        </w:numPr>
      </w:pPr>
      <w:r>
        <w:rPr>
          <w:b/>
          <w:bCs/>
        </w:rPr>
        <w:t xml:space="preserve">Déclarer n’est pas prouver.</w:t>
      </w:r>
      <w:r>
        <w:t xml:space="preserve"> </w:t>
      </w:r>
      <w:r>
        <w:t xml:space="preserve">La déclaration d’un rôle (propriétaire, bailleur, locataire) ouvre une instruction ; elle n’établit à elle seule ni la propriété, ni l’assujettissement, ni la dette.</w:t>
      </w:r>
    </w:p>
    <w:bookmarkEnd w:id="87"/>
    <w:bookmarkStart w:id="88" w:name="identifiants"/>
    <w:p>
      <w:pPr>
        <w:pStyle w:val="Heading2"/>
      </w:pPr>
      <w:r>
        <w:t xml:space="preserve">9.2 Identifiants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Identifiant</w:t>
            </w:r>
          </w:p>
        </w:tc>
        <w:tc>
          <w:tcPr>
            <w:shd w:val="clear" w:color="auto" w:fill="232C6B"/>
          </w:tcPr>
          <w:p>
            <w:pPr>
              <w:pStyle w:val="Compact"/>
            </w:pPr>
            <w:r>
              <w:rPr>
                <w:b/>
                <w:color w:val="FFFFFF"/>
                <w:sz w:val="17"/>
              </w:rPr>
              <w:t xml:space="preserve">Émetteur</w:t>
            </w:r>
          </w:p>
        </w:tc>
        <w:tc>
          <w:tcPr>
            <w:shd w:val="clear" w:color="auto" w:fill="232C6B"/>
          </w:tcPr>
          <w:p>
            <w:pPr>
              <w:pStyle w:val="Compact"/>
            </w:pPr>
            <w:r>
              <w:rPr>
                <w:b/>
                <w:color w:val="FFFFFF"/>
                <w:sz w:val="17"/>
              </w:rPr>
              <w:t xml:space="preserve">Usage dans MOSOLO</w:t>
            </w:r>
          </w:p>
        </w:tc>
        <w:tc>
          <w:tcPr>
            <w:shd w:val="clear" w:color="auto" w:fill="232C6B"/>
          </w:tcPr>
          <w:p>
            <w:pPr>
              <w:pStyle w:val="Compact"/>
            </w:pPr>
            <w:r>
              <w:rPr>
                <w:b/>
                <w:color w:val="FFFFFF"/>
                <w:sz w:val="17"/>
              </w:rPr>
              <w:t xml:space="preserve">Statut</w:t>
            </w:r>
          </w:p>
        </w:tc>
      </w:tr>
      <w:tr>
        <w:tc>
          <w:tcPr/>
          <w:p>
            <w:pPr>
              <w:pStyle w:val="Compact"/>
            </w:pPr>
            <w:r>
              <w:rPr>
                <w:b/>
                <w:bCs/>
                <w:sz w:val="17"/>
              </w:rPr>
              <w:t xml:space="preserve">IUC — Identifiant unique de contribuable MOSOLO</w:t>
            </w:r>
          </w:p>
        </w:tc>
        <w:tc>
          <w:tcPr/>
          <w:p>
            <w:pPr>
              <w:pStyle w:val="Compact"/>
            </w:pPr>
            <w:r>
              <w:rPr>
                <w:sz w:val="17"/>
              </w:rPr>
              <w:t xml:space="preserve">MOSOLO (aléatoire, non signifiant, avec clé de contrôle)</w:t>
            </w:r>
          </w:p>
        </w:tc>
        <w:tc>
          <w:tcPr/>
          <w:p>
            <w:pPr>
              <w:pStyle w:val="Compact"/>
            </w:pPr>
            <w:r>
              <w:rPr>
                <w:sz w:val="17"/>
              </w:rPr>
              <w:t xml:space="preserve">Clé technique interne et référence du compte ; ne remplace aucun identifiant légal</w:t>
            </w:r>
          </w:p>
        </w:tc>
        <w:tc>
          <w:tcPr/>
          <w:p>
            <w:pPr>
              <w:pStyle w:val="Compact"/>
            </w:pPr>
            <w:r>
              <w:rPr>
                <w:sz w:val="17"/>
              </w:rPr>
              <w:t xml:space="preserve">Créé à l’enrôlement</w:t>
            </w:r>
          </w:p>
        </w:tc>
      </w:tr>
      <w:tr>
        <w:tc>
          <w:tcPr>
            <w:shd w:val="clear" w:color="auto" w:fill="F5F7FB"/>
          </w:tcPr>
          <w:p>
            <w:pPr>
              <w:pStyle w:val="Compact"/>
            </w:pPr>
            <w:r>
              <w:rPr>
                <w:b/>
                <w:bCs/>
                <w:sz w:val="17"/>
              </w:rPr>
              <w:t xml:space="preserve">NIF</w:t>
            </w:r>
          </w:p>
        </w:tc>
        <w:tc>
          <w:tcPr>
            <w:shd w:val="clear" w:color="auto" w:fill="F5F7FB"/>
          </w:tcPr>
          <w:p>
            <w:pPr>
              <w:pStyle w:val="Compact"/>
            </w:pPr>
            <w:r>
              <w:rPr>
                <w:sz w:val="17"/>
              </w:rPr>
              <w:t xml:space="preserve">Administration fiscale nationale (DGI)</w:t>
            </w:r>
          </w:p>
        </w:tc>
        <w:tc>
          <w:tcPr>
            <w:shd w:val="clear" w:color="auto" w:fill="F5F7FB"/>
          </w:tcPr>
          <w:p>
            <w:pPr>
              <w:pStyle w:val="Compact"/>
            </w:pPr>
            <w:r>
              <w:rPr>
                <w:sz w:val="17"/>
              </w:rPr>
              <w:t xml:space="preserve">Clé de rapprochement privilégiée lorsqu’il existe ; demande de NIF facilitée lorsque la procédure le permet</w:t>
            </w:r>
          </w:p>
        </w:tc>
        <w:tc>
          <w:tcPr>
            <w:shd w:val="clear" w:color="auto" w:fill="F5F7FB"/>
          </w:tcPr>
          <w:p>
            <w:pPr>
              <w:pStyle w:val="Compact"/>
            </w:pPr>
            <w:r>
              <w:rPr>
                <w:sz w:val="17"/>
              </w:rPr>
              <w:t xml:space="preserve">[À VÉRIFIER] conditions d’accès provincial au répertoire NIF et protocole DGI</w:t>
            </w:r>
          </w:p>
        </w:tc>
      </w:tr>
      <w:tr>
        <w:tc>
          <w:tcPr/>
          <w:p>
            <w:pPr>
              <w:pStyle w:val="Compact"/>
            </w:pPr>
            <w:r>
              <w:rPr>
                <w:sz w:val="17"/>
              </w:rPr>
              <w:t xml:space="preserve">Pièce d’identité légalement acceptée</w:t>
            </w:r>
          </w:p>
        </w:tc>
        <w:tc>
          <w:tcPr/>
          <w:p>
            <w:pPr>
              <w:pStyle w:val="Compact"/>
            </w:pPr>
            <w:r>
              <w:rPr>
                <w:sz w:val="17"/>
              </w:rPr>
              <w:t xml:space="preserve">État (carte d’électeur, passeport, carte nationale d’identité lorsque disponible, etc.)</w:t>
            </w:r>
          </w:p>
        </w:tc>
        <w:tc>
          <w:tcPr/>
          <w:p>
            <w:pPr>
              <w:pStyle w:val="Compact"/>
            </w:pPr>
            <w:r>
              <w:rPr>
                <w:sz w:val="17"/>
              </w:rPr>
              <w:t xml:space="preserve">Preuve d’identité des personnes physiques</w:t>
            </w:r>
          </w:p>
        </w:tc>
        <w:tc>
          <w:tcPr/>
          <w:p>
            <w:pPr>
              <w:pStyle w:val="Compact"/>
            </w:pPr>
            <w:r>
              <w:rPr>
                <w:sz w:val="17"/>
              </w:rPr>
              <w:t xml:space="preserve">[À VÉRIFIER] liste officielle des pièces acceptées par les régies provinciales</w:t>
            </w:r>
          </w:p>
        </w:tc>
      </w:tr>
      <w:tr>
        <w:tc>
          <w:tcPr>
            <w:shd w:val="clear" w:color="auto" w:fill="F5F7FB"/>
          </w:tcPr>
          <w:p>
            <w:pPr>
              <w:pStyle w:val="Compact"/>
            </w:pPr>
            <w:r>
              <w:rPr>
                <w:sz w:val="17"/>
              </w:rPr>
              <w:t xml:space="preserve">RCCM, identification nationale</w:t>
            </w:r>
          </w:p>
        </w:tc>
        <w:tc>
          <w:tcPr>
            <w:shd w:val="clear" w:color="auto" w:fill="F5F7FB"/>
          </w:tcPr>
          <w:p>
            <w:pPr>
              <w:pStyle w:val="Compact"/>
            </w:pPr>
            <w:r>
              <w:rPr>
                <w:sz w:val="17"/>
              </w:rPr>
              <w:t xml:space="preserve">Guichet unique / greffe</w:t>
            </w:r>
          </w:p>
        </w:tc>
        <w:tc>
          <w:tcPr>
            <w:shd w:val="clear" w:color="auto" w:fill="F5F7FB"/>
          </w:tcPr>
          <w:p>
            <w:pPr>
              <w:pStyle w:val="Compact"/>
            </w:pPr>
            <w:r>
              <w:rPr>
                <w:sz w:val="17"/>
              </w:rPr>
              <w:t xml:space="preserve">Personnes morales</w:t>
            </w:r>
          </w:p>
        </w:tc>
        <w:tc>
          <w:tcPr>
            <w:shd w:val="clear" w:color="auto" w:fill="F5F7FB"/>
          </w:tcPr>
          <w:p>
            <w:pPr>
              <w:pStyle w:val="Compact"/>
            </w:pPr>
            <w:r>
              <w:rPr>
                <w:sz w:val="17"/>
              </w:rPr>
              <w:t xml:space="preserve">Protocole à conclure</w:t>
            </w:r>
          </w:p>
        </w:tc>
      </w:tr>
      <w:tr>
        <w:tc>
          <w:tcPr/>
          <w:p>
            <w:pPr>
              <w:pStyle w:val="Compact"/>
            </w:pPr>
            <w:r>
              <w:rPr>
                <w:sz w:val="17"/>
              </w:rPr>
              <w:t xml:space="preserve">Téléphone vérifié (OTP)</w:t>
            </w:r>
          </w:p>
        </w:tc>
        <w:tc>
          <w:tcPr/>
          <w:p>
            <w:pPr>
              <w:pStyle w:val="Compact"/>
            </w:pPr>
            <w:r>
              <w:rPr>
                <w:sz w:val="17"/>
              </w:rPr>
              <w:t xml:space="preserve">Opérateur</w:t>
            </w:r>
          </w:p>
        </w:tc>
        <w:tc>
          <w:tcPr/>
          <w:p>
            <w:pPr>
              <w:pStyle w:val="Compact"/>
            </w:pPr>
            <w:r>
              <w:rPr>
                <w:sz w:val="17"/>
              </w:rPr>
              <w:t xml:space="preserve">Canal d’authentification et de notification ;</w:t>
            </w:r>
            <w:r>
              <w:rPr>
                <w:sz w:val="17"/>
              </w:rPr>
              <w:t xml:space="preserve"> </w:t>
            </w:r>
            <w:r>
              <w:rPr>
                <w:b/>
                <w:bCs/>
                <w:sz w:val="17"/>
              </w:rPr>
              <w:t xml:space="preserve">n’est pas une preuve d’identité</w:t>
            </w:r>
          </w:p>
        </w:tc>
        <w:tc>
          <w:tcPr/>
          <w:p>
            <w:pPr>
              <w:pStyle w:val="Compact"/>
            </w:pPr>
            <w:r>
              <w:rPr>
                <w:sz w:val="17"/>
              </w:rPr>
              <w:t xml:space="preserve">—</w:t>
            </w:r>
          </w:p>
        </w:tc>
      </w:tr>
      <w:tr>
        <w:tc>
          <w:tcPr>
            <w:shd w:val="clear" w:color="auto" w:fill="F5F7FB"/>
          </w:tcPr>
          <w:p>
            <w:pPr>
              <w:pStyle w:val="Compact"/>
            </w:pPr>
            <w:r>
              <w:rPr>
                <w:sz w:val="17"/>
              </w:rPr>
              <w:t xml:space="preserve">Identifiant géofiscal (IGF)</w:t>
            </w:r>
          </w:p>
        </w:tc>
        <w:tc>
          <w:tcPr>
            <w:shd w:val="clear" w:color="auto" w:fill="F5F7FB"/>
          </w:tcPr>
          <w:p>
            <w:pPr>
              <w:pStyle w:val="Compact"/>
            </w:pPr>
            <w:r>
              <w:rPr>
                <w:sz w:val="17"/>
              </w:rPr>
              <w:t xml:space="preserve">MOSOLO</w:t>
            </w:r>
          </w:p>
        </w:tc>
        <w:tc>
          <w:tcPr>
            <w:shd w:val="clear" w:color="auto" w:fill="F5F7FB"/>
          </w:tcPr>
          <w:p>
            <w:pPr>
              <w:pStyle w:val="Compact"/>
            </w:pPr>
            <w:r>
              <w:rPr>
                <w:sz w:val="17"/>
              </w:rPr>
              <w:t xml:space="preserve">Identifie un</w:t>
            </w:r>
            <w:r>
              <w:rPr>
                <w:sz w:val="17"/>
              </w:rPr>
              <w:t xml:space="preserve"> </w:t>
            </w:r>
            <w:r>
              <w:rPr>
                <w:b/>
                <w:bCs/>
                <w:sz w:val="17"/>
              </w:rPr>
              <w:t xml:space="preserve">objet</w:t>
            </w:r>
            <w:r>
              <w:rPr>
                <w:sz w:val="17"/>
              </w:rPr>
              <w:t xml:space="preserve">, pas une personne (ch. 17)</w:t>
            </w:r>
          </w:p>
        </w:tc>
        <w:tc>
          <w:tcPr>
            <w:shd w:val="clear" w:color="auto" w:fill="F5F7FB"/>
          </w:tcPr>
          <w:p>
            <w:pPr>
              <w:pStyle w:val="Compact"/>
            </w:pPr>
            <w:r>
              <w:rPr>
                <w:sz w:val="17"/>
              </w:rPr>
              <w:t xml:space="preserve">—</w:t>
            </w:r>
          </w:p>
        </w:tc>
      </w:tr>
    </w:tbl>
    <w:p>
      <w:pPr>
        <w:pStyle w:val="BodyText"/>
      </w:pPr>
      <w:r>
        <w:rPr>
          <w:b/>
          <w:bCs/>
        </w:rPr>
        <w:t xml:space="preserve">Hypothèse de conception sûre.</w:t>
      </w:r>
      <w:r>
        <w:t xml:space="preserve"> </w:t>
      </w:r>
      <w:r>
        <w:t xml:space="preserve">Tant que le protocole d’accès au répertoire NIF n’est pas signé, l’IUC est la clé de rattachement et le NIF est un attribut facultatif vérifié manuellement. Aucune fonctionnalité ne dépend de la disponibilité d’une base nationale.</w:t>
      </w:r>
    </w:p>
    <w:bookmarkEnd w:id="88"/>
    <w:bookmarkStart w:id="89" w:name="Xc6bc645b27e85759c8f4a934111a106dc73e188"/>
    <w:p>
      <w:pPr>
        <w:pStyle w:val="Heading2"/>
      </w:pPr>
      <w:r>
        <w:t xml:space="preserve">9.3 Niveaux de vérification et droits ouverts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Niveau</w:t>
            </w:r>
          </w:p>
        </w:tc>
        <w:tc>
          <w:tcPr>
            <w:shd w:val="clear" w:color="auto" w:fill="232C6B"/>
          </w:tcPr>
          <w:p>
            <w:pPr>
              <w:pStyle w:val="Compact"/>
            </w:pPr>
            <w:r>
              <w:rPr>
                <w:b/>
                <w:color w:val="FFFFFF"/>
                <w:sz w:val="17"/>
              </w:rPr>
              <w:t xml:space="preserve">Preuve exigée</w:t>
            </w:r>
          </w:p>
        </w:tc>
        <w:tc>
          <w:tcPr>
            <w:shd w:val="clear" w:color="auto" w:fill="232C6B"/>
          </w:tcPr>
          <w:p>
            <w:pPr>
              <w:pStyle w:val="Compact"/>
            </w:pPr>
            <w:r>
              <w:rPr>
                <w:b/>
                <w:color w:val="FFFFFF"/>
                <w:sz w:val="17"/>
              </w:rPr>
              <w:t xml:space="preserve">Droits ouverts</w:t>
            </w:r>
          </w:p>
        </w:tc>
        <w:tc>
          <w:tcPr>
            <w:shd w:val="clear" w:color="auto" w:fill="232C6B"/>
          </w:tcPr>
          <w:p>
            <w:pPr>
              <w:pStyle w:val="Compact"/>
            </w:pPr>
            <w:r>
              <w:rPr>
                <w:b/>
                <w:color w:val="FFFFFF"/>
                <w:sz w:val="17"/>
              </w:rPr>
              <w:t xml:space="preserve">Durée de validité</w:t>
            </w:r>
          </w:p>
        </w:tc>
      </w:tr>
      <w:tr>
        <w:tc>
          <w:tcPr/>
          <w:p>
            <w:pPr>
              <w:pStyle w:val="Compact"/>
            </w:pPr>
            <w:r>
              <w:rPr>
                <w:b/>
                <w:bCs/>
                <w:sz w:val="17"/>
              </w:rPr>
              <w:t xml:space="preserve">N0 — déclaratif</w:t>
            </w:r>
          </w:p>
        </w:tc>
        <w:tc>
          <w:tcPr/>
          <w:p>
            <w:pPr>
              <w:pStyle w:val="Compact"/>
            </w:pPr>
            <w:r>
              <w:rPr>
                <w:sz w:val="17"/>
              </w:rPr>
              <w:t xml:space="preserve">Téléphone vérifié par OTP</w:t>
            </w:r>
          </w:p>
        </w:tc>
        <w:tc>
          <w:tcPr/>
          <w:p>
            <w:pPr>
              <w:pStyle w:val="Compact"/>
            </w:pPr>
            <w:r>
              <w:rPr>
                <w:sz w:val="17"/>
              </w:rPr>
              <w:t xml:space="preserve">Consulter, simuler, signaler, payer une référence reçue</w:t>
            </w:r>
          </w:p>
        </w:tc>
        <w:tc>
          <w:tcPr/>
          <w:p>
            <w:pPr>
              <w:pStyle w:val="Compact"/>
            </w:pPr>
            <w:r>
              <w:rPr>
                <w:sz w:val="17"/>
              </w:rPr>
              <w:t xml:space="preserve">Illimitée</w:t>
            </w:r>
          </w:p>
        </w:tc>
      </w:tr>
      <w:tr>
        <w:tc>
          <w:tcPr>
            <w:shd w:val="clear" w:color="auto" w:fill="F5F7FB"/>
          </w:tcPr>
          <w:p>
            <w:pPr>
              <w:pStyle w:val="Compact"/>
            </w:pPr>
            <w:r>
              <w:rPr>
                <w:b/>
                <w:bCs/>
                <w:sz w:val="17"/>
              </w:rPr>
              <w:t xml:space="preserve">N0-A — assisté</w:t>
            </w:r>
          </w:p>
        </w:tc>
        <w:tc>
          <w:tcPr>
            <w:shd w:val="clear" w:color="auto" w:fill="F5F7FB"/>
          </w:tcPr>
          <w:p>
            <w:pPr>
              <w:pStyle w:val="Compact"/>
            </w:pPr>
            <w:r>
              <w:rPr>
                <w:sz w:val="17"/>
              </w:rPr>
              <w:t xml:space="preserve">Enrôlement assisté (guichet, agent habilité), consentement oral enregistré, carte MOSOLO</w:t>
            </w:r>
          </w:p>
        </w:tc>
        <w:tc>
          <w:tcPr>
            <w:shd w:val="clear" w:color="auto" w:fill="F5F7FB"/>
          </w:tcPr>
          <w:p>
            <w:pPr>
              <w:pStyle w:val="Compact"/>
            </w:pPr>
            <w:r>
              <w:rPr>
                <w:sz w:val="17"/>
              </w:rPr>
              <w:t xml:space="preserve">Droits N0 + paiement assisté</w:t>
            </w:r>
          </w:p>
        </w:tc>
        <w:tc>
          <w:tcPr>
            <w:shd w:val="clear" w:color="auto" w:fill="F5F7FB"/>
          </w:tcPr>
          <w:p>
            <w:pPr>
              <w:pStyle w:val="Compact"/>
            </w:pPr>
            <w:r>
              <w:rPr>
                <w:sz w:val="17"/>
              </w:rPr>
              <w:t xml:space="preserve">Illimitée</w:t>
            </w:r>
          </w:p>
        </w:tc>
      </w:tr>
      <w:tr>
        <w:tc>
          <w:tcPr/>
          <w:p>
            <w:pPr>
              <w:pStyle w:val="Compact"/>
            </w:pPr>
            <w:r>
              <w:rPr>
                <w:b/>
                <w:bCs/>
                <w:sz w:val="17"/>
              </w:rPr>
              <w:t xml:space="preserve">N1 — identifié</w:t>
            </w:r>
          </w:p>
        </w:tc>
        <w:tc>
          <w:tcPr/>
          <w:p>
            <w:pPr>
              <w:pStyle w:val="Compact"/>
            </w:pPr>
            <w:r>
              <w:rPr>
                <w:sz w:val="17"/>
              </w:rPr>
              <w:t xml:space="preserve">Pièce d’identité contrôlée (photo + OCR + contrôle visuel), adresse déclarée</w:t>
            </w:r>
          </w:p>
        </w:tc>
        <w:tc>
          <w:tcPr/>
          <w:p>
            <w:pPr>
              <w:pStyle w:val="Compact"/>
            </w:pPr>
            <w:r>
              <w:rPr>
                <w:sz w:val="17"/>
              </w:rPr>
              <w:t xml:space="preserve">Déclarer des objets, recevoir des obligations, obtenir des quittances</w:t>
            </w:r>
          </w:p>
        </w:tc>
        <w:tc>
          <w:tcPr/>
          <w:p>
            <w:pPr>
              <w:pStyle w:val="Compact"/>
            </w:pPr>
            <w:r>
              <w:rPr>
                <w:sz w:val="17"/>
              </w:rPr>
              <w:t xml:space="preserve">Revue tous les 3 ans</w:t>
            </w:r>
          </w:p>
        </w:tc>
      </w:tr>
      <w:tr>
        <w:tc>
          <w:tcPr>
            <w:shd w:val="clear" w:color="auto" w:fill="F5F7FB"/>
          </w:tcPr>
          <w:p>
            <w:pPr>
              <w:pStyle w:val="Compact"/>
            </w:pPr>
            <w:r>
              <w:rPr>
                <w:b/>
                <w:bCs/>
                <w:sz w:val="17"/>
              </w:rPr>
              <w:t xml:space="preserve">N2 — vérifié</w:t>
            </w:r>
          </w:p>
        </w:tc>
        <w:tc>
          <w:tcPr>
            <w:shd w:val="clear" w:color="auto" w:fill="F5F7FB"/>
          </w:tcPr>
          <w:p>
            <w:pPr>
              <w:pStyle w:val="Compact"/>
            </w:pPr>
            <w:r>
              <w:rPr>
                <w:sz w:val="17"/>
              </w:rPr>
              <w:t xml:space="preserve">Vérification documentaire approfondie ou visite terrain</w:t>
            </w:r>
          </w:p>
        </w:tc>
        <w:tc>
          <w:tcPr>
            <w:shd w:val="clear" w:color="auto" w:fill="F5F7FB"/>
          </w:tcPr>
          <w:p>
            <w:pPr>
              <w:pStyle w:val="Compact"/>
            </w:pPr>
            <w:r>
              <w:rPr>
                <w:sz w:val="17"/>
              </w:rPr>
              <w:t xml:space="preserve">Rattachement d’objets de forte valeur, contestation formelle, mandat simple</w:t>
            </w:r>
          </w:p>
        </w:tc>
        <w:tc>
          <w:tcPr>
            <w:shd w:val="clear" w:color="auto" w:fill="F5F7FB"/>
          </w:tcPr>
          <w:p>
            <w:pPr>
              <w:pStyle w:val="Compact"/>
            </w:pPr>
            <w:r>
              <w:rPr>
                <w:sz w:val="17"/>
              </w:rPr>
              <w:t xml:space="preserve">Revue tous les 3 ans</w:t>
            </w:r>
          </w:p>
        </w:tc>
      </w:tr>
      <w:tr>
        <w:tc>
          <w:tcPr/>
          <w:p>
            <w:pPr>
              <w:pStyle w:val="Compact"/>
            </w:pPr>
            <w:r>
              <w:rPr>
                <w:b/>
                <w:bCs/>
                <w:sz w:val="17"/>
              </w:rPr>
              <w:t xml:space="preserve">N3 — certifié</w:t>
            </w:r>
          </w:p>
        </w:tc>
        <w:tc>
          <w:tcPr/>
          <w:p>
            <w:pPr>
              <w:pStyle w:val="Compact"/>
            </w:pPr>
            <w:r>
              <w:rPr>
                <w:sz w:val="17"/>
              </w:rPr>
              <w:t xml:space="preserve">NIF vérifié, RCCM pour les personnes morales, mandat écrit ou notarié pour les représentants</w:t>
            </w:r>
          </w:p>
        </w:tc>
        <w:tc>
          <w:tcPr/>
          <w:p>
            <w:pPr>
              <w:pStyle w:val="Compact"/>
            </w:pPr>
            <w:r>
              <w:rPr>
                <w:sz w:val="17"/>
              </w:rPr>
              <w:t xml:space="preserve">Opérations d’entreprise, mandat de tiers, quitus fiscal, grands redevables</w:t>
            </w:r>
          </w:p>
        </w:tc>
        <w:tc>
          <w:tcPr/>
          <w:p>
            <w:pPr>
              <w:pStyle w:val="Compact"/>
            </w:pPr>
            <w:r>
              <w:rPr>
                <w:sz w:val="17"/>
              </w:rPr>
              <w:t xml:space="preserve">Revue annuelle</w:t>
            </w:r>
          </w:p>
        </w:tc>
      </w:tr>
    </w:tbl>
    <w:bookmarkEnd w:id="89"/>
    <w:bookmarkStart w:id="90" w:name="profils-et-parcours-denrôlement"/>
    <w:p>
      <w:pPr>
        <w:pStyle w:val="Heading2"/>
      </w:pPr>
      <w:r>
        <w:t xml:space="preserve">9.4 Profils et parcours d’enrôlement</w:t>
      </w:r>
    </w:p>
    <w:p>
      <w:pPr>
        <w:pStyle w:val="FirstParagraph"/>
      </w:pPr>
      <w:r>
        <w:t xml:space="preserve">Chaque profil suit un parcours court qui ne demande que les informations utiles à ses obligations potentielles. Le tronc commun (identité, contact, adresse) est saisi une fois ; les blocs spécifiques s’ajoutent lorsque le rôle est activé.</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584"/>
        <w:gridCol w:w="1584"/>
        <w:gridCol w:w="1584"/>
        <w:gridCol w:w="1584"/>
        <w:gridCol w:w="1584"/>
      </w:tblGrid>
      <w:tr>
        <w:trPr>
          <w:tblHeader w:val="on"/>
        </w:trPr>
        <w:tc>
          <w:tcPr>
            <w:shd w:val="clear" w:color="auto" w:fill="232C6B"/>
          </w:tcPr>
          <w:p>
            <w:pPr>
              <w:pStyle w:val="Compact"/>
            </w:pPr>
            <w:r>
              <w:rPr>
                <w:b/>
                <w:color w:val="FFFFFF"/>
                <w:sz w:val="17"/>
              </w:rPr>
              <w:t xml:space="preserve">Profil</w:t>
            </w:r>
          </w:p>
        </w:tc>
        <w:tc>
          <w:tcPr>
            <w:shd w:val="clear" w:color="auto" w:fill="232C6B"/>
          </w:tcPr>
          <w:p>
            <w:pPr>
              <w:pStyle w:val="Compact"/>
            </w:pPr>
            <w:r>
              <w:rPr>
                <w:b/>
                <w:color w:val="FFFFFF"/>
                <w:sz w:val="17"/>
              </w:rPr>
              <w:t xml:space="preserve">Bloc spécifique</w:t>
            </w:r>
          </w:p>
        </w:tc>
        <w:tc>
          <w:tcPr>
            <w:shd w:val="clear" w:color="auto" w:fill="232C6B"/>
          </w:tcPr>
          <w:p>
            <w:pPr>
              <w:pStyle w:val="Compact"/>
            </w:pPr>
            <w:r>
              <w:rPr>
                <w:b/>
                <w:color w:val="FFFFFF"/>
                <w:sz w:val="17"/>
              </w:rPr>
              <w:t xml:space="preserve">Pièces typiques</w:t>
            </w:r>
          </w:p>
        </w:tc>
        <w:tc>
          <w:tcPr>
            <w:shd w:val="clear" w:color="auto" w:fill="232C6B"/>
          </w:tcPr>
          <w:p>
            <w:pPr>
              <w:pStyle w:val="Compact"/>
            </w:pPr>
            <w:r>
              <w:rPr>
                <w:b/>
                <w:color w:val="FFFFFF"/>
                <w:sz w:val="17"/>
              </w:rPr>
              <w:t xml:space="preserve">Vérification</w:t>
            </w:r>
          </w:p>
        </w:tc>
        <w:tc>
          <w:tcPr>
            <w:shd w:val="clear" w:color="auto" w:fill="232C6B"/>
          </w:tcPr>
          <w:p>
            <w:pPr>
              <w:pStyle w:val="Compact"/>
            </w:pPr>
            <w:r>
              <w:rPr>
                <w:b/>
                <w:color w:val="FFFFFF"/>
                <w:sz w:val="17"/>
              </w:rPr>
              <w:t xml:space="preserve">Objets créés ou rattachés</w:t>
            </w:r>
          </w:p>
        </w:tc>
      </w:tr>
      <w:tr>
        <w:tc>
          <w:tcPr/>
          <w:p>
            <w:pPr>
              <w:pStyle w:val="Compact"/>
            </w:pPr>
            <w:r>
              <w:rPr>
                <w:sz w:val="17"/>
              </w:rPr>
              <w:t xml:space="preserve">Citoyen</w:t>
            </w:r>
          </w:p>
        </w:tc>
        <w:tc>
          <w:tcPr/>
          <w:p>
            <w:pPr>
              <w:pStyle w:val="Compact"/>
            </w:pPr>
            <w:r>
              <w:rPr>
                <w:sz w:val="17"/>
              </w:rPr>
              <w:t xml:space="preserve">Tronc commun</w:t>
            </w:r>
          </w:p>
        </w:tc>
        <w:tc>
          <w:tcPr/>
          <w:p>
            <w:pPr>
              <w:pStyle w:val="Compact"/>
            </w:pPr>
            <w:r>
              <w:rPr>
                <w:sz w:val="17"/>
              </w:rPr>
              <w:t xml:space="preserve">Pièce d’identité</w:t>
            </w:r>
          </w:p>
        </w:tc>
        <w:tc>
          <w:tcPr/>
          <w:p>
            <w:pPr>
              <w:pStyle w:val="Compact"/>
            </w:pPr>
            <w:r>
              <w:rPr>
                <w:sz w:val="17"/>
              </w:rPr>
              <w:t xml:space="preserve">N1</w:t>
            </w:r>
          </w:p>
        </w:tc>
        <w:tc>
          <w:tcPr/>
          <w:p>
            <w:pPr>
              <w:pStyle w:val="Compact"/>
            </w:pPr>
            <w:r>
              <w:rPr>
                <w:sz w:val="17"/>
              </w:rPr>
              <w:t xml:space="preserve">—</w:t>
            </w:r>
          </w:p>
        </w:tc>
      </w:tr>
      <w:tr>
        <w:tc>
          <w:tcPr>
            <w:shd w:val="clear" w:color="auto" w:fill="F5F7FB"/>
          </w:tcPr>
          <w:p>
            <w:pPr>
              <w:pStyle w:val="Compact"/>
            </w:pPr>
            <w:r>
              <w:rPr>
                <w:sz w:val="17"/>
              </w:rPr>
              <w:t xml:space="preserve">Propriétaire</w:t>
            </w:r>
          </w:p>
        </w:tc>
        <w:tc>
          <w:tcPr>
            <w:shd w:val="clear" w:color="auto" w:fill="F5F7FB"/>
          </w:tcPr>
          <w:p>
            <w:pPr>
              <w:pStyle w:val="Compact"/>
            </w:pPr>
            <w:r>
              <w:rPr>
                <w:sz w:val="17"/>
              </w:rPr>
              <w:t xml:space="preserve">Parcelle(s), titre ou preuve d’occupation</w:t>
            </w:r>
          </w:p>
        </w:tc>
        <w:tc>
          <w:tcPr>
            <w:shd w:val="clear" w:color="auto" w:fill="F5F7FB"/>
          </w:tcPr>
          <w:p>
            <w:pPr>
              <w:pStyle w:val="Compact"/>
            </w:pPr>
            <w:r>
              <w:rPr>
                <w:sz w:val="17"/>
              </w:rPr>
              <w:t xml:space="preserve">Certificat d’enregistrement, contrat de location du sol, fiche parcellaire, livret de logeur [À VÉRIFIER liste]</w:t>
            </w:r>
          </w:p>
        </w:tc>
        <w:tc>
          <w:tcPr>
            <w:shd w:val="clear" w:color="auto" w:fill="F5F7FB"/>
          </w:tcPr>
          <w:p>
            <w:pPr>
              <w:pStyle w:val="Compact"/>
            </w:pPr>
            <w:r>
              <w:rPr>
                <w:sz w:val="17"/>
              </w:rPr>
              <w:t xml:space="preserve">N2 pour rattachement définitif</w:t>
            </w:r>
          </w:p>
        </w:tc>
        <w:tc>
          <w:tcPr>
            <w:shd w:val="clear" w:color="auto" w:fill="F5F7FB"/>
          </w:tcPr>
          <w:p>
            <w:pPr>
              <w:pStyle w:val="Compact"/>
            </w:pPr>
            <w:r>
              <w:rPr>
                <w:sz w:val="17"/>
              </w:rPr>
              <w:t xml:space="preserve">Parcelle, bâtiment</w:t>
            </w:r>
          </w:p>
        </w:tc>
      </w:tr>
      <w:tr>
        <w:tc>
          <w:tcPr/>
          <w:p>
            <w:pPr>
              <w:pStyle w:val="Compact"/>
            </w:pPr>
            <w:r>
              <w:rPr>
                <w:sz w:val="17"/>
              </w:rPr>
              <w:t xml:space="preserve">Bailleur</w:t>
            </w:r>
          </w:p>
        </w:tc>
        <w:tc>
          <w:tcPr/>
          <w:p>
            <w:pPr>
              <w:pStyle w:val="Compact"/>
            </w:pPr>
            <w:r>
              <w:rPr>
                <w:sz w:val="17"/>
              </w:rPr>
              <w:t xml:space="preserve">Unités louées, baux, loyers</w:t>
            </w:r>
          </w:p>
        </w:tc>
        <w:tc>
          <w:tcPr/>
          <w:p>
            <w:pPr>
              <w:pStyle w:val="Compact"/>
            </w:pPr>
            <w:r>
              <w:rPr>
                <w:sz w:val="17"/>
              </w:rPr>
              <w:t xml:space="preserve">Contrats de bail, reçus de loyer</w:t>
            </w:r>
          </w:p>
        </w:tc>
        <w:tc>
          <w:tcPr/>
          <w:p>
            <w:pPr>
              <w:pStyle w:val="Compact"/>
            </w:pPr>
            <w:r>
              <w:rPr>
                <w:sz w:val="17"/>
              </w:rPr>
              <w:t xml:space="preserve">N2</w:t>
            </w:r>
          </w:p>
        </w:tc>
        <w:tc>
          <w:tcPr/>
          <w:p>
            <w:pPr>
              <w:pStyle w:val="Compact"/>
            </w:pPr>
            <w:r>
              <w:rPr>
                <w:sz w:val="17"/>
              </w:rPr>
              <w:t xml:space="preserve">Unité locative, bail</w:t>
            </w:r>
          </w:p>
        </w:tc>
      </w:tr>
      <w:tr>
        <w:tc>
          <w:tcPr>
            <w:shd w:val="clear" w:color="auto" w:fill="F5F7FB"/>
          </w:tcPr>
          <w:p>
            <w:pPr>
              <w:pStyle w:val="Compact"/>
            </w:pPr>
            <w:r>
              <w:rPr>
                <w:sz w:val="17"/>
              </w:rPr>
              <w:t xml:space="preserve">Locataire</w:t>
            </w:r>
          </w:p>
        </w:tc>
        <w:tc>
          <w:tcPr>
            <w:shd w:val="clear" w:color="auto" w:fill="F5F7FB"/>
          </w:tcPr>
          <w:p>
            <w:pPr>
              <w:pStyle w:val="Compact"/>
            </w:pPr>
            <w:r>
              <w:rPr>
                <w:sz w:val="17"/>
              </w:rPr>
              <w:t xml:space="preserve">Unité occupée, bailleur, loyer</w:t>
            </w:r>
          </w:p>
        </w:tc>
        <w:tc>
          <w:tcPr>
            <w:shd w:val="clear" w:color="auto" w:fill="F5F7FB"/>
          </w:tcPr>
          <w:p>
            <w:pPr>
              <w:pStyle w:val="Compact"/>
            </w:pPr>
            <w:r>
              <w:rPr>
                <w:sz w:val="17"/>
              </w:rPr>
              <w:t xml:space="preserve">Contrat ou reçu de loyer</w:t>
            </w:r>
          </w:p>
        </w:tc>
        <w:tc>
          <w:tcPr>
            <w:shd w:val="clear" w:color="auto" w:fill="F5F7FB"/>
          </w:tcPr>
          <w:p>
            <w:pPr>
              <w:pStyle w:val="Compact"/>
            </w:pPr>
            <w:r>
              <w:rPr>
                <w:sz w:val="17"/>
              </w:rPr>
              <w:t xml:space="preserve">N1</w:t>
            </w:r>
          </w:p>
        </w:tc>
        <w:tc>
          <w:tcPr>
            <w:shd w:val="clear" w:color="auto" w:fill="F5F7FB"/>
          </w:tcPr>
          <w:p>
            <w:pPr>
              <w:pStyle w:val="Compact"/>
            </w:pPr>
            <w:r>
              <w:rPr>
                <w:sz w:val="17"/>
              </w:rPr>
              <w:t xml:space="preserve">Bail (côté locataire)</w:t>
            </w:r>
          </w:p>
        </w:tc>
      </w:tr>
      <w:tr>
        <w:tc>
          <w:tcPr/>
          <w:p>
            <w:pPr>
              <w:pStyle w:val="Compact"/>
            </w:pPr>
            <w:r>
              <w:rPr>
                <w:sz w:val="17"/>
              </w:rPr>
              <w:t xml:space="preserve">Sous-locataire</w:t>
            </w:r>
          </w:p>
        </w:tc>
        <w:tc>
          <w:tcPr/>
          <w:p>
            <w:pPr>
              <w:pStyle w:val="Compact"/>
            </w:pPr>
            <w:r>
              <w:rPr>
                <w:sz w:val="17"/>
              </w:rPr>
              <w:t xml:space="preserve">Locataire principal, unité</w:t>
            </w:r>
          </w:p>
        </w:tc>
        <w:tc>
          <w:tcPr/>
          <w:p>
            <w:pPr>
              <w:pStyle w:val="Compact"/>
            </w:pPr>
            <w:r>
              <w:rPr>
                <w:sz w:val="17"/>
              </w:rPr>
              <w:t xml:space="preserve">Accord de sous-location</w:t>
            </w:r>
          </w:p>
        </w:tc>
        <w:tc>
          <w:tcPr/>
          <w:p>
            <w:pPr>
              <w:pStyle w:val="Compact"/>
            </w:pPr>
            <w:r>
              <w:rPr>
                <w:sz w:val="17"/>
              </w:rPr>
              <w:t xml:space="preserve">N1</w:t>
            </w:r>
          </w:p>
        </w:tc>
        <w:tc>
          <w:tcPr/>
          <w:p>
            <w:pPr>
              <w:pStyle w:val="Compact"/>
            </w:pPr>
            <w:r>
              <w:rPr>
                <w:sz w:val="17"/>
              </w:rPr>
              <w:t xml:space="preserve">Bail secondaire</w:t>
            </w:r>
          </w:p>
        </w:tc>
      </w:tr>
      <w:tr>
        <w:tc>
          <w:tcPr>
            <w:shd w:val="clear" w:color="auto" w:fill="F5F7FB"/>
          </w:tcPr>
          <w:p>
            <w:pPr>
              <w:pStyle w:val="Compact"/>
            </w:pPr>
            <w:r>
              <w:rPr>
                <w:sz w:val="17"/>
              </w:rPr>
              <w:t xml:space="preserve">Occupant autorisé</w:t>
            </w:r>
          </w:p>
        </w:tc>
        <w:tc>
          <w:tcPr>
            <w:shd w:val="clear" w:color="auto" w:fill="F5F7FB"/>
          </w:tcPr>
          <w:p>
            <w:pPr>
              <w:pStyle w:val="Compact"/>
            </w:pPr>
            <w:r>
              <w:rPr>
                <w:sz w:val="17"/>
              </w:rPr>
              <w:t xml:space="preserve">Titre d’occupation</w:t>
            </w:r>
          </w:p>
        </w:tc>
        <w:tc>
          <w:tcPr>
            <w:shd w:val="clear" w:color="auto" w:fill="F5F7FB"/>
          </w:tcPr>
          <w:p>
            <w:pPr>
              <w:pStyle w:val="Compact"/>
            </w:pPr>
            <w:r>
              <w:rPr>
                <w:sz w:val="17"/>
              </w:rPr>
              <w:t xml:space="preserve">Attestation</w:t>
            </w:r>
          </w:p>
        </w:tc>
        <w:tc>
          <w:tcPr>
            <w:shd w:val="clear" w:color="auto" w:fill="F5F7FB"/>
          </w:tcPr>
          <w:p>
            <w:pPr>
              <w:pStyle w:val="Compact"/>
            </w:pPr>
            <w:r>
              <w:rPr>
                <w:sz w:val="17"/>
              </w:rPr>
              <w:t xml:space="preserve">N1</w:t>
            </w:r>
          </w:p>
        </w:tc>
        <w:tc>
          <w:tcPr>
            <w:shd w:val="clear" w:color="auto" w:fill="F5F7FB"/>
          </w:tcPr>
          <w:p>
            <w:pPr>
              <w:pStyle w:val="Compact"/>
            </w:pPr>
            <w:r>
              <w:rPr>
                <w:sz w:val="17"/>
              </w:rPr>
              <w:t xml:space="preserve">Occupation</w:t>
            </w:r>
          </w:p>
        </w:tc>
      </w:tr>
      <w:tr>
        <w:tc>
          <w:tcPr/>
          <w:p>
            <w:pPr>
              <w:pStyle w:val="Compact"/>
            </w:pPr>
            <w:r>
              <w:rPr>
                <w:sz w:val="17"/>
              </w:rPr>
              <w:t xml:space="preserve">Gestionnaire immobilier</w:t>
            </w:r>
          </w:p>
        </w:tc>
        <w:tc>
          <w:tcPr/>
          <w:p>
            <w:pPr>
              <w:pStyle w:val="Compact"/>
            </w:pPr>
            <w:r>
              <w:rPr>
                <w:sz w:val="17"/>
              </w:rPr>
              <w:t xml:space="preserve">Mandats de gestion</w:t>
            </w:r>
          </w:p>
        </w:tc>
        <w:tc>
          <w:tcPr/>
          <w:p>
            <w:pPr>
              <w:pStyle w:val="Compact"/>
            </w:pPr>
            <w:r>
              <w:rPr>
                <w:sz w:val="17"/>
              </w:rPr>
              <w:t xml:space="preserve">Mandat écrit</w:t>
            </w:r>
          </w:p>
        </w:tc>
        <w:tc>
          <w:tcPr/>
          <w:p>
            <w:pPr>
              <w:pStyle w:val="Compact"/>
            </w:pPr>
            <w:r>
              <w:rPr>
                <w:sz w:val="17"/>
              </w:rPr>
              <w:t xml:space="preserve">N3</w:t>
            </w:r>
          </w:p>
        </w:tc>
        <w:tc>
          <w:tcPr/>
          <w:p>
            <w:pPr>
              <w:pStyle w:val="Compact"/>
            </w:pPr>
            <w:r>
              <w:rPr>
                <w:sz w:val="17"/>
              </w:rPr>
              <w:t xml:space="preserve">Portefeuille d’objets sous mandat</w:t>
            </w:r>
          </w:p>
        </w:tc>
      </w:tr>
      <w:tr>
        <w:tc>
          <w:tcPr>
            <w:shd w:val="clear" w:color="auto" w:fill="F5F7FB"/>
          </w:tcPr>
          <w:p>
            <w:pPr>
              <w:pStyle w:val="Compact"/>
            </w:pPr>
            <w:r>
              <w:rPr>
                <w:sz w:val="17"/>
              </w:rPr>
              <w:t xml:space="preserve">Entreprise, société</w:t>
            </w:r>
          </w:p>
        </w:tc>
        <w:tc>
          <w:tcPr>
            <w:shd w:val="clear" w:color="auto" w:fill="F5F7FB"/>
          </w:tcPr>
          <w:p>
            <w:pPr>
              <w:pStyle w:val="Compact"/>
            </w:pPr>
            <w:r>
              <w:rPr>
                <w:sz w:val="17"/>
              </w:rPr>
              <w:t xml:space="preserve">RCCM, NIF, dirigeants, établissements</w:t>
            </w:r>
          </w:p>
        </w:tc>
        <w:tc>
          <w:tcPr>
            <w:shd w:val="clear" w:color="auto" w:fill="F5F7FB"/>
          </w:tcPr>
          <w:p>
            <w:pPr>
              <w:pStyle w:val="Compact"/>
            </w:pPr>
            <w:r>
              <w:rPr>
                <w:sz w:val="17"/>
              </w:rPr>
              <w:t xml:space="preserve">Statuts, RCCM, NIF</w:t>
            </w:r>
          </w:p>
        </w:tc>
        <w:tc>
          <w:tcPr>
            <w:shd w:val="clear" w:color="auto" w:fill="F5F7FB"/>
          </w:tcPr>
          <w:p>
            <w:pPr>
              <w:pStyle w:val="Compact"/>
            </w:pPr>
            <w:r>
              <w:rPr>
                <w:sz w:val="17"/>
              </w:rPr>
              <w:t xml:space="preserve">N3</w:t>
            </w:r>
          </w:p>
        </w:tc>
        <w:tc>
          <w:tcPr>
            <w:shd w:val="clear" w:color="auto" w:fill="F5F7FB"/>
          </w:tcPr>
          <w:p>
            <w:pPr>
              <w:pStyle w:val="Compact"/>
            </w:pPr>
            <w:r>
              <w:rPr>
                <w:sz w:val="17"/>
              </w:rPr>
              <w:t xml:space="preserve">Établissements, activités</w:t>
            </w:r>
          </w:p>
        </w:tc>
      </w:tr>
      <w:tr>
        <w:tc>
          <w:tcPr/>
          <w:p>
            <w:pPr>
              <w:pStyle w:val="Compact"/>
            </w:pPr>
            <w:r>
              <w:rPr>
                <w:sz w:val="17"/>
              </w:rPr>
              <w:t xml:space="preserve">Opérateur informel</w:t>
            </w:r>
          </w:p>
        </w:tc>
        <w:tc>
          <w:tcPr/>
          <w:p>
            <w:pPr>
              <w:pStyle w:val="Compact"/>
            </w:pPr>
            <w:r>
              <w:rPr>
                <w:sz w:val="17"/>
              </w:rPr>
              <w:t xml:space="preserve">Activité, emplacement, pièce d’identité</w:t>
            </w:r>
          </w:p>
        </w:tc>
        <w:tc>
          <w:tcPr/>
          <w:p>
            <w:pPr>
              <w:pStyle w:val="Compact"/>
            </w:pPr>
            <w:r>
              <w:rPr>
                <w:sz w:val="17"/>
              </w:rPr>
              <w:t xml:space="preserve">Pièce d’identité, photo de l’activité</w:t>
            </w:r>
          </w:p>
        </w:tc>
        <w:tc>
          <w:tcPr/>
          <w:p>
            <w:pPr>
              <w:pStyle w:val="Compact"/>
            </w:pPr>
            <w:r>
              <w:rPr>
                <w:sz w:val="17"/>
              </w:rPr>
              <w:t xml:space="preserve">N1 (N0-A possible)</w:t>
            </w:r>
          </w:p>
        </w:tc>
        <w:tc>
          <w:tcPr/>
          <w:p>
            <w:pPr>
              <w:pStyle w:val="Compact"/>
            </w:pPr>
            <w:r>
              <w:rPr>
                <w:sz w:val="17"/>
              </w:rPr>
              <w:t xml:space="preserve">Activité, emplacement</w:t>
            </w:r>
          </w:p>
        </w:tc>
      </w:tr>
      <w:tr>
        <w:tc>
          <w:tcPr>
            <w:shd w:val="clear" w:color="auto" w:fill="F5F7FB"/>
          </w:tcPr>
          <w:p>
            <w:pPr>
              <w:pStyle w:val="Compact"/>
            </w:pPr>
            <w:r>
              <w:rPr>
                <w:sz w:val="17"/>
              </w:rPr>
              <w:t xml:space="preserve">Commerçant de marché</w:t>
            </w:r>
          </w:p>
        </w:tc>
        <w:tc>
          <w:tcPr>
            <w:shd w:val="clear" w:color="auto" w:fill="F5F7FB"/>
          </w:tcPr>
          <w:p>
            <w:pPr>
              <w:pStyle w:val="Compact"/>
            </w:pPr>
            <w:r>
              <w:rPr>
                <w:sz w:val="17"/>
              </w:rPr>
              <w:t xml:space="preserve">Marché, étal, catégorie</w:t>
            </w:r>
          </w:p>
        </w:tc>
        <w:tc>
          <w:tcPr>
            <w:shd w:val="clear" w:color="auto" w:fill="F5F7FB"/>
          </w:tcPr>
          <w:p>
            <w:pPr>
              <w:pStyle w:val="Compact"/>
            </w:pPr>
            <w:r>
              <w:rPr>
                <w:sz w:val="17"/>
              </w:rPr>
              <w:t xml:space="preserve">Carte de marché existante le cas échéant</w:t>
            </w:r>
          </w:p>
        </w:tc>
        <w:tc>
          <w:tcPr>
            <w:shd w:val="clear" w:color="auto" w:fill="F5F7FB"/>
          </w:tcPr>
          <w:p>
            <w:pPr>
              <w:pStyle w:val="Compact"/>
            </w:pPr>
            <w:r>
              <w:rPr>
                <w:sz w:val="17"/>
              </w:rPr>
              <w:t xml:space="preserve">N1</w:t>
            </w:r>
          </w:p>
        </w:tc>
        <w:tc>
          <w:tcPr>
            <w:shd w:val="clear" w:color="auto" w:fill="F5F7FB"/>
          </w:tcPr>
          <w:p>
            <w:pPr>
              <w:pStyle w:val="Compact"/>
            </w:pPr>
            <w:r>
              <w:rPr>
                <w:sz w:val="17"/>
              </w:rPr>
              <w:t xml:space="preserve">Étal</w:t>
            </w:r>
          </w:p>
        </w:tc>
      </w:tr>
      <w:tr>
        <w:tc>
          <w:tcPr/>
          <w:p>
            <w:pPr>
              <w:pStyle w:val="Compact"/>
            </w:pPr>
            <w:r>
              <w:rPr>
                <w:sz w:val="17"/>
              </w:rPr>
              <w:t xml:space="preserve">Transporteur, propriétaire de véhicule</w:t>
            </w:r>
          </w:p>
        </w:tc>
        <w:tc>
          <w:tcPr/>
          <w:p>
            <w:pPr>
              <w:pStyle w:val="Compact"/>
            </w:pPr>
            <w:r>
              <w:rPr>
                <w:sz w:val="17"/>
              </w:rPr>
              <w:t xml:space="preserve">Véhicules, autorisations</w:t>
            </w:r>
          </w:p>
        </w:tc>
        <w:tc>
          <w:tcPr/>
          <w:p>
            <w:pPr>
              <w:pStyle w:val="Compact"/>
            </w:pPr>
            <w:r>
              <w:rPr>
                <w:sz w:val="17"/>
              </w:rPr>
              <w:t xml:space="preserve">Carte grise, permis, autorisation</w:t>
            </w:r>
          </w:p>
        </w:tc>
        <w:tc>
          <w:tcPr/>
          <w:p>
            <w:pPr>
              <w:pStyle w:val="Compact"/>
            </w:pPr>
            <w:r>
              <w:rPr>
                <w:sz w:val="17"/>
              </w:rPr>
              <w:t xml:space="preserve">N1/N3</w:t>
            </w:r>
          </w:p>
        </w:tc>
        <w:tc>
          <w:tcPr/>
          <w:p>
            <w:pPr>
              <w:pStyle w:val="Compact"/>
            </w:pPr>
            <w:r>
              <w:rPr>
                <w:sz w:val="17"/>
              </w:rPr>
              <w:t xml:space="preserve">Véhicule, autorisation</w:t>
            </w:r>
          </w:p>
        </w:tc>
      </w:tr>
      <w:tr>
        <w:tc>
          <w:tcPr>
            <w:shd w:val="clear" w:color="auto" w:fill="F5F7FB"/>
          </w:tcPr>
          <w:p>
            <w:pPr>
              <w:pStyle w:val="Compact"/>
            </w:pPr>
            <w:r>
              <w:rPr>
                <w:sz w:val="17"/>
              </w:rPr>
              <w:t xml:space="preserve">Fabricant, importateur</w:t>
            </w:r>
          </w:p>
        </w:tc>
        <w:tc>
          <w:tcPr>
            <w:shd w:val="clear" w:color="auto" w:fill="F5F7FB"/>
          </w:tcPr>
          <w:p>
            <w:pPr>
              <w:pStyle w:val="Compact"/>
            </w:pPr>
            <w:r>
              <w:rPr>
                <w:sz w:val="17"/>
              </w:rPr>
              <w:t xml:space="preserve">Sites, produits, volumes</w:t>
            </w:r>
          </w:p>
        </w:tc>
        <w:tc>
          <w:tcPr>
            <w:shd w:val="clear" w:color="auto" w:fill="F5F7FB"/>
          </w:tcPr>
          <w:p>
            <w:pPr>
              <w:pStyle w:val="Compact"/>
            </w:pPr>
            <w:r>
              <w:rPr>
                <w:sz w:val="17"/>
              </w:rPr>
              <w:t xml:space="preserve">RCCM, NIF, licences</w:t>
            </w:r>
          </w:p>
        </w:tc>
        <w:tc>
          <w:tcPr>
            <w:shd w:val="clear" w:color="auto" w:fill="F5F7FB"/>
          </w:tcPr>
          <w:p>
            <w:pPr>
              <w:pStyle w:val="Compact"/>
            </w:pPr>
            <w:r>
              <w:rPr>
                <w:sz w:val="17"/>
              </w:rPr>
              <w:t xml:space="preserve">N3</w:t>
            </w:r>
          </w:p>
        </w:tc>
        <w:tc>
          <w:tcPr>
            <w:shd w:val="clear" w:color="auto" w:fill="F5F7FB"/>
          </w:tcPr>
          <w:p>
            <w:pPr>
              <w:pStyle w:val="Compact"/>
            </w:pPr>
            <w:r>
              <w:rPr>
                <w:sz w:val="17"/>
              </w:rPr>
              <w:t xml:space="preserve">Site, déclarations de volumes</w:t>
            </w:r>
          </w:p>
        </w:tc>
      </w:tr>
      <w:tr>
        <w:tc>
          <w:tcPr/>
          <w:p>
            <w:pPr>
              <w:pStyle w:val="Compact"/>
            </w:pPr>
            <w:r>
              <w:rPr>
                <w:sz w:val="17"/>
              </w:rPr>
              <w:t xml:space="preserve">Boissons alcoolisées et tabac</w:t>
            </w:r>
          </w:p>
        </w:tc>
        <w:tc>
          <w:tcPr/>
          <w:p>
            <w:pPr>
              <w:pStyle w:val="Compact"/>
            </w:pPr>
            <w:r>
              <w:rPr>
                <w:sz w:val="17"/>
              </w:rPr>
              <w:t xml:space="preserve">Sites, entrepôts, points de distribution</w:t>
            </w:r>
          </w:p>
        </w:tc>
        <w:tc>
          <w:tcPr/>
          <w:p>
            <w:pPr>
              <w:pStyle w:val="Compact"/>
            </w:pPr>
            <w:r>
              <w:rPr>
                <w:sz w:val="17"/>
              </w:rPr>
              <w:t xml:space="preserve">Licences</w:t>
            </w:r>
          </w:p>
        </w:tc>
        <w:tc>
          <w:tcPr/>
          <w:p>
            <w:pPr>
              <w:pStyle w:val="Compact"/>
            </w:pPr>
            <w:r>
              <w:rPr>
                <w:sz w:val="17"/>
              </w:rPr>
              <w:t xml:space="preserve">N3</w:t>
            </w:r>
          </w:p>
        </w:tc>
        <w:tc>
          <w:tcPr/>
          <w:p>
            <w:pPr>
              <w:pStyle w:val="Compact"/>
            </w:pPr>
            <w:r>
              <w:rPr>
                <w:sz w:val="17"/>
              </w:rPr>
              <w:t xml:space="preserve">Site, déclarations</w:t>
            </w:r>
          </w:p>
        </w:tc>
      </w:tr>
      <w:tr>
        <w:tc>
          <w:tcPr>
            <w:shd w:val="clear" w:color="auto" w:fill="F5F7FB"/>
          </w:tcPr>
          <w:p>
            <w:pPr>
              <w:pStyle w:val="Compact"/>
            </w:pPr>
            <w:r>
              <w:rPr>
                <w:sz w:val="17"/>
              </w:rPr>
              <w:t xml:space="preserve">Organisateur d’événements</w:t>
            </w:r>
          </w:p>
        </w:tc>
        <w:tc>
          <w:tcPr>
            <w:shd w:val="clear" w:color="auto" w:fill="F5F7FB"/>
          </w:tcPr>
          <w:p>
            <w:pPr>
              <w:pStyle w:val="Compact"/>
            </w:pPr>
            <w:r>
              <w:rPr>
                <w:sz w:val="17"/>
              </w:rPr>
              <w:t xml:space="preserve">Événements, lieux, billetterie</w:t>
            </w:r>
          </w:p>
        </w:tc>
        <w:tc>
          <w:tcPr>
            <w:shd w:val="clear" w:color="auto" w:fill="F5F7FB"/>
          </w:tcPr>
          <w:p>
            <w:pPr>
              <w:pStyle w:val="Compact"/>
            </w:pPr>
            <w:r>
              <w:rPr>
                <w:sz w:val="17"/>
              </w:rPr>
              <w:t xml:space="preserve">Autorisation</w:t>
            </w:r>
          </w:p>
        </w:tc>
        <w:tc>
          <w:tcPr>
            <w:shd w:val="clear" w:color="auto" w:fill="F5F7FB"/>
          </w:tcPr>
          <w:p>
            <w:pPr>
              <w:pStyle w:val="Compact"/>
            </w:pPr>
            <w:r>
              <w:rPr>
                <w:sz w:val="17"/>
              </w:rPr>
              <w:t xml:space="preserve">N1/N3</w:t>
            </w:r>
          </w:p>
        </w:tc>
        <w:tc>
          <w:tcPr>
            <w:shd w:val="clear" w:color="auto" w:fill="F5F7FB"/>
          </w:tcPr>
          <w:p>
            <w:pPr>
              <w:pStyle w:val="Compact"/>
            </w:pPr>
            <w:r>
              <w:rPr>
                <w:sz w:val="17"/>
              </w:rPr>
              <w:t xml:space="preserve">Événement</w:t>
            </w:r>
          </w:p>
        </w:tc>
      </w:tr>
      <w:tr>
        <w:tc>
          <w:tcPr/>
          <w:p>
            <w:pPr>
              <w:pStyle w:val="Compact"/>
            </w:pPr>
            <w:r>
              <w:rPr>
                <w:sz w:val="17"/>
              </w:rPr>
              <w:t xml:space="preserve">Annonceur, régie publicitaire</w:t>
            </w:r>
          </w:p>
        </w:tc>
        <w:tc>
          <w:tcPr/>
          <w:p>
            <w:pPr>
              <w:pStyle w:val="Compact"/>
            </w:pPr>
            <w:r>
              <w:rPr>
                <w:sz w:val="17"/>
              </w:rPr>
              <w:t xml:space="preserve">Supports, emplacements, autorisations</w:t>
            </w:r>
          </w:p>
        </w:tc>
        <w:tc>
          <w:tcPr/>
          <w:p>
            <w:pPr>
              <w:pStyle w:val="Compact"/>
            </w:pPr>
            <w:r>
              <w:rPr>
                <w:sz w:val="17"/>
              </w:rPr>
              <w:t xml:space="preserve">Autorisations d’affichage</w:t>
            </w:r>
          </w:p>
        </w:tc>
        <w:tc>
          <w:tcPr/>
          <w:p>
            <w:pPr>
              <w:pStyle w:val="Compact"/>
            </w:pPr>
            <w:r>
              <w:rPr>
                <w:sz w:val="17"/>
              </w:rPr>
              <w:t xml:space="preserve">N3</w:t>
            </w:r>
          </w:p>
        </w:tc>
        <w:tc>
          <w:tcPr/>
          <w:p>
            <w:pPr>
              <w:pStyle w:val="Compact"/>
            </w:pPr>
            <w:r>
              <w:rPr>
                <w:sz w:val="17"/>
              </w:rPr>
              <w:t xml:space="preserve">Support publicitaire</w:t>
            </w:r>
          </w:p>
        </w:tc>
      </w:tr>
      <w:tr>
        <w:tc>
          <w:tcPr>
            <w:shd w:val="clear" w:color="auto" w:fill="F5F7FB"/>
          </w:tcPr>
          <w:p>
            <w:pPr>
              <w:pStyle w:val="Compact"/>
            </w:pPr>
            <w:r>
              <w:rPr>
                <w:sz w:val="17"/>
              </w:rPr>
              <w:t xml:space="preserve">Carrières et mines</w:t>
            </w:r>
          </w:p>
        </w:tc>
        <w:tc>
          <w:tcPr>
            <w:shd w:val="clear" w:color="auto" w:fill="F5F7FB"/>
          </w:tcPr>
          <w:p>
            <w:pPr>
              <w:pStyle w:val="Compact"/>
            </w:pPr>
            <w:r>
              <w:rPr>
                <w:sz w:val="17"/>
              </w:rPr>
              <w:t xml:space="preserve">Sites, titres, superficies</w:t>
            </w:r>
          </w:p>
        </w:tc>
        <w:tc>
          <w:tcPr>
            <w:shd w:val="clear" w:color="auto" w:fill="F5F7FB"/>
          </w:tcPr>
          <w:p>
            <w:pPr>
              <w:pStyle w:val="Compact"/>
            </w:pPr>
            <w:r>
              <w:rPr>
                <w:sz w:val="17"/>
              </w:rPr>
              <w:t xml:space="preserve">Titre minier ou autorisation</w:t>
            </w:r>
          </w:p>
        </w:tc>
        <w:tc>
          <w:tcPr>
            <w:shd w:val="clear" w:color="auto" w:fill="F5F7FB"/>
          </w:tcPr>
          <w:p>
            <w:pPr>
              <w:pStyle w:val="Compact"/>
            </w:pPr>
            <w:r>
              <w:rPr>
                <w:sz w:val="17"/>
              </w:rPr>
              <w:t xml:space="preserve">N3</w:t>
            </w:r>
          </w:p>
        </w:tc>
        <w:tc>
          <w:tcPr>
            <w:shd w:val="clear" w:color="auto" w:fill="F5F7FB"/>
          </w:tcPr>
          <w:p>
            <w:pPr>
              <w:pStyle w:val="Compact"/>
            </w:pPr>
            <w:r>
              <w:rPr>
                <w:sz w:val="17"/>
              </w:rPr>
              <w:t xml:space="preserve">Site, concession</w:t>
            </w:r>
          </w:p>
        </w:tc>
      </w:tr>
      <w:tr>
        <w:tc>
          <w:tcPr/>
          <w:p>
            <w:pPr>
              <w:pStyle w:val="Compact"/>
            </w:pPr>
            <w:r>
              <w:rPr>
                <w:sz w:val="17"/>
              </w:rPr>
              <w:t xml:space="preserve">Opérateur forestier</w:t>
            </w:r>
          </w:p>
        </w:tc>
        <w:tc>
          <w:tcPr/>
          <w:p>
            <w:pPr>
              <w:pStyle w:val="Compact"/>
            </w:pPr>
            <w:r>
              <w:rPr>
                <w:sz w:val="17"/>
              </w:rPr>
              <w:t xml:space="preserve">Concessions, produits</w:t>
            </w:r>
          </w:p>
        </w:tc>
        <w:tc>
          <w:tcPr/>
          <w:p>
            <w:pPr>
              <w:pStyle w:val="Compact"/>
            </w:pPr>
            <w:r>
              <w:rPr>
                <w:sz w:val="17"/>
              </w:rPr>
              <w:t xml:space="preserve">Titres forestiers</w:t>
            </w:r>
          </w:p>
        </w:tc>
        <w:tc>
          <w:tcPr/>
          <w:p>
            <w:pPr>
              <w:pStyle w:val="Compact"/>
            </w:pPr>
            <w:r>
              <w:rPr>
                <w:sz w:val="17"/>
              </w:rPr>
              <w:t xml:space="preserve">N3</w:t>
            </w:r>
          </w:p>
        </w:tc>
        <w:tc>
          <w:tcPr/>
          <w:p>
            <w:pPr>
              <w:pStyle w:val="Compact"/>
            </w:pPr>
            <w:r>
              <w:rPr>
                <w:sz w:val="17"/>
              </w:rPr>
              <w:t xml:space="preserve">Concession</w:t>
            </w:r>
          </w:p>
        </w:tc>
      </w:tr>
      <w:tr>
        <w:tc>
          <w:tcPr>
            <w:shd w:val="clear" w:color="auto" w:fill="F5F7FB"/>
          </w:tcPr>
          <w:p>
            <w:pPr>
              <w:pStyle w:val="Compact"/>
            </w:pPr>
            <w:r>
              <w:rPr>
                <w:sz w:val="17"/>
              </w:rPr>
              <w:t xml:space="preserve">Batelier, opérateur portuaire</w:t>
            </w:r>
          </w:p>
        </w:tc>
        <w:tc>
          <w:tcPr>
            <w:shd w:val="clear" w:color="auto" w:fill="F5F7FB"/>
          </w:tcPr>
          <w:p>
            <w:pPr>
              <w:pStyle w:val="Compact"/>
            </w:pPr>
            <w:r>
              <w:rPr>
                <w:sz w:val="17"/>
              </w:rPr>
              <w:t xml:space="preserve">Embarcations, quais</w:t>
            </w:r>
          </w:p>
        </w:tc>
        <w:tc>
          <w:tcPr>
            <w:shd w:val="clear" w:color="auto" w:fill="F5F7FB"/>
          </w:tcPr>
          <w:p>
            <w:pPr>
              <w:pStyle w:val="Compact"/>
            </w:pPr>
            <w:r>
              <w:rPr>
                <w:sz w:val="17"/>
              </w:rPr>
              <w:t xml:space="preserve">Documents de navigation</w:t>
            </w:r>
          </w:p>
        </w:tc>
        <w:tc>
          <w:tcPr>
            <w:shd w:val="clear" w:color="auto" w:fill="F5F7FB"/>
          </w:tcPr>
          <w:p>
            <w:pPr>
              <w:pStyle w:val="Compact"/>
            </w:pPr>
            <w:r>
              <w:rPr>
                <w:sz w:val="17"/>
              </w:rPr>
              <w:t xml:space="preserve">N1/N3</w:t>
            </w:r>
          </w:p>
        </w:tc>
        <w:tc>
          <w:tcPr>
            <w:shd w:val="clear" w:color="auto" w:fill="F5F7FB"/>
          </w:tcPr>
          <w:p>
            <w:pPr>
              <w:pStyle w:val="Compact"/>
            </w:pPr>
            <w:r>
              <w:rPr>
                <w:sz w:val="17"/>
              </w:rPr>
              <w:t xml:space="preserve">Embarcation, quai</w:t>
            </w:r>
          </w:p>
        </w:tc>
      </w:tr>
      <w:tr>
        <w:tc>
          <w:tcPr/>
          <w:p>
            <w:pPr>
              <w:pStyle w:val="Compact"/>
            </w:pPr>
            <w:r>
              <w:rPr>
                <w:sz w:val="17"/>
              </w:rPr>
              <w:t xml:space="preserve">Occupant du domaine public</w:t>
            </w:r>
          </w:p>
        </w:tc>
        <w:tc>
          <w:tcPr/>
          <w:p>
            <w:pPr>
              <w:pStyle w:val="Compact"/>
            </w:pPr>
            <w:r>
              <w:rPr>
                <w:sz w:val="17"/>
              </w:rPr>
              <w:t xml:space="preserve">Emprise, durée, usage</w:t>
            </w:r>
          </w:p>
        </w:tc>
        <w:tc>
          <w:tcPr/>
          <w:p>
            <w:pPr>
              <w:pStyle w:val="Compact"/>
            </w:pPr>
            <w:r>
              <w:rPr>
                <w:sz w:val="17"/>
              </w:rPr>
              <w:t xml:space="preserve">Autorisation d’occupation</w:t>
            </w:r>
          </w:p>
        </w:tc>
        <w:tc>
          <w:tcPr/>
          <w:p>
            <w:pPr>
              <w:pStyle w:val="Compact"/>
            </w:pPr>
            <w:r>
              <w:rPr>
                <w:sz w:val="17"/>
              </w:rPr>
              <w:t xml:space="preserve">N1</w:t>
            </w:r>
          </w:p>
        </w:tc>
        <w:tc>
          <w:tcPr/>
          <w:p>
            <w:pPr>
              <w:pStyle w:val="Compact"/>
            </w:pPr>
            <w:r>
              <w:rPr>
                <w:sz w:val="17"/>
              </w:rPr>
              <w:t xml:space="preserve">Emprise</w:t>
            </w:r>
          </w:p>
        </w:tc>
      </w:tr>
      <w:tr>
        <w:tc>
          <w:tcPr>
            <w:shd w:val="clear" w:color="auto" w:fill="F5F7FB"/>
          </w:tcPr>
          <w:p>
            <w:pPr>
              <w:pStyle w:val="Compact"/>
            </w:pPr>
            <w:r>
              <w:rPr>
                <w:sz w:val="17"/>
              </w:rPr>
              <w:t xml:space="preserve">Association, confession, ONG</w:t>
            </w:r>
          </w:p>
        </w:tc>
        <w:tc>
          <w:tcPr>
            <w:shd w:val="clear" w:color="auto" w:fill="F5F7FB"/>
          </w:tcPr>
          <w:p>
            <w:pPr>
              <w:pStyle w:val="Compact"/>
            </w:pPr>
            <w:r>
              <w:rPr>
                <w:sz w:val="17"/>
              </w:rPr>
              <w:t xml:space="preserve">Statuts, représentants</w:t>
            </w:r>
          </w:p>
        </w:tc>
        <w:tc>
          <w:tcPr>
            <w:shd w:val="clear" w:color="auto" w:fill="F5F7FB"/>
          </w:tcPr>
          <w:p>
            <w:pPr>
              <w:pStyle w:val="Compact"/>
            </w:pPr>
            <w:r>
              <w:rPr>
                <w:sz w:val="17"/>
              </w:rPr>
              <w:t xml:space="preserve">Statuts, personnalité juridique</w:t>
            </w:r>
          </w:p>
        </w:tc>
        <w:tc>
          <w:tcPr>
            <w:shd w:val="clear" w:color="auto" w:fill="F5F7FB"/>
          </w:tcPr>
          <w:p>
            <w:pPr>
              <w:pStyle w:val="Compact"/>
            </w:pPr>
            <w:r>
              <w:rPr>
                <w:sz w:val="17"/>
              </w:rPr>
              <w:t xml:space="preserve">N3</w:t>
            </w:r>
          </w:p>
        </w:tc>
        <w:tc>
          <w:tcPr>
            <w:shd w:val="clear" w:color="auto" w:fill="F5F7FB"/>
          </w:tcPr>
          <w:p>
            <w:pPr>
              <w:pStyle w:val="Compact"/>
            </w:pPr>
            <w:r>
              <w:rPr>
                <w:sz w:val="17"/>
              </w:rPr>
              <w:t xml:space="preserve">Établissements, baux</w:t>
            </w:r>
          </w:p>
        </w:tc>
      </w:tr>
      <w:tr>
        <w:tc>
          <w:tcPr/>
          <w:p>
            <w:pPr>
              <w:pStyle w:val="Compact"/>
            </w:pPr>
            <w:r>
              <w:rPr>
                <w:sz w:val="17"/>
              </w:rPr>
              <w:t xml:space="preserve">Institution publique</w:t>
            </w:r>
          </w:p>
        </w:tc>
        <w:tc>
          <w:tcPr/>
          <w:p>
            <w:pPr>
              <w:pStyle w:val="Compact"/>
            </w:pPr>
            <w:r>
              <w:rPr>
                <w:sz w:val="17"/>
              </w:rPr>
              <w:t xml:space="preserve">Service, représentant</w:t>
            </w:r>
          </w:p>
        </w:tc>
        <w:tc>
          <w:tcPr/>
          <w:p>
            <w:pPr>
              <w:pStyle w:val="Compact"/>
            </w:pPr>
            <w:r>
              <w:rPr>
                <w:sz w:val="17"/>
              </w:rPr>
              <w:t xml:space="preserve">Acte de nomination</w:t>
            </w:r>
          </w:p>
        </w:tc>
        <w:tc>
          <w:tcPr/>
          <w:p>
            <w:pPr>
              <w:pStyle w:val="Compact"/>
            </w:pPr>
            <w:r>
              <w:rPr>
                <w:sz w:val="17"/>
              </w:rPr>
              <w:t xml:space="preserve">N3</w:t>
            </w:r>
          </w:p>
        </w:tc>
        <w:tc>
          <w:tcPr/>
          <w:p>
            <w:pPr>
              <w:pStyle w:val="Compact"/>
            </w:pPr>
            <w:r>
              <w:rPr>
                <w:sz w:val="17"/>
              </w:rPr>
              <w:t xml:space="preserve">Selon compétence</w:t>
            </w:r>
          </w:p>
        </w:tc>
      </w:tr>
      <w:tr>
        <w:tc>
          <w:tcPr>
            <w:shd w:val="clear" w:color="auto" w:fill="F5F7FB"/>
          </w:tcPr>
          <w:p>
            <w:pPr>
              <w:pStyle w:val="Compact"/>
            </w:pPr>
            <w:r>
              <w:rPr>
                <w:sz w:val="17"/>
              </w:rPr>
              <w:t xml:space="preserve">Mandataire, représentant</w:t>
            </w:r>
          </w:p>
        </w:tc>
        <w:tc>
          <w:tcPr>
            <w:shd w:val="clear" w:color="auto" w:fill="F5F7FB"/>
          </w:tcPr>
          <w:p>
            <w:pPr>
              <w:pStyle w:val="Compact"/>
            </w:pPr>
            <w:r>
              <w:rPr>
                <w:sz w:val="17"/>
              </w:rPr>
              <w:t xml:space="preserve">Mandant(s), périmètre, durée</w:t>
            </w:r>
          </w:p>
        </w:tc>
        <w:tc>
          <w:tcPr>
            <w:shd w:val="clear" w:color="auto" w:fill="F5F7FB"/>
          </w:tcPr>
          <w:p>
            <w:pPr>
              <w:pStyle w:val="Compact"/>
            </w:pPr>
            <w:r>
              <w:rPr>
                <w:sz w:val="17"/>
              </w:rPr>
              <w:t xml:space="preserve">Mandat</w:t>
            </w:r>
          </w:p>
        </w:tc>
        <w:tc>
          <w:tcPr>
            <w:shd w:val="clear" w:color="auto" w:fill="F5F7FB"/>
          </w:tcPr>
          <w:p>
            <w:pPr>
              <w:pStyle w:val="Compact"/>
            </w:pPr>
            <w:r>
              <w:rPr>
                <w:sz w:val="17"/>
              </w:rPr>
              <w:t xml:space="preserve">N3</w:t>
            </w:r>
          </w:p>
        </w:tc>
        <w:tc>
          <w:tcPr>
            <w:shd w:val="clear" w:color="auto" w:fill="F5F7FB"/>
          </w:tcPr>
          <w:p>
            <w:pPr>
              <w:pStyle w:val="Compact"/>
            </w:pPr>
            <w:r>
              <w:rPr>
                <w:sz w:val="17"/>
              </w:rPr>
              <w:t xml:space="preserve">Aucun objet propre</w:t>
            </w:r>
          </w:p>
        </w:tc>
      </w:tr>
      <w:tr>
        <w:tc>
          <w:tcPr/>
          <w:p>
            <w:pPr>
              <w:pStyle w:val="Compact"/>
            </w:pPr>
            <w:r>
              <w:rPr>
                <w:sz w:val="17"/>
              </w:rPr>
              <w:t xml:space="preserve">Diaspora</w:t>
            </w:r>
          </w:p>
        </w:tc>
        <w:tc>
          <w:tcPr/>
          <w:p>
            <w:pPr>
              <w:pStyle w:val="Compact"/>
            </w:pPr>
            <w:r>
              <w:rPr>
                <w:sz w:val="17"/>
              </w:rPr>
              <w:t xml:space="preserve">Tronc commun, mandataire local</w:t>
            </w:r>
          </w:p>
        </w:tc>
        <w:tc>
          <w:tcPr/>
          <w:p>
            <w:pPr>
              <w:pStyle w:val="Compact"/>
            </w:pPr>
            <w:r>
              <w:rPr>
                <w:sz w:val="17"/>
              </w:rPr>
              <w:t xml:space="preserve">Passeport</w:t>
            </w:r>
          </w:p>
        </w:tc>
        <w:tc>
          <w:tcPr/>
          <w:p>
            <w:pPr>
              <w:pStyle w:val="Compact"/>
            </w:pPr>
            <w:r>
              <w:rPr>
                <w:sz w:val="17"/>
              </w:rPr>
              <w:t xml:space="preserve">N1 → N2 à distance (vidéo-vérification si acte l’autorise)</w:t>
            </w:r>
          </w:p>
        </w:tc>
        <w:tc>
          <w:tcPr/>
          <w:p>
            <w:pPr>
              <w:pStyle w:val="Compact"/>
            </w:pPr>
            <w:r>
              <w:rPr>
                <w:sz w:val="17"/>
              </w:rPr>
              <w:t xml:space="preserve">Selon objets</w:t>
            </w:r>
          </w:p>
        </w:tc>
      </w:tr>
    </w:tbl>
    <w:bookmarkEnd w:id="90"/>
    <w:bookmarkStart w:id="91" w:name="Xd71b39529892949f5b90da3f5645fa4f9b6b817"/>
    <w:p>
      <w:pPr>
        <w:pStyle w:val="Heading2"/>
      </w:pPr>
      <w:r>
        <w:t xml:space="preserve">9.5 Contenu du profil unifié et classification</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Bloc</w:t>
            </w:r>
          </w:p>
        </w:tc>
        <w:tc>
          <w:tcPr>
            <w:shd w:val="clear" w:color="auto" w:fill="232C6B"/>
          </w:tcPr>
          <w:p>
            <w:pPr>
              <w:pStyle w:val="Compact"/>
            </w:pPr>
            <w:r>
              <w:rPr>
                <w:b/>
                <w:color w:val="FFFFFF"/>
                <w:sz w:val="17"/>
              </w:rPr>
              <w:t xml:space="preserve">Données</w:t>
            </w:r>
          </w:p>
        </w:tc>
        <w:tc>
          <w:tcPr>
            <w:shd w:val="clear" w:color="auto" w:fill="232C6B"/>
          </w:tcPr>
          <w:p>
            <w:pPr>
              <w:pStyle w:val="Compact"/>
            </w:pPr>
            <w:r>
              <w:rPr>
                <w:b/>
                <w:color w:val="FFFFFF"/>
                <w:sz w:val="17"/>
              </w:rPr>
              <w:t xml:space="preserve">Finalité</w:t>
            </w:r>
          </w:p>
        </w:tc>
        <w:tc>
          <w:tcPr>
            <w:shd w:val="clear" w:color="auto" w:fill="232C6B"/>
          </w:tcPr>
          <w:p>
            <w:pPr>
              <w:pStyle w:val="Compact"/>
            </w:pPr>
            <w:r>
              <w:rPr>
                <w:b/>
                <w:color w:val="FFFFFF"/>
                <w:sz w:val="17"/>
              </w:rPr>
              <w:t xml:space="preserve">Classification (ch. 32)</w:t>
            </w:r>
          </w:p>
        </w:tc>
      </w:tr>
      <w:tr>
        <w:tc>
          <w:tcPr/>
          <w:p>
            <w:pPr>
              <w:pStyle w:val="Compact"/>
            </w:pPr>
            <w:r>
              <w:rPr>
                <w:sz w:val="17"/>
              </w:rPr>
              <w:t xml:space="preserve">Identité</w:t>
            </w:r>
          </w:p>
        </w:tc>
        <w:tc>
          <w:tcPr/>
          <w:p>
            <w:pPr>
              <w:pStyle w:val="Compact"/>
            </w:pPr>
            <w:r>
              <w:rPr>
                <w:sz w:val="17"/>
              </w:rPr>
              <w:t xml:space="preserve">IUC, NIF, nom légal, pièce, date et lieu de naissance si requis</w:t>
            </w:r>
          </w:p>
        </w:tc>
        <w:tc>
          <w:tcPr/>
          <w:p>
            <w:pPr>
              <w:pStyle w:val="Compact"/>
            </w:pPr>
            <w:r>
              <w:rPr>
                <w:sz w:val="17"/>
              </w:rPr>
              <w:t xml:space="preserve">Identifier sans ambiguïté</w:t>
            </w:r>
          </w:p>
        </w:tc>
        <w:tc>
          <w:tcPr/>
          <w:p>
            <w:pPr>
              <w:pStyle w:val="Compact"/>
            </w:pPr>
            <w:r>
              <w:rPr>
                <w:sz w:val="17"/>
              </w:rPr>
              <w:t xml:space="preserve">C4 — sensible</w:t>
            </w:r>
          </w:p>
        </w:tc>
      </w:tr>
      <w:tr>
        <w:tc>
          <w:tcPr>
            <w:shd w:val="clear" w:color="auto" w:fill="F5F7FB"/>
          </w:tcPr>
          <w:p>
            <w:pPr>
              <w:pStyle w:val="Compact"/>
            </w:pPr>
            <w:r>
              <w:rPr>
                <w:sz w:val="17"/>
              </w:rPr>
              <w:t xml:space="preserve">Contact</w:t>
            </w:r>
          </w:p>
        </w:tc>
        <w:tc>
          <w:tcPr>
            <w:shd w:val="clear" w:color="auto" w:fill="F5F7FB"/>
          </w:tcPr>
          <w:p>
            <w:pPr>
              <w:pStyle w:val="Compact"/>
            </w:pPr>
            <w:r>
              <w:rPr>
                <w:sz w:val="17"/>
              </w:rPr>
              <w:t xml:space="preserve">Téléphones, courriel, langue, préférences de canal</w:t>
            </w:r>
          </w:p>
        </w:tc>
        <w:tc>
          <w:tcPr>
            <w:shd w:val="clear" w:color="auto" w:fill="F5F7FB"/>
          </w:tcPr>
          <w:p>
            <w:pPr>
              <w:pStyle w:val="Compact"/>
            </w:pPr>
            <w:r>
              <w:rPr>
                <w:sz w:val="17"/>
              </w:rPr>
              <w:t xml:space="preserve">Notifier, authentifier</w:t>
            </w:r>
          </w:p>
        </w:tc>
        <w:tc>
          <w:tcPr>
            <w:shd w:val="clear" w:color="auto" w:fill="F5F7FB"/>
          </w:tcPr>
          <w:p>
            <w:pPr>
              <w:pStyle w:val="Compact"/>
            </w:pPr>
            <w:r>
              <w:rPr>
                <w:sz w:val="17"/>
              </w:rPr>
              <w:t xml:space="preserve">C3 — personnel</w:t>
            </w:r>
          </w:p>
        </w:tc>
      </w:tr>
      <w:tr>
        <w:tc>
          <w:tcPr/>
          <w:p>
            <w:pPr>
              <w:pStyle w:val="Compact"/>
            </w:pPr>
            <w:r>
              <w:rPr>
                <w:sz w:val="17"/>
              </w:rPr>
              <w:t xml:space="preserve">Adresse</w:t>
            </w:r>
          </w:p>
        </w:tc>
        <w:tc>
          <w:tcPr/>
          <w:p>
            <w:pPr>
              <w:pStyle w:val="Compact"/>
            </w:pPr>
            <w:r>
              <w:rPr>
                <w:sz w:val="17"/>
              </w:rPr>
              <w:t xml:space="preserve">Commune, quartier, avenue, rue, référence de parcelle, GPS, précision, statut de vérification</w:t>
            </w:r>
          </w:p>
        </w:tc>
        <w:tc>
          <w:tcPr/>
          <w:p>
            <w:pPr>
              <w:pStyle w:val="Compact"/>
            </w:pPr>
            <w:r>
              <w:rPr>
                <w:sz w:val="17"/>
              </w:rPr>
              <w:t xml:space="preserve">Localiser, notifier</w:t>
            </w:r>
          </w:p>
        </w:tc>
        <w:tc>
          <w:tcPr/>
          <w:p>
            <w:pPr>
              <w:pStyle w:val="Compact"/>
            </w:pPr>
            <w:r>
              <w:rPr>
                <w:sz w:val="17"/>
              </w:rPr>
              <w:t xml:space="preserve">C3</w:t>
            </w:r>
          </w:p>
        </w:tc>
      </w:tr>
      <w:tr>
        <w:tc>
          <w:tcPr>
            <w:shd w:val="clear" w:color="auto" w:fill="F5F7FB"/>
          </w:tcPr>
          <w:p>
            <w:pPr>
              <w:pStyle w:val="Compact"/>
            </w:pPr>
            <w:r>
              <w:rPr>
                <w:sz w:val="17"/>
              </w:rPr>
              <w:t xml:space="preserve">Situation résidentielle</w:t>
            </w:r>
          </w:p>
        </w:tc>
        <w:tc>
          <w:tcPr>
            <w:shd w:val="clear" w:color="auto" w:fill="F5F7FB"/>
          </w:tcPr>
          <w:p>
            <w:pPr>
              <w:pStyle w:val="Compact"/>
            </w:pPr>
            <w:r>
              <w:rPr>
                <w:sz w:val="17"/>
              </w:rPr>
              <w:t xml:space="preserve">Propriétaire occupant, bailleur, locataire, sous-locataire, occupant, gestionnaire, locataire commercial</w:t>
            </w:r>
          </w:p>
        </w:tc>
        <w:tc>
          <w:tcPr>
            <w:shd w:val="clear" w:color="auto" w:fill="F5F7FB"/>
          </w:tcPr>
          <w:p>
            <w:pPr>
              <w:pStyle w:val="Compact"/>
            </w:pPr>
            <w:r>
              <w:rPr>
                <w:sz w:val="17"/>
              </w:rPr>
              <w:t xml:space="preserve">Qualifier les règles potentielles</w:t>
            </w:r>
          </w:p>
        </w:tc>
        <w:tc>
          <w:tcPr>
            <w:shd w:val="clear" w:color="auto" w:fill="F5F7FB"/>
          </w:tcPr>
          <w:p>
            <w:pPr>
              <w:pStyle w:val="Compact"/>
            </w:pPr>
            <w:r>
              <w:rPr>
                <w:sz w:val="17"/>
              </w:rPr>
              <w:t xml:space="preserve">C4</w:t>
            </w:r>
          </w:p>
        </w:tc>
      </w:tr>
      <w:tr>
        <w:tc>
          <w:tcPr/>
          <w:p>
            <w:pPr>
              <w:pStyle w:val="Compact"/>
            </w:pPr>
            <w:r>
              <w:rPr>
                <w:sz w:val="17"/>
              </w:rPr>
              <w:t xml:space="preserve">Rôles</w:t>
            </w:r>
          </w:p>
        </w:tc>
        <w:tc>
          <w:tcPr/>
          <w:p>
            <w:pPr>
              <w:pStyle w:val="Compact"/>
            </w:pPr>
            <w:r>
              <w:rPr>
                <w:sz w:val="17"/>
              </w:rPr>
              <w:t xml:space="preserve">Rôles actifs, dates, preuves</w:t>
            </w:r>
          </w:p>
        </w:tc>
        <w:tc>
          <w:tcPr/>
          <w:p>
            <w:pPr>
              <w:pStyle w:val="Compact"/>
            </w:pPr>
            <w:r>
              <w:rPr>
                <w:sz w:val="17"/>
              </w:rPr>
              <w:t xml:space="preserve">Déterminer la responsabilité selon la règle</w:t>
            </w:r>
          </w:p>
        </w:tc>
        <w:tc>
          <w:tcPr/>
          <w:p>
            <w:pPr>
              <w:pStyle w:val="Compact"/>
            </w:pPr>
            <w:r>
              <w:rPr>
                <w:sz w:val="17"/>
              </w:rPr>
              <w:t xml:space="preserve">C3</w:t>
            </w:r>
          </w:p>
        </w:tc>
      </w:tr>
      <w:tr>
        <w:tc>
          <w:tcPr>
            <w:shd w:val="clear" w:color="auto" w:fill="F5F7FB"/>
          </w:tcPr>
          <w:p>
            <w:pPr>
              <w:pStyle w:val="Compact"/>
            </w:pPr>
            <w:r>
              <w:rPr>
                <w:sz w:val="17"/>
              </w:rPr>
              <w:t xml:space="preserve">Objets</w:t>
            </w:r>
          </w:p>
        </w:tc>
        <w:tc>
          <w:tcPr>
            <w:shd w:val="clear" w:color="auto" w:fill="F5F7FB"/>
          </w:tcPr>
          <w:p>
            <w:pPr>
              <w:pStyle w:val="Compact"/>
            </w:pPr>
            <w:r>
              <w:rPr>
                <w:sz w:val="17"/>
              </w:rPr>
              <w:t xml:space="preserve">Parcelles, bâtiments, unités, baux, activités, établissements, véhicules, autorisations de transport, supports publicitaires, antennes, embarcations, concessions, licences, permis</w:t>
            </w:r>
          </w:p>
        </w:tc>
        <w:tc>
          <w:tcPr>
            <w:shd w:val="clear" w:color="auto" w:fill="F5F7FB"/>
          </w:tcPr>
          <w:p>
            <w:pPr>
              <w:pStyle w:val="Compact"/>
            </w:pPr>
            <w:r>
              <w:rPr>
                <w:sz w:val="17"/>
              </w:rPr>
              <w:t xml:space="preserve">Liquider</w:t>
            </w:r>
          </w:p>
        </w:tc>
        <w:tc>
          <w:tcPr>
            <w:shd w:val="clear" w:color="auto" w:fill="F5F7FB"/>
          </w:tcPr>
          <w:p>
            <w:pPr>
              <w:pStyle w:val="Compact"/>
            </w:pPr>
            <w:r>
              <w:rPr>
                <w:sz w:val="17"/>
              </w:rPr>
              <w:t xml:space="preserve">C3/C4</w:t>
            </w:r>
          </w:p>
        </w:tc>
      </w:tr>
      <w:tr>
        <w:tc>
          <w:tcPr/>
          <w:p>
            <w:pPr>
              <w:pStyle w:val="Compact"/>
            </w:pPr>
            <w:r>
              <w:rPr>
                <w:sz w:val="17"/>
              </w:rPr>
              <w:t xml:space="preserve">Situation fiscale</w:t>
            </w:r>
          </w:p>
        </w:tc>
        <w:tc>
          <w:tcPr/>
          <w:p>
            <w:pPr>
              <w:pStyle w:val="Compact"/>
            </w:pPr>
            <w:r>
              <w:rPr>
                <w:sz w:val="17"/>
              </w:rPr>
              <w:t xml:space="preserve">Obligations en cours, exigibles, en retard, payées, quittances, arriérés, échéanciers</w:t>
            </w:r>
          </w:p>
        </w:tc>
        <w:tc>
          <w:tcPr/>
          <w:p>
            <w:pPr>
              <w:pStyle w:val="Compact"/>
            </w:pPr>
            <w:r>
              <w:rPr>
                <w:sz w:val="17"/>
              </w:rPr>
              <w:t xml:space="preserve">Servir et recouvrer</w:t>
            </w:r>
          </w:p>
        </w:tc>
        <w:tc>
          <w:tcPr/>
          <w:p>
            <w:pPr>
              <w:pStyle w:val="Compact"/>
            </w:pPr>
            <w:r>
              <w:rPr>
                <w:sz w:val="17"/>
              </w:rPr>
              <w:t xml:space="preserve">C4</w:t>
            </w:r>
          </w:p>
        </w:tc>
      </w:tr>
      <w:tr>
        <w:tc>
          <w:tcPr>
            <w:shd w:val="clear" w:color="auto" w:fill="F5F7FB"/>
          </w:tcPr>
          <w:p>
            <w:pPr>
              <w:pStyle w:val="Compact"/>
            </w:pPr>
            <w:r>
              <w:rPr>
                <w:sz w:val="17"/>
              </w:rPr>
              <w:t xml:space="preserve">Contentieux</w:t>
            </w:r>
          </w:p>
        </w:tc>
        <w:tc>
          <w:tcPr>
            <w:shd w:val="clear" w:color="auto" w:fill="F5F7FB"/>
          </w:tcPr>
          <w:p>
            <w:pPr>
              <w:pStyle w:val="Compact"/>
            </w:pPr>
            <w:r>
              <w:rPr>
                <w:sz w:val="17"/>
              </w:rPr>
              <w:t xml:space="preserve">Réclamations, recours, décisions</w:t>
            </w:r>
          </w:p>
        </w:tc>
        <w:tc>
          <w:tcPr>
            <w:shd w:val="clear" w:color="auto" w:fill="F5F7FB"/>
          </w:tcPr>
          <w:p>
            <w:pPr>
              <w:pStyle w:val="Compact"/>
            </w:pPr>
            <w:r>
              <w:rPr>
                <w:sz w:val="17"/>
              </w:rPr>
              <w:t xml:space="preserve">Garantir les droits</w:t>
            </w:r>
          </w:p>
        </w:tc>
        <w:tc>
          <w:tcPr>
            <w:shd w:val="clear" w:color="auto" w:fill="F5F7FB"/>
          </w:tcPr>
          <w:p>
            <w:pPr>
              <w:pStyle w:val="Compact"/>
            </w:pPr>
            <w:r>
              <w:rPr>
                <w:sz w:val="17"/>
              </w:rPr>
              <w:t xml:space="preserve">C4</w:t>
            </w:r>
          </w:p>
        </w:tc>
      </w:tr>
      <w:tr>
        <w:tc>
          <w:tcPr/>
          <w:p>
            <w:pPr>
              <w:pStyle w:val="Compact"/>
            </w:pPr>
            <w:r>
              <w:rPr>
                <w:sz w:val="17"/>
              </w:rPr>
              <w:t xml:space="preserve">Contrôles</w:t>
            </w:r>
          </w:p>
        </w:tc>
        <w:tc>
          <w:tcPr/>
          <w:p>
            <w:pPr>
              <w:pStyle w:val="Compact"/>
            </w:pPr>
            <w:r>
              <w:rPr>
                <w:sz w:val="17"/>
              </w:rPr>
              <w:t xml:space="preserve">Inspections, constats, missions</w:t>
            </w:r>
          </w:p>
        </w:tc>
        <w:tc>
          <w:tcPr/>
          <w:p>
            <w:pPr>
              <w:pStyle w:val="Compact"/>
            </w:pPr>
            <w:r>
              <w:rPr>
                <w:sz w:val="17"/>
              </w:rPr>
              <w:t xml:space="preserve">Contrôler</w:t>
            </w:r>
          </w:p>
        </w:tc>
        <w:tc>
          <w:tcPr/>
          <w:p>
            <w:pPr>
              <w:pStyle w:val="Compact"/>
            </w:pPr>
            <w:r>
              <w:rPr>
                <w:sz w:val="17"/>
              </w:rPr>
              <w:t xml:space="preserve">C4</w:t>
            </w:r>
          </w:p>
        </w:tc>
      </w:tr>
      <w:tr>
        <w:tc>
          <w:tcPr>
            <w:shd w:val="clear" w:color="auto" w:fill="F5F7FB"/>
          </w:tcPr>
          <w:p>
            <w:pPr>
              <w:pStyle w:val="Compact"/>
            </w:pPr>
            <w:r>
              <w:rPr>
                <w:sz w:val="17"/>
              </w:rPr>
              <w:t xml:space="preserve">Preuves</w:t>
            </w:r>
          </w:p>
        </w:tc>
        <w:tc>
          <w:tcPr>
            <w:shd w:val="clear" w:color="auto" w:fill="F5F7FB"/>
          </w:tcPr>
          <w:p>
            <w:pPr>
              <w:pStyle w:val="Compact"/>
            </w:pPr>
            <w:r>
              <w:rPr>
                <w:sz w:val="17"/>
              </w:rPr>
              <w:t xml:space="preserve">Documents, photos, procès-verbaux</w:t>
            </w:r>
          </w:p>
        </w:tc>
        <w:tc>
          <w:tcPr>
            <w:shd w:val="clear" w:color="auto" w:fill="F5F7FB"/>
          </w:tcPr>
          <w:p>
            <w:pPr>
              <w:pStyle w:val="Compact"/>
            </w:pPr>
            <w:r>
              <w:rPr>
                <w:sz w:val="17"/>
              </w:rPr>
              <w:t xml:space="preserve">Prouver</w:t>
            </w:r>
          </w:p>
        </w:tc>
        <w:tc>
          <w:tcPr>
            <w:shd w:val="clear" w:color="auto" w:fill="F5F7FB"/>
          </w:tcPr>
          <w:p>
            <w:pPr>
              <w:pStyle w:val="Compact"/>
            </w:pPr>
            <w:r>
              <w:rPr>
                <w:sz w:val="17"/>
              </w:rPr>
              <w:t xml:space="preserve">C4</w:t>
            </w:r>
          </w:p>
        </w:tc>
      </w:tr>
      <w:tr>
        <w:tc>
          <w:tcPr/>
          <w:p>
            <w:pPr>
              <w:pStyle w:val="Compact"/>
            </w:pPr>
            <w:r>
              <w:rPr>
                <w:sz w:val="17"/>
              </w:rPr>
              <w:t xml:space="preserve">Mandats</w:t>
            </w:r>
          </w:p>
        </w:tc>
        <w:tc>
          <w:tcPr/>
          <w:p>
            <w:pPr>
              <w:pStyle w:val="Compact"/>
            </w:pPr>
            <w:r>
              <w:rPr>
                <w:sz w:val="17"/>
              </w:rPr>
              <w:t xml:space="preserve">Représentants, périmètre, durée</w:t>
            </w:r>
          </w:p>
        </w:tc>
        <w:tc>
          <w:tcPr/>
          <w:p>
            <w:pPr>
              <w:pStyle w:val="Compact"/>
            </w:pPr>
            <w:r>
              <w:rPr>
                <w:sz w:val="17"/>
              </w:rPr>
              <w:t xml:space="preserve">Représenter</w:t>
            </w:r>
          </w:p>
        </w:tc>
        <w:tc>
          <w:tcPr/>
          <w:p>
            <w:pPr>
              <w:pStyle w:val="Compact"/>
            </w:pPr>
            <w:r>
              <w:rPr>
                <w:sz w:val="17"/>
              </w:rPr>
              <w:t xml:space="preserve">C3</w:t>
            </w:r>
          </w:p>
        </w:tc>
      </w:tr>
      <w:tr>
        <w:tc>
          <w:tcPr>
            <w:shd w:val="clear" w:color="auto" w:fill="F5F7FB"/>
          </w:tcPr>
          <w:p>
            <w:pPr>
              <w:pStyle w:val="Compact"/>
            </w:pPr>
            <w:r>
              <w:rPr>
                <w:sz w:val="17"/>
              </w:rPr>
              <w:t xml:space="preserve">Consentements et notifications</w:t>
            </w:r>
          </w:p>
        </w:tc>
        <w:tc>
          <w:tcPr>
            <w:shd w:val="clear" w:color="auto" w:fill="F5F7FB"/>
          </w:tcPr>
          <w:p>
            <w:pPr>
              <w:pStyle w:val="Compact"/>
            </w:pPr>
            <w:r>
              <w:rPr>
                <w:sz w:val="17"/>
              </w:rPr>
              <w:t xml:space="preserve">Historique des consentements, notifications et preuves de délivrance</w:t>
            </w:r>
          </w:p>
        </w:tc>
        <w:tc>
          <w:tcPr>
            <w:shd w:val="clear" w:color="auto" w:fill="F5F7FB"/>
          </w:tcPr>
          <w:p>
            <w:pPr>
              <w:pStyle w:val="Compact"/>
            </w:pPr>
            <w:r>
              <w:rPr>
                <w:sz w:val="17"/>
              </w:rPr>
              <w:t xml:space="preserve">Conformité</w:t>
            </w:r>
          </w:p>
        </w:tc>
        <w:tc>
          <w:tcPr>
            <w:shd w:val="clear" w:color="auto" w:fill="F5F7FB"/>
          </w:tcPr>
          <w:p>
            <w:pPr>
              <w:pStyle w:val="Compact"/>
            </w:pPr>
            <w:r>
              <w:rPr>
                <w:sz w:val="17"/>
              </w:rPr>
              <w:t xml:space="preserve">C3</w:t>
            </w:r>
          </w:p>
        </w:tc>
      </w:tr>
    </w:tbl>
    <w:bookmarkEnd w:id="91"/>
    <w:bookmarkStart w:id="95" w:name="anti-doublon-et-rapprochement-didentités"/>
    <w:p>
      <w:pPr>
        <w:pStyle w:val="Heading2"/>
      </w:pPr>
      <w:r>
        <w:t xml:space="preserve">9.6 Anti-doublon et rapprochement d’identités</w:t>
      </w:r>
    </w:p>
    <w:p>
      <w:pPr>
        <w:pStyle w:val="FirstParagraph"/>
      </w:pPr>
      <w:r>
        <w:t xml:space="preserve">La prévention des doublons repose sur un</w:t>
      </w:r>
      <w:r>
        <w:t xml:space="preserve"> </w:t>
      </w:r>
      <w:r>
        <w:rPr>
          <w:b/>
          <w:bCs/>
        </w:rPr>
        <w:t xml:space="preserve">rapprochement contrôlé</w:t>
      </w:r>
      <w:r>
        <w:t xml:space="preserve">, jamais sur une fusion automatique fondée sur la ressemblance de noms.</w:t>
      </w:r>
    </w:p>
    <w:p>
      <w:pPr>
        <w:pStyle w:val="BodyText"/>
      </w:pPr>
      <w:r>
        <w:drawing>
          <wp:inline>
            <wp:extent cx="6108700" cy="8274795"/>
            <wp:effectExtent b="0" l="0" r="0" t="0"/>
            <wp:docPr descr="" title="" id="93" name="Picture"/>
            <a:graphic>
              <a:graphicData uri="http://schemas.openxmlformats.org/drawingml/2006/picture">
                <pic:pic>
                  <pic:nvPicPr>
                    <pic:cNvPr descr="figures/mermaid/mmd-eaa523bc224f.png" id="94" name="Picture"/>
                    <pic:cNvPicPr>
                      <a:picLocks noChangeArrowheads="1" noChangeAspect="1"/>
                    </pic:cNvPicPr>
                  </pic:nvPicPr>
                  <pic:blipFill>
                    <a:blip r:embed="rId92"/>
                    <a:stretch>
                      <a:fillRect/>
                    </a:stretch>
                  </pic:blipFill>
                  <pic:spPr bwMode="auto">
                    <a:xfrm>
                      <a:off x="0" y="0"/>
                      <a:ext cx="6108700" cy="8274795"/>
                    </a:xfrm>
                    <a:prstGeom prst="rect">
                      <a:avLst/>
                    </a:prstGeom>
                    <a:noFill/>
                    <a:ln w="9525">
                      <a:noFill/>
                      <a:headEnd/>
                      <a:tailEnd/>
                    </a:ln>
                  </pic:spPr>
                </pic:pic>
              </a:graphicData>
            </a:graphic>
          </wp:inline>
        </w:drawing>
      </w:r>
    </w:p>
    <w:p>
      <w:pPr>
        <w:pStyle w:val="BodyText"/>
      </w:pPr>
      <w:r>
        <w:t xml:space="preserve">Règles :</w:t>
      </w:r>
    </w:p>
    <w:p>
      <w:pPr>
        <w:pStyle w:val="Compact"/>
        <w:numPr>
          <w:ilvl w:val="0"/>
          <w:numId w:val="1009"/>
        </w:numPr>
      </w:pPr>
      <w:r>
        <w:rPr>
          <w:b/>
          <w:bCs/>
        </w:rPr>
        <w:t xml:space="preserve">Clés fortes bloquantes</w:t>
      </w:r>
      <w:r>
        <w:t xml:space="preserve"> </w:t>
      </w:r>
      <w:r>
        <w:t xml:space="preserve">: deux comptes actifs ne peuvent porter le même NIF, le même RCCM ou le même numéro de pièce d’identité.</w:t>
      </w:r>
    </w:p>
    <w:p>
      <w:pPr>
        <w:pStyle w:val="Compact"/>
        <w:numPr>
          <w:ilvl w:val="0"/>
          <w:numId w:val="1009"/>
        </w:numPr>
      </w:pPr>
      <w:r>
        <w:rPr>
          <w:b/>
          <w:bCs/>
        </w:rPr>
        <w:t xml:space="preserve">Normalisation des noms</w:t>
      </w:r>
      <w:r>
        <w:t xml:space="preserve"> </w:t>
      </w:r>
      <w:r>
        <w:t xml:space="preserve">adaptée aux usages congolais (ordre nom–post-nom–prénom variable, translittérations, homonymies fréquentes) ; la similarité de noms seule n’est</w:t>
      </w:r>
      <w:r>
        <w:t xml:space="preserve"> </w:t>
      </w:r>
      <w:r>
        <w:rPr>
          <w:b/>
          <w:bCs/>
        </w:rPr>
        <w:t xml:space="preserve">jamais</w:t>
      </w:r>
      <w:r>
        <w:t xml:space="preserve"> </w:t>
      </w:r>
      <w:r>
        <w:t xml:space="preserve">suffisante.</w:t>
      </w:r>
    </w:p>
    <w:p>
      <w:pPr>
        <w:pStyle w:val="Compact"/>
        <w:numPr>
          <w:ilvl w:val="0"/>
          <w:numId w:val="1009"/>
        </w:numPr>
      </w:pPr>
      <w:r>
        <w:rPr>
          <w:b/>
          <w:bCs/>
        </w:rPr>
        <w:t xml:space="preserve">Fusion réversible</w:t>
      </w:r>
      <w:r>
        <w:t xml:space="preserve"> </w:t>
      </w:r>
      <w:r>
        <w:t xml:space="preserve">: le compte absorbé devient un alias ; aucune donnée ni preuve n’est écrasée ; la « défusion » est possible avec la même double validation.</w:t>
      </w:r>
    </w:p>
    <w:p>
      <w:pPr>
        <w:pStyle w:val="Compact"/>
        <w:numPr>
          <w:ilvl w:val="0"/>
          <w:numId w:val="1009"/>
        </w:numPr>
      </w:pPr>
      <w:r>
        <w:rPr>
          <w:b/>
          <w:bCs/>
        </w:rPr>
        <w:t xml:space="preserve">Conflits sensibles</w:t>
      </w:r>
      <w:r>
        <w:t xml:space="preserve"> </w:t>
      </w:r>
      <w:r>
        <w:t xml:space="preserve">(propriété d’un bien de forte valeur, grand redevable, compte de fonctionnaire) : revue par un vérificateur de niveau supérieur.</w:t>
      </w:r>
    </w:p>
    <w:p>
      <w:pPr>
        <w:pStyle w:val="Compact"/>
        <w:numPr>
          <w:ilvl w:val="0"/>
          <w:numId w:val="1009"/>
        </w:numPr>
      </w:pPr>
      <w:r>
        <w:rPr>
          <w:b/>
          <w:bCs/>
        </w:rPr>
        <w:t xml:space="preserve">Téléphone partagé</w:t>
      </w:r>
      <w:r>
        <w:t xml:space="preserve"> </w:t>
      </w:r>
      <w:r>
        <w:t xml:space="preserve">: un même numéro peut servir à plusieurs personnes d’un foyer ; il est un canal, pas un identifiant.</w:t>
      </w:r>
    </w:p>
    <w:bookmarkEnd w:id="95"/>
    <w:bookmarkStart w:id="96" w:name="cycle-de-vie-du-compte"/>
    <w:p>
      <w:pPr>
        <w:pStyle w:val="Heading2"/>
      </w:pPr>
      <w:r>
        <w:t xml:space="preserve">9.7 Cycle de vie du compte</w:t>
      </w:r>
    </w:p>
    <w:p>
      <w:pPr>
        <w:pStyle w:val="FirstParagraph"/>
      </w:pPr>
      <w:r>
        <w:rPr>
          <w:rStyle w:val="VerbatimChar"/>
        </w:rPr>
        <w:t xml:space="preserve">PROVISOIRE → ACTIF (N0…N3) → SUSPENDU (décision motivée) → CLÔTURÉ (décès, dissolution) → ARCHIVÉ</w:t>
      </w:r>
      <w:r>
        <w:t xml:space="preserve">. Un compte n’est jamais supprimé ; la clôture conserve les obligations et l’historique selon les durées de conservation (chapitre 32). La récupération de compte (perte de téléphone, changement de numéro) exige une preuve d’identité au niveau du compte et une vérification hors bande pour les niveaux N2 et N3.</w:t>
      </w:r>
    </w:p>
    <w:bookmarkEnd w:id="96"/>
    <w:bookmarkStart w:id="97" w:name="X1c5b8b22068b7fe7b24ac598fe94598832ece72"/>
    <w:p>
      <w:pPr>
        <w:pStyle w:val="Heading2"/>
      </w:pPr>
      <w:r>
        <w:t xml:space="preserve">9.8 Ce que le compte unique change pour le contribuable</w:t>
      </w:r>
    </w:p>
    <w:p>
      <w:pPr>
        <w:pStyle w:val="Compact"/>
        <w:numPr>
          <w:ilvl w:val="0"/>
          <w:numId w:val="1010"/>
        </w:numPr>
      </w:pPr>
      <w:r>
        <w:t xml:space="preserve">Une seule saisie, une seule vue de tous ses objets, obligations, échéances et quittances.</w:t>
      </w:r>
    </w:p>
    <w:p>
      <w:pPr>
        <w:pStyle w:val="Compact"/>
        <w:numPr>
          <w:ilvl w:val="0"/>
          <w:numId w:val="1010"/>
        </w:numPr>
      </w:pPr>
      <w:r>
        <w:t xml:space="preserve">L’explication de chaque montant : règle, version, assiette, formule, échéance, voie de recours.</w:t>
      </w:r>
    </w:p>
    <w:p>
      <w:pPr>
        <w:pStyle w:val="Compact"/>
        <w:numPr>
          <w:ilvl w:val="0"/>
          <w:numId w:val="1010"/>
        </w:numPr>
      </w:pPr>
      <w:r>
        <w:t xml:space="preserve">Un paiement depuis le téléphone, avec référence unique et quittance immédiate vérifiable.</w:t>
      </w:r>
    </w:p>
    <w:p>
      <w:pPr>
        <w:pStyle w:val="Compact"/>
        <w:numPr>
          <w:ilvl w:val="0"/>
          <w:numId w:val="1010"/>
        </w:numPr>
      </w:pPr>
      <w:r>
        <w:t xml:space="preserve">Une contestation possible depuis chaque objet et chaque obligation, avec suivi du délai.</w:t>
      </w:r>
    </w:p>
    <w:p>
      <w:pPr>
        <w:pStyle w:val="Compact"/>
        <w:numPr>
          <w:ilvl w:val="0"/>
          <w:numId w:val="1010"/>
        </w:numPr>
      </w:pPr>
      <w:r>
        <w:t xml:space="preserve">Un mode diaspora : paiement par carte, mandataire local aux droits limités, quittances à distance.</w:t>
      </w:r>
    </w:p>
    <w:p>
      <w:pPr>
        <w:pStyle w:val="Compact"/>
        <w:numPr>
          <w:ilvl w:val="0"/>
          <w:numId w:val="1010"/>
        </w:numPr>
      </w:pPr>
      <w:r>
        <w:t xml:space="preserve">Un quitus fiscal numérique téléchargeable et vérifiable par tout service habilité.</w:t>
      </w:r>
    </w:p>
    <w:bookmarkEnd w:id="97"/>
    <w:bookmarkEnd w:id="98"/>
    <w:bookmarkStart w:id="105" w:name="architecture-fonctionnelle"/>
    <w:p>
      <w:pPr>
        <w:pStyle w:val="Heading1"/>
      </w:pPr>
      <w:r>
        <w:t xml:space="preserve">10. Architecture fonctionnelle</w:t>
      </w:r>
    </w:p>
    <w:bookmarkStart w:id="102" w:name="sept-domaines-une-responsabilité-chacun"/>
    <w:p>
      <w:pPr>
        <w:pStyle w:val="Heading2"/>
      </w:pPr>
      <w:r>
        <w:t xml:space="preserve">10.1 Sept domaines, une responsabilité chacun</w:t>
      </w:r>
    </w:p>
    <w:p>
      <w:pPr>
        <w:pStyle w:val="FirstParagraph"/>
      </w:pPr>
      <w:r>
        <w:t xml:space="preserve">La plateforme est organisée en sept domaines fonctionnels. Chacun est propriétaire de ses données, expose des services aux autres et</w:t>
      </w:r>
      <w:r>
        <w:t xml:space="preserve"> </w:t>
      </w:r>
      <w:r>
        <w:rPr>
          <w:b/>
          <w:bCs/>
        </w:rPr>
        <w:t xml:space="preserve">s’interdit explicitement</w:t>
      </w:r>
      <w:r>
        <w:t xml:space="preserve"> </w:t>
      </w:r>
      <w:r>
        <w:t xml:space="preserve">certaines actions. Cette séparation est à la fois une règle d’architecture et un contrôle interne.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Domaine</w:t>
            </w:r>
          </w:p>
        </w:tc>
        <w:tc>
          <w:tcPr>
            <w:shd w:val="clear" w:color="auto" w:fill="232C6B"/>
          </w:tcPr>
          <w:p>
            <w:pPr>
              <w:pStyle w:val="Compact"/>
            </w:pPr>
            <w:r>
              <w:rPr>
                <w:b/>
                <w:color w:val="FFFFFF"/>
                <w:sz w:val="17"/>
              </w:rPr>
              <w:t xml:space="preserve">Responsabilité</w:t>
            </w:r>
          </w:p>
        </w:tc>
        <w:tc>
          <w:tcPr>
            <w:shd w:val="clear" w:color="auto" w:fill="232C6B"/>
          </w:tcPr>
          <w:p>
            <w:pPr>
              <w:pStyle w:val="Compact"/>
            </w:pPr>
            <w:r>
              <w:rPr>
                <w:b/>
                <w:color w:val="FFFFFF"/>
                <w:sz w:val="17"/>
              </w:rPr>
              <w:t xml:space="preserve">Ne fait jamais</w:t>
            </w:r>
          </w:p>
        </w:tc>
      </w:tr>
      <w:tr>
        <w:tc>
          <w:tcPr/>
          <w:p>
            <w:pPr>
              <w:pStyle w:val="Compact"/>
            </w:pPr>
            <w:r>
              <w:rPr>
                <w:b/>
                <w:bCs/>
                <w:sz w:val="17"/>
              </w:rPr>
              <w:t xml:space="preserve">D1 Identité et contribuable</w:t>
            </w:r>
          </w:p>
        </w:tc>
        <w:tc>
          <w:tcPr/>
          <w:p>
            <w:pPr>
              <w:pStyle w:val="Compact"/>
            </w:pPr>
            <w:r>
              <w:rPr>
                <w:sz w:val="17"/>
              </w:rPr>
              <w:t xml:space="preserve">Comptes, rôles, vérification, mandats, consentements</w:t>
            </w:r>
          </w:p>
        </w:tc>
        <w:tc>
          <w:tcPr/>
          <w:p>
            <w:pPr>
              <w:pStyle w:val="Compact"/>
            </w:pPr>
            <w:r>
              <w:rPr>
                <w:sz w:val="17"/>
              </w:rPr>
              <w:t xml:space="preserve">Liquider une obligation</w:t>
            </w:r>
          </w:p>
        </w:tc>
      </w:tr>
      <w:tr>
        <w:tc>
          <w:tcPr>
            <w:shd w:val="clear" w:color="auto" w:fill="F5F7FB"/>
          </w:tcPr>
          <w:p>
            <w:pPr>
              <w:pStyle w:val="Compact"/>
            </w:pPr>
            <w:r>
              <w:rPr>
                <w:b/>
                <w:bCs/>
                <w:sz w:val="17"/>
              </w:rPr>
              <w:t xml:space="preserve">D2 Objets et cadastre fiscal</w:t>
            </w:r>
          </w:p>
        </w:tc>
        <w:tc>
          <w:tcPr>
            <w:shd w:val="clear" w:color="auto" w:fill="F5F7FB"/>
          </w:tcPr>
          <w:p>
            <w:pPr>
              <w:pStyle w:val="Compact"/>
            </w:pPr>
            <w:r>
              <w:rPr>
                <w:sz w:val="17"/>
              </w:rPr>
              <w:t xml:space="preserve">Recensement, géolocalisation, cycle de vie des objets</w:t>
            </w:r>
          </w:p>
        </w:tc>
        <w:tc>
          <w:tcPr>
            <w:shd w:val="clear" w:color="auto" w:fill="F5F7FB"/>
          </w:tcPr>
          <w:p>
            <w:pPr>
              <w:pStyle w:val="Compact"/>
            </w:pPr>
            <w:r>
              <w:rPr>
                <w:sz w:val="17"/>
              </w:rPr>
              <w:t xml:space="preserve">Trancher la propriété juridique</w:t>
            </w:r>
          </w:p>
        </w:tc>
      </w:tr>
      <w:tr>
        <w:tc>
          <w:tcPr/>
          <w:p>
            <w:pPr>
              <w:pStyle w:val="Compact"/>
            </w:pPr>
            <w:r>
              <w:rPr>
                <w:b/>
                <w:bCs/>
                <w:sz w:val="17"/>
              </w:rPr>
              <w:t xml:space="preserve">D3 Droit et référentiel</w:t>
            </w:r>
          </w:p>
        </w:tc>
        <w:tc>
          <w:tcPr/>
          <w:p>
            <w:pPr>
              <w:pStyle w:val="Compact"/>
            </w:pPr>
            <w:r>
              <w:rPr>
                <w:sz w:val="17"/>
              </w:rPr>
              <w:t xml:space="preserve">Instruments juridiques, fiches de règles, tarifs, exonérations, versions</w:t>
            </w:r>
          </w:p>
        </w:tc>
        <w:tc>
          <w:tcPr/>
          <w:p>
            <w:pPr>
              <w:pStyle w:val="Compact"/>
            </w:pPr>
            <w:r>
              <w:rPr>
                <w:sz w:val="17"/>
              </w:rPr>
              <w:t xml:space="preserve">Appliquer une règle non approuvée</w:t>
            </w:r>
          </w:p>
        </w:tc>
      </w:tr>
      <w:tr>
        <w:tc>
          <w:tcPr>
            <w:shd w:val="clear" w:color="auto" w:fill="F5F7FB"/>
          </w:tcPr>
          <w:p>
            <w:pPr>
              <w:pStyle w:val="Compact"/>
            </w:pPr>
            <w:r>
              <w:rPr>
                <w:b/>
                <w:bCs/>
                <w:sz w:val="17"/>
              </w:rPr>
              <w:t xml:space="preserve">D4 Liquidation et obligations</w:t>
            </w:r>
          </w:p>
        </w:tc>
        <w:tc>
          <w:tcPr>
            <w:shd w:val="clear" w:color="auto" w:fill="F5F7FB"/>
          </w:tcPr>
          <w:p>
            <w:pPr>
              <w:pStyle w:val="Compact"/>
            </w:pPr>
            <w:r>
              <w:rPr>
                <w:sz w:val="17"/>
              </w:rPr>
              <w:t xml:space="preserve">Déclarations, calculs, avis, échéanciers, pénalités légales, arriérés</w:t>
            </w:r>
          </w:p>
        </w:tc>
        <w:tc>
          <w:tcPr>
            <w:shd w:val="clear" w:color="auto" w:fill="F5F7FB"/>
          </w:tcPr>
          <w:p>
            <w:pPr>
              <w:pStyle w:val="Compact"/>
            </w:pPr>
            <w:r>
              <w:rPr>
                <w:sz w:val="17"/>
              </w:rPr>
              <w:t xml:space="preserve">Modifier une règle ou un paiement</w:t>
            </w:r>
          </w:p>
        </w:tc>
      </w:tr>
      <w:tr>
        <w:tc>
          <w:tcPr/>
          <w:p>
            <w:pPr>
              <w:pStyle w:val="Compact"/>
            </w:pPr>
            <w:r>
              <w:rPr>
                <w:b/>
                <w:bCs/>
                <w:sz w:val="17"/>
              </w:rPr>
              <w:t xml:space="preserve">D5 Paiement, trésorerie et grand livre</w:t>
            </w:r>
          </w:p>
        </w:tc>
        <w:tc>
          <w:tcPr/>
          <w:p>
            <w:pPr>
              <w:pStyle w:val="Compact"/>
            </w:pPr>
            <w:r>
              <w:rPr>
                <w:sz w:val="17"/>
              </w:rPr>
              <w:t xml:space="preserve">Ordres, événements de paiement, règlement, rapprochement, quittances, écritures</w:t>
            </w:r>
          </w:p>
        </w:tc>
        <w:tc>
          <w:tcPr/>
          <w:p>
            <w:pPr>
              <w:pStyle w:val="Compact"/>
            </w:pPr>
            <w:r>
              <w:rPr>
                <w:sz w:val="17"/>
              </w:rPr>
              <w:t xml:space="preserve">Créer une obligation</w:t>
            </w:r>
          </w:p>
        </w:tc>
      </w:tr>
      <w:tr>
        <w:tc>
          <w:tcPr>
            <w:shd w:val="clear" w:color="auto" w:fill="F5F7FB"/>
          </w:tcPr>
          <w:p>
            <w:pPr>
              <w:pStyle w:val="Compact"/>
            </w:pPr>
            <w:r>
              <w:rPr>
                <w:b/>
                <w:bCs/>
                <w:sz w:val="17"/>
              </w:rPr>
              <w:t xml:space="preserve">D6 Contrôle et contentieux</w:t>
            </w:r>
          </w:p>
        </w:tc>
        <w:tc>
          <w:tcPr>
            <w:shd w:val="clear" w:color="auto" w:fill="F5F7FB"/>
          </w:tcPr>
          <w:p>
            <w:pPr>
              <w:pStyle w:val="Compact"/>
            </w:pPr>
            <w:r>
              <w:rPr>
                <w:sz w:val="17"/>
              </w:rPr>
              <w:t xml:space="preserve">Missions, constats, notifications, recouvrement, recours</w:t>
            </w:r>
          </w:p>
        </w:tc>
        <w:tc>
          <w:tcPr>
            <w:shd w:val="clear" w:color="auto" w:fill="F5F7FB"/>
          </w:tcPr>
          <w:p>
            <w:pPr>
              <w:pStyle w:val="Compact"/>
            </w:pPr>
            <w:r>
              <w:rPr>
                <w:sz w:val="17"/>
              </w:rPr>
              <w:t xml:space="preserve">Encaisser</w:t>
            </w:r>
          </w:p>
        </w:tc>
      </w:tr>
      <w:tr>
        <w:tc>
          <w:tcPr/>
          <w:p>
            <w:pPr>
              <w:pStyle w:val="Compact"/>
            </w:pPr>
            <w:r>
              <w:rPr>
                <w:b/>
                <w:bCs/>
                <w:sz w:val="17"/>
              </w:rPr>
              <w:t xml:space="preserve">D7 Pilotage, IA et audit</w:t>
            </w:r>
          </w:p>
        </w:tc>
        <w:tc>
          <w:tcPr/>
          <w:p>
            <w:pPr>
              <w:pStyle w:val="Compact"/>
            </w:pPr>
            <w:r>
              <w:rPr>
                <w:sz w:val="17"/>
              </w:rPr>
              <w:t xml:space="preserve">Tableaux de bord, prévisions, détection, journal d’audit, recommandations</w:t>
            </w:r>
          </w:p>
        </w:tc>
        <w:tc>
          <w:tcPr/>
          <w:p>
            <w:pPr>
              <w:pStyle w:val="Compact"/>
            </w:pPr>
            <w:r>
              <w:rPr>
                <w:sz w:val="17"/>
              </w:rPr>
              <w:t xml:space="preserve">Décider ou exécuter un acte financier</w:t>
            </w:r>
          </w:p>
        </w:tc>
      </w:tr>
    </w:tbl>
    <w:p>
      <w:pPr>
        <w:pStyle w:val="BodyText"/>
      </w:pPr>
      <w:r>
        <w:drawing>
          <wp:inline>
            <wp:extent cx="6108700" cy="2929682"/>
            <wp:effectExtent b="0" l="0" r="0" t="0"/>
            <wp:docPr descr="" title="" id="100" name="Picture"/>
            <a:graphic>
              <a:graphicData uri="http://schemas.openxmlformats.org/drawingml/2006/picture">
                <pic:pic>
                  <pic:nvPicPr>
                    <pic:cNvPr descr="figures/mermaid/mmd-e600256dddb4.png" id="101" name="Picture"/>
                    <pic:cNvPicPr>
                      <a:picLocks noChangeArrowheads="1" noChangeAspect="1"/>
                    </pic:cNvPicPr>
                  </pic:nvPicPr>
                  <pic:blipFill>
                    <a:blip r:embed="rId99"/>
                    <a:stretch>
                      <a:fillRect/>
                    </a:stretch>
                  </pic:blipFill>
                  <pic:spPr bwMode="auto">
                    <a:xfrm>
                      <a:off x="0" y="0"/>
                      <a:ext cx="6108700" cy="2929682"/>
                    </a:xfrm>
                    <a:prstGeom prst="rect">
                      <a:avLst/>
                    </a:prstGeom>
                    <a:noFill/>
                    <a:ln w="9525">
                      <a:noFill/>
                      <a:headEnd/>
                      <a:tailEnd/>
                    </a:ln>
                  </pic:spPr>
                </pic:pic>
              </a:graphicData>
            </a:graphic>
          </wp:inline>
        </w:drawing>
      </w:r>
    </w:p>
    <w:bookmarkEnd w:id="102"/>
    <w:bookmarkStart w:id="103" w:name="principe-de-limmutabilité-des-faits"/>
    <w:p>
      <w:pPr>
        <w:pStyle w:val="Heading2"/>
      </w:pPr>
      <w:r>
        <w:t xml:space="preserve">10.2 Principe de l’immutabilité des faits</w:t>
      </w:r>
    </w:p>
    <w:p>
      <w:pPr>
        <w:pStyle w:val="FirstParagraph"/>
      </w:pPr>
      <w:r>
        <w:rPr>
          <w:b/>
          <w:bCs/>
        </w:rPr>
        <w:t xml:space="preserve">Les faits sont immuables ; les corrections sont des faits nouveaux.</w:t>
      </w:r>
      <w:r>
        <w:t xml:space="preserve"> </w:t>
      </w:r>
      <w:r>
        <w:t xml:space="preserve">Un constat erroné n’est pas effacé : il est annulé par un acte contraire, motivé, signé et relié à l’original. Une liquidation erronée est corrigée par une liquidation rectificative qui référence la précédente. Un paiement contesté est traité par un événement de litige, puis éventuellement par un contrepassement. Ce principe s’applique aux sept domaines.</w:t>
      </w:r>
    </w:p>
    <w:bookmarkEnd w:id="103"/>
    <w:bookmarkStart w:id="104" w:name="architecture-multi-entités"/>
    <w:p>
      <w:pPr>
        <w:pStyle w:val="Heading2"/>
      </w:pPr>
      <w:r>
        <w:t xml:space="preserve">10.3 Architecture multi-entités</w:t>
      </w:r>
    </w:p>
    <w:p>
      <w:pPr>
        <w:pStyle w:val="FirstParagraph"/>
      </w:pPr>
      <w:r>
        <w:t xml:space="preserve">MOSOLO fait coexister des entités dont les compétences, les calendriers et parfois les intérêts diffèrent : régies provinciales, ministères, communes, services techniques, opérateurs délégués, pouvoir central (pour l’exclusion des doublons), banques, sous-traitants, partenaires de données, audit et société civile.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Partagé par toutes les entités (socle)</w:t>
            </w:r>
          </w:p>
        </w:tc>
        <w:tc>
          <w:tcPr>
            <w:shd w:val="clear" w:color="auto" w:fill="232C6B"/>
          </w:tcPr>
          <w:p>
            <w:pPr>
              <w:pStyle w:val="Compact"/>
            </w:pPr>
            <w:r>
              <w:rPr>
                <w:b/>
                <w:color w:val="FFFFFF"/>
                <w:sz w:val="17"/>
              </w:rPr>
              <w:t xml:space="preserve">Propre à chaque entité (espace)</w:t>
            </w:r>
          </w:p>
        </w:tc>
      </w:tr>
      <w:tr>
        <w:tc>
          <w:tcPr/>
          <w:p>
            <w:pPr>
              <w:pStyle w:val="Compact"/>
            </w:pPr>
            <w:r>
              <w:rPr>
                <w:sz w:val="17"/>
              </w:rPr>
              <w:t xml:space="preserve">Identité et compte unique</w:t>
            </w:r>
          </w:p>
        </w:tc>
        <w:tc>
          <w:tcPr/>
          <w:p>
            <w:pPr>
              <w:pStyle w:val="Compact"/>
            </w:pPr>
            <w:r>
              <w:rPr>
                <w:sz w:val="17"/>
              </w:rPr>
              <w:t xml:space="preserve">Recettes, règles et tarifs relevant de sa compétence</w:t>
            </w:r>
          </w:p>
        </w:tc>
      </w:tr>
      <w:tr>
        <w:tc>
          <w:tcPr>
            <w:shd w:val="clear" w:color="auto" w:fill="F5F7FB"/>
          </w:tcPr>
          <w:p>
            <w:pPr>
              <w:pStyle w:val="Compact"/>
            </w:pPr>
            <w:r>
              <w:rPr>
                <w:sz w:val="17"/>
              </w:rPr>
              <w:t xml:space="preserve">Cadastre fiscal et identifiants géofiscaux</w:t>
            </w:r>
          </w:p>
        </w:tc>
        <w:tc>
          <w:tcPr>
            <w:shd w:val="clear" w:color="auto" w:fill="F5F7FB"/>
          </w:tcPr>
          <w:p>
            <w:pPr>
              <w:pStyle w:val="Compact"/>
            </w:pPr>
            <w:r>
              <w:rPr>
                <w:sz w:val="17"/>
              </w:rPr>
              <w:t xml:space="preserve">Circuits d’approbation, délais de service</w:t>
            </w:r>
          </w:p>
        </w:tc>
      </w:tr>
      <w:tr>
        <w:tc>
          <w:tcPr/>
          <w:p>
            <w:pPr>
              <w:pStyle w:val="Compact"/>
            </w:pPr>
            <w:r>
              <w:rPr>
                <w:sz w:val="17"/>
              </w:rPr>
              <w:t xml:space="preserve">Registre juridique et moteur de liquidation</w:t>
            </w:r>
          </w:p>
        </w:tc>
        <w:tc>
          <w:tcPr/>
          <w:p>
            <w:pPr>
              <w:pStyle w:val="Compact"/>
            </w:pPr>
            <w:r>
              <w:rPr>
                <w:sz w:val="17"/>
              </w:rPr>
              <w:t xml:space="preserve">Agents, équipes, missions</w:t>
            </w:r>
          </w:p>
        </w:tc>
      </w:tr>
      <w:tr>
        <w:tc>
          <w:tcPr>
            <w:shd w:val="clear" w:color="auto" w:fill="F5F7FB"/>
          </w:tcPr>
          <w:p>
            <w:pPr>
              <w:pStyle w:val="Compact"/>
            </w:pPr>
            <w:r>
              <w:rPr>
                <w:sz w:val="17"/>
              </w:rPr>
              <w:t xml:space="preserve">Paiements, grand livre, rapprochement</w:t>
            </w:r>
          </w:p>
        </w:tc>
        <w:tc>
          <w:tcPr>
            <w:shd w:val="clear" w:color="auto" w:fill="F5F7FB"/>
          </w:tcPr>
          <w:p>
            <w:pPr>
              <w:pStyle w:val="Compact"/>
            </w:pPr>
            <w:r>
              <w:rPr>
                <w:sz w:val="17"/>
              </w:rPr>
              <w:t xml:space="preserve">Comptes publics bénéficiaires propres, verrouillés</w:t>
            </w:r>
          </w:p>
        </w:tc>
      </w:tr>
      <w:tr>
        <w:tc>
          <w:tcPr/>
          <w:p>
            <w:pPr>
              <w:pStyle w:val="Compact"/>
            </w:pPr>
            <w:r>
              <w:rPr>
                <w:sz w:val="17"/>
              </w:rPr>
              <w:t xml:space="preserve">Moteur de titres et de quittances</w:t>
            </w:r>
          </w:p>
        </w:tc>
        <w:tc>
          <w:tcPr/>
          <w:p>
            <w:pPr>
              <w:pStyle w:val="Compact"/>
            </w:pPr>
            <w:r>
              <w:rPr>
                <w:sz w:val="17"/>
              </w:rPr>
              <w:t xml:space="preserve">Modèles de titres, de QR, de notifications</w:t>
            </w:r>
          </w:p>
        </w:tc>
      </w:tr>
      <w:tr>
        <w:tc>
          <w:tcPr>
            <w:shd w:val="clear" w:color="auto" w:fill="F5F7FB"/>
          </w:tcPr>
          <w:p>
            <w:pPr>
              <w:pStyle w:val="Compact"/>
            </w:pPr>
            <w:r>
              <w:rPr>
                <w:sz w:val="17"/>
              </w:rPr>
              <w:t xml:space="preserve">Audit, sécurité, journal</w:t>
            </w:r>
          </w:p>
        </w:tc>
        <w:tc>
          <w:tcPr>
            <w:shd w:val="clear" w:color="auto" w:fill="F5F7FB"/>
          </w:tcPr>
          <w:p>
            <w:pPr>
              <w:pStyle w:val="Compact"/>
            </w:pPr>
            <w:r>
              <w:rPr>
                <w:sz w:val="17"/>
              </w:rPr>
              <w:t xml:space="preserve">Tableaux de bord et rapports</w:t>
            </w:r>
          </w:p>
        </w:tc>
      </w:tr>
    </w:tbl>
    <w:p>
      <w:pPr>
        <w:pStyle w:val="BodyText"/>
      </w:pPr>
      <w:r>
        <w:t xml:space="preserve">Règles de coexistence :</w:t>
      </w:r>
    </w:p>
    <w:p>
      <w:pPr>
        <w:pStyle w:val="Compact"/>
        <w:numPr>
          <w:ilvl w:val="0"/>
          <w:numId w:val="1011"/>
        </w:numPr>
      </w:pPr>
      <w:r>
        <w:rPr>
          <w:b/>
          <w:bCs/>
        </w:rPr>
        <w:t xml:space="preserve">Une seule revendication par fait générateur.</w:t>
      </w:r>
      <w:r>
        <w:t xml:space="preserve"> </w:t>
      </w:r>
      <w:r>
        <w:t xml:space="preserve">Si deux entités revendiquent le même objet, pour le même fait générateur et la même période, le moteur bloque la seconde obligation et ouvre un dossier d’arbitrage au Comité juridique et tarifaire. Le contribuable ne voit jamais de double obligation.</w:t>
      </w:r>
    </w:p>
    <w:p>
      <w:pPr>
        <w:pStyle w:val="Compact"/>
        <w:numPr>
          <w:ilvl w:val="0"/>
          <w:numId w:val="1011"/>
        </w:numPr>
      </w:pPr>
      <w:r>
        <w:rPr>
          <w:b/>
          <w:bCs/>
        </w:rPr>
        <w:t xml:space="preserve">Partage légal transparent.</w:t>
      </w:r>
      <w:r>
        <w:t xml:space="preserve"> </w:t>
      </w:r>
      <w:r>
        <w:t xml:space="preserve">Pour une recette partagée selon une clé légale, chaque entité voit sa part calculée et rapprochée ; aucune ne peut modifier la clé.</w:t>
      </w:r>
    </w:p>
    <w:p>
      <w:pPr>
        <w:pStyle w:val="Compact"/>
        <w:numPr>
          <w:ilvl w:val="0"/>
          <w:numId w:val="1011"/>
        </w:numPr>
      </w:pPr>
      <w:r>
        <w:rPr>
          <w:b/>
          <w:bCs/>
        </w:rPr>
        <w:t xml:space="preserve">Aucune action hors périmètre.</w:t>
      </w:r>
      <w:r>
        <w:t xml:space="preserve"> </w:t>
      </w:r>
      <w:r>
        <w:t xml:space="preserve">Le cloisonnement est appliqué par le système (filtre par entité et par attributs), jamais par simple consigne.</w:t>
      </w:r>
    </w:p>
    <w:p>
      <w:pPr>
        <w:pStyle w:val="Compact"/>
        <w:numPr>
          <w:ilvl w:val="0"/>
          <w:numId w:val="1011"/>
        </w:numPr>
      </w:pPr>
      <w:r>
        <w:rPr>
          <w:b/>
          <w:bCs/>
        </w:rPr>
        <w:t xml:space="preserve">Dépendances explicites.</w:t>
      </w:r>
      <w:r>
        <w:t xml:space="preserve"> </w:t>
      </w:r>
      <w:r>
        <w:t xml:space="preserve">Lorsqu’un service d’une entité dépend de la situation fiscale gérée par une autre (permis de bâtir conditionné au quitus), la condition est une règle versionnée, visible du citoyen, fondée sur un texte.</w:t>
      </w:r>
    </w:p>
    <w:p>
      <w:pPr>
        <w:pStyle w:val="Compact"/>
        <w:numPr>
          <w:ilvl w:val="0"/>
          <w:numId w:val="1011"/>
        </w:numPr>
      </w:pPr>
      <w:r>
        <w:rPr>
          <w:b/>
          <w:bCs/>
        </w:rPr>
        <w:t xml:space="preserve">Ajout d’une entité ou d’un service sans redéveloppement</w:t>
      </w:r>
      <w:r>
        <w:t xml:space="preserve">, par une fiche de configuration de module validée en maker-checker (entité responsable, types d’objets, règles, titres, canaux, workflows, tableaux de bord, dépendances).</w:t>
      </w:r>
    </w:p>
    <w:bookmarkEnd w:id="104"/>
    <w:bookmarkEnd w:id="105"/>
    <w:bookmarkStart w:id="131" w:name="catalogue-complet-des-modules"/>
    <w:p>
      <w:pPr>
        <w:pStyle w:val="Heading1"/>
      </w:pPr>
      <w:r>
        <w:t xml:space="preserve">11. Catalogue complet des modules</w:t>
      </w:r>
    </w:p>
    <w:bookmarkStart w:id="106" w:name="les-55-modules-de-base"/>
    <w:p>
      <w:pPr>
        <w:pStyle w:val="Heading2"/>
      </w:pPr>
      <w:r>
        <w:t xml:space="preserve">11.1 Les 55 modules de base</w:t>
      </w:r>
    </w:p>
    <w:p>
      <w:pPr>
        <w:pStyle w:val="FirstParagraph"/>
      </w:pPr>
      <w:r>
        <w:t xml:space="preserve">La numérotation 1 à 55 est commune au présent document, au Cahier des exigences v2.9 et à la Spécification fonctionnelle v1.2, qui détaille chaque module (finalité, fonctionnalités, fonctions système, contrôles, données, intégrations, indicateurs). Colonne « Base légale » :</w:t>
      </w:r>
      <w:r>
        <w:t xml:space="preserve"> </w:t>
      </w:r>
      <w:r>
        <w:rPr>
          <w:b/>
          <w:bCs/>
        </w:rPr>
        <w:t xml:space="preserve">E</w:t>
      </w:r>
      <w:r>
        <w:t xml:space="preserve"> </w:t>
      </w:r>
      <w:r>
        <w:t xml:space="preserve">= existe en principe, sous réserve de certification (ch. 6) ;</w:t>
      </w:r>
      <w:r>
        <w:t xml:space="preserve"> </w:t>
      </w:r>
      <w:r>
        <w:rPr>
          <w:b/>
          <w:bCs/>
        </w:rPr>
        <w:t xml:space="preserve">A</w:t>
      </w:r>
      <w:r>
        <w:t xml:space="preserve"> </w:t>
      </w:r>
      <w:r>
        <w:t xml:space="preserve">= acte requis pour tout ou partie ;</w:t>
      </w:r>
      <w:r>
        <w:t xml:space="preserve"> </w:t>
      </w:r>
      <w:r>
        <w:rPr>
          <w:b/>
          <w:bCs/>
        </w:rPr>
        <w:t xml:space="preserve">T</w:t>
      </w:r>
      <w:r>
        <w:t xml:space="preserve"> </w:t>
      </w:r>
      <w:r>
        <w:t xml:space="preserve">= module technique ou transverse.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584"/>
        <w:gridCol w:w="1584"/>
        <w:gridCol w:w="1584"/>
        <w:gridCol w:w="1584"/>
        <w:gridCol w:w="1584"/>
      </w:tblGrid>
      <w:tr>
        <w:trPr>
          <w:tblHeader w:val="on"/>
        </w:trPr>
        <w:tc>
          <w:tcPr>
            <w:shd w:val="clear" w:color="auto" w:fill="232C6B"/>
          </w:tcPr>
          <w:p>
            <w:pPr>
              <w:pStyle w:val="Compact"/>
            </w:pPr>
            <w:r>
              <w:rPr>
                <w:b/>
                <w:color w:val="FFFFFF"/>
                <w:sz w:val="17"/>
              </w:rPr>
              <w:t xml:space="preserve">N°</w:t>
            </w:r>
          </w:p>
        </w:tc>
        <w:tc>
          <w:tcPr>
            <w:shd w:val="clear" w:color="auto" w:fill="232C6B"/>
          </w:tcPr>
          <w:p>
            <w:pPr>
              <w:pStyle w:val="Compact"/>
            </w:pPr>
            <w:r>
              <w:rPr>
                <w:b/>
                <w:color w:val="FFFFFF"/>
                <w:sz w:val="17"/>
              </w:rPr>
              <w:t xml:space="preserve">Module</w:t>
            </w:r>
          </w:p>
        </w:tc>
        <w:tc>
          <w:tcPr>
            <w:shd w:val="clear" w:color="auto" w:fill="232C6B"/>
          </w:tcPr>
          <w:p>
            <w:pPr>
              <w:pStyle w:val="Compact"/>
            </w:pPr>
            <w:r>
              <w:rPr>
                <w:b/>
                <w:color w:val="FFFFFF"/>
                <w:sz w:val="17"/>
              </w:rPr>
              <w:t xml:space="preserve">Domaine</w:t>
            </w:r>
          </w:p>
        </w:tc>
        <w:tc>
          <w:tcPr>
            <w:shd w:val="clear" w:color="auto" w:fill="232C6B"/>
          </w:tcPr>
          <w:p>
            <w:pPr>
              <w:pStyle w:val="Compact"/>
            </w:pPr>
            <w:r>
              <w:rPr>
                <w:b/>
                <w:color w:val="FFFFFF"/>
                <w:sz w:val="17"/>
              </w:rPr>
              <w:t xml:space="preserve">Base légale</w:t>
            </w:r>
          </w:p>
        </w:tc>
        <w:tc>
          <w:tcPr>
            <w:shd w:val="clear" w:color="auto" w:fill="232C6B"/>
          </w:tcPr>
          <w:p>
            <w:pPr>
              <w:pStyle w:val="Compact"/>
            </w:pPr>
            <w:r>
              <w:rPr>
                <w:b/>
                <w:color w:val="FFFFFF"/>
                <w:sz w:val="17"/>
              </w:rPr>
              <w:t xml:space="preserve">Release</w:t>
            </w:r>
          </w:p>
        </w:tc>
      </w:tr>
      <w:tr>
        <w:tc>
          <w:tcPr/>
          <w:p>
            <w:pPr>
              <w:pStyle w:val="Compact"/>
            </w:pPr>
            <w:r>
              <w:rPr>
                <w:sz w:val="17"/>
              </w:rPr>
              <w:t xml:space="preserve">1</w:t>
            </w:r>
          </w:p>
        </w:tc>
        <w:tc>
          <w:tcPr/>
          <w:p>
            <w:pPr>
              <w:pStyle w:val="Compact"/>
            </w:pPr>
            <w:r>
              <w:rPr>
                <w:sz w:val="17"/>
              </w:rPr>
              <w:t xml:space="preserve">Identité et compte contribuable</w:t>
            </w:r>
          </w:p>
        </w:tc>
        <w:tc>
          <w:tcPr/>
          <w:p>
            <w:pPr>
              <w:pStyle w:val="Compact"/>
            </w:pPr>
            <w:r>
              <w:rPr>
                <w:sz w:val="17"/>
              </w:rPr>
              <w:t xml:space="preserve">D1</w:t>
            </w:r>
          </w:p>
        </w:tc>
        <w:tc>
          <w:tcPr/>
          <w:p>
            <w:pPr>
              <w:pStyle w:val="Compact"/>
            </w:pPr>
            <w:r>
              <w:rPr>
                <w:sz w:val="17"/>
              </w:rPr>
              <w:t xml:space="preserve">T</w:t>
            </w:r>
          </w:p>
        </w:tc>
        <w:tc>
          <w:tcPr/>
          <w:p>
            <w:pPr>
              <w:pStyle w:val="Compact"/>
            </w:pPr>
            <w:r>
              <w:rPr>
                <w:sz w:val="17"/>
              </w:rPr>
              <w:t xml:space="preserve">R1</w:t>
            </w:r>
          </w:p>
        </w:tc>
      </w:tr>
      <w:tr>
        <w:tc>
          <w:tcPr>
            <w:shd w:val="clear" w:color="auto" w:fill="F5F7FB"/>
          </w:tcPr>
          <w:p>
            <w:pPr>
              <w:pStyle w:val="Compact"/>
            </w:pPr>
            <w:r>
              <w:rPr>
                <w:sz w:val="17"/>
              </w:rPr>
              <w:t xml:space="preserve">2</w:t>
            </w:r>
          </w:p>
        </w:tc>
        <w:tc>
          <w:tcPr>
            <w:shd w:val="clear" w:color="auto" w:fill="F5F7FB"/>
          </w:tcPr>
          <w:p>
            <w:pPr>
              <w:pStyle w:val="Compact"/>
            </w:pPr>
            <w:r>
              <w:rPr>
                <w:sz w:val="17"/>
              </w:rPr>
              <w:t xml:space="preserve">Enrôlement et vérification</w:t>
            </w:r>
          </w:p>
        </w:tc>
        <w:tc>
          <w:tcPr>
            <w:shd w:val="clear" w:color="auto" w:fill="F5F7FB"/>
          </w:tcPr>
          <w:p>
            <w:pPr>
              <w:pStyle w:val="Compact"/>
            </w:pPr>
            <w:r>
              <w:rPr>
                <w:sz w:val="17"/>
              </w:rPr>
              <w:t xml:space="preserve">D1</w:t>
            </w:r>
          </w:p>
        </w:tc>
        <w:tc>
          <w:tcPr>
            <w:shd w:val="clear" w:color="auto" w:fill="F5F7FB"/>
          </w:tcPr>
          <w:p>
            <w:pPr>
              <w:pStyle w:val="Compact"/>
            </w:pPr>
            <w:r>
              <w:rPr>
                <w:sz w:val="17"/>
              </w:rPr>
              <w:t xml:space="preserve">T</w:t>
            </w:r>
          </w:p>
        </w:tc>
        <w:tc>
          <w:tcPr>
            <w:shd w:val="clear" w:color="auto" w:fill="F5F7FB"/>
          </w:tcPr>
          <w:p>
            <w:pPr>
              <w:pStyle w:val="Compact"/>
            </w:pPr>
            <w:r>
              <w:rPr>
                <w:sz w:val="17"/>
              </w:rPr>
              <w:t xml:space="preserve">R1</w:t>
            </w:r>
          </w:p>
        </w:tc>
      </w:tr>
      <w:tr>
        <w:tc>
          <w:tcPr/>
          <w:p>
            <w:pPr>
              <w:pStyle w:val="Compact"/>
            </w:pPr>
            <w:r>
              <w:rPr>
                <w:sz w:val="17"/>
              </w:rPr>
              <w:t xml:space="preserve">3</w:t>
            </w:r>
          </w:p>
        </w:tc>
        <w:tc>
          <w:tcPr/>
          <w:p>
            <w:pPr>
              <w:pStyle w:val="Compact"/>
            </w:pPr>
            <w:r>
              <w:rPr>
                <w:sz w:val="17"/>
              </w:rPr>
              <w:t xml:space="preserve">Portail contribuable (self-service)</w:t>
            </w:r>
          </w:p>
        </w:tc>
        <w:tc>
          <w:tcPr/>
          <w:p>
            <w:pPr>
              <w:pStyle w:val="Compact"/>
            </w:pPr>
            <w:r>
              <w:rPr>
                <w:sz w:val="17"/>
              </w:rPr>
              <w:t xml:space="preserve">D1</w:t>
            </w:r>
          </w:p>
        </w:tc>
        <w:tc>
          <w:tcPr/>
          <w:p>
            <w:pPr>
              <w:pStyle w:val="Compact"/>
            </w:pPr>
            <w:r>
              <w:rPr>
                <w:sz w:val="17"/>
              </w:rPr>
              <w:t xml:space="preserve">T</w:t>
            </w:r>
          </w:p>
        </w:tc>
        <w:tc>
          <w:tcPr/>
          <w:p>
            <w:pPr>
              <w:pStyle w:val="Compact"/>
            </w:pPr>
            <w:r>
              <w:rPr>
                <w:sz w:val="17"/>
              </w:rPr>
              <w:t xml:space="preserve">R1</w:t>
            </w:r>
          </w:p>
        </w:tc>
      </w:tr>
      <w:tr>
        <w:tc>
          <w:tcPr>
            <w:shd w:val="clear" w:color="auto" w:fill="F5F7FB"/>
          </w:tcPr>
          <w:p>
            <w:pPr>
              <w:pStyle w:val="Compact"/>
            </w:pPr>
            <w:r>
              <w:rPr>
                <w:sz w:val="17"/>
              </w:rPr>
              <w:t xml:space="preserve">4</w:t>
            </w:r>
          </w:p>
        </w:tc>
        <w:tc>
          <w:tcPr>
            <w:shd w:val="clear" w:color="auto" w:fill="F5F7FB"/>
          </w:tcPr>
          <w:p>
            <w:pPr>
              <w:pStyle w:val="Compact"/>
            </w:pPr>
            <w:r>
              <w:rPr>
                <w:sz w:val="17"/>
              </w:rPr>
              <w:t xml:space="preserve">Application citoyenne Android</w:t>
            </w:r>
          </w:p>
        </w:tc>
        <w:tc>
          <w:tcPr>
            <w:shd w:val="clear" w:color="auto" w:fill="F5F7FB"/>
          </w:tcPr>
          <w:p>
            <w:pPr>
              <w:pStyle w:val="Compact"/>
            </w:pPr>
            <w:r>
              <w:rPr>
                <w:sz w:val="17"/>
              </w:rPr>
              <w:t xml:space="preserve">D1</w:t>
            </w:r>
          </w:p>
        </w:tc>
        <w:tc>
          <w:tcPr>
            <w:shd w:val="clear" w:color="auto" w:fill="F5F7FB"/>
          </w:tcPr>
          <w:p>
            <w:pPr>
              <w:pStyle w:val="Compact"/>
            </w:pPr>
            <w:r>
              <w:rPr>
                <w:sz w:val="17"/>
              </w:rPr>
              <w:t xml:space="preserve">T</w:t>
            </w:r>
          </w:p>
        </w:tc>
        <w:tc>
          <w:tcPr>
            <w:shd w:val="clear" w:color="auto" w:fill="F5F7FB"/>
          </w:tcPr>
          <w:p>
            <w:pPr>
              <w:pStyle w:val="Compact"/>
            </w:pPr>
            <w:r>
              <w:rPr>
                <w:sz w:val="17"/>
              </w:rPr>
              <w:t xml:space="preserve">R1</w:t>
            </w:r>
          </w:p>
        </w:tc>
      </w:tr>
      <w:tr>
        <w:tc>
          <w:tcPr/>
          <w:p>
            <w:pPr>
              <w:pStyle w:val="Compact"/>
            </w:pPr>
            <w:r>
              <w:rPr>
                <w:sz w:val="17"/>
              </w:rPr>
              <w:t xml:space="preserve">5</w:t>
            </w:r>
          </w:p>
        </w:tc>
        <w:tc>
          <w:tcPr/>
          <w:p>
            <w:pPr>
              <w:pStyle w:val="Compact"/>
            </w:pPr>
            <w:r>
              <w:rPr>
                <w:sz w:val="17"/>
              </w:rPr>
              <w:t xml:space="preserve">Portail web public</w:t>
            </w:r>
          </w:p>
        </w:tc>
        <w:tc>
          <w:tcPr/>
          <w:p>
            <w:pPr>
              <w:pStyle w:val="Compact"/>
            </w:pPr>
            <w:r>
              <w:rPr>
                <w:sz w:val="17"/>
              </w:rPr>
              <w:t xml:space="preserve">D1</w:t>
            </w:r>
          </w:p>
        </w:tc>
        <w:tc>
          <w:tcPr/>
          <w:p>
            <w:pPr>
              <w:pStyle w:val="Compact"/>
            </w:pPr>
            <w:r>
              <w:rPr>
                <w:sz w:val="17"/>
              </w:rPr>
              <w:t xml:space="preserve">T</w:t>
            </w:r>
          </w:p>
        </w:tc>
        <w:tc>
          <w:tcPr/>
          <w:p>
            <w:pPr>
              <w:pStyle w:val="Compact"/>
            </w:pPr>
            <w:r>
              <w:rPr>
                <w:sz w:val="17"/>
              </w:rPr>
              <w:t xml:space="preserve">R1</w:t>
            </w:r>
          </w:p>
        </w:tc>
      </w:tr>
      <w:tr>
        <w:tc>
          <w:tcPr>
            <w:shd w:val="clear" w:color="auto" w:fill="F5F7FB"/>
          </w:tcPr>
          <w:p>
            <w:pPr>
              <w:pStyle w:val="Compact"/>
            </w:pPr>
            <w:r>
              <w:rPr>
                <w:sz w:val="17"/>
              </w:rPr>
              <w:t xml:space="preserve">6</w:t>
            </w:r>
          </w:p>
        </w:tc>
        <w:tc>
          <w:tcPr>
            <w:shd w:val="clear" w:color="auto" w:fill="F5F7FB"/>
          </w:tcPr>
          <w:p>
            <w:pPr>
              <w:pStyle w:val="Compact"/>
            </w:pPr>
            <w:r>
              <w:rPr>
                <w:sz w:val="17"/>
              </w:rPr>
              <w:t xml:space="preserve">USSD et SMS</w:t>
            </w:r>
          </w:p>
        </w:tc>
        <w:tc>
          <w:tcPr>
            <w:shd w:val="clear" w:color="auto" w:fill="F5F7FB"/>
          </w:tcPr>
          <w:p>
            <w:pPr>
              <w:pStyle w:val="Compact"/>
            </w:pPr>
            <w:r>
              <w:rPr>
                <w:sz w:val="17"/>
              </w:rPr>
              <w:t xml:space="preserve">D1</w:t>
            </w:r>
          </w:p>
        </w:tc>
        <w:tc>
          <w:tcPr>
            <w:shd w:val="clear" w:color="auto" w:fill="F5F7FB"/>
          </w:tcPr>
          <w:p>
            <w:pPr>
              <w:pStyle w:val="Compact"/>
            </w:pPr>
            <w:r>
              <w:rPr>
                <w:sz w:val="17"/>
              </w:rPr>
              <w:t xml:space="preserve">T</w:t>
            </w:r>
          </w:p>
        </w:tc>
        <w:tc>
          <w:tcPr>
            <w:shd w:val="clear" w:color="auto" w:fill="F5F7FB"/>
          </w:tcPr>
          <w:p>
            <w:pPr>
              <w:pStyle w:val="Compact"/>
            </w:pPr>
            <w:r>
              <w:rPr>
                <w:sz w:val="17"/>
              </w:rPr>
              <w:t xml:space="preserve">R1</w:t>
            </w:r>
          </w:p>
        </w:tc>
      </w:tr>
      <w:tr>
        <w:tc>
          <w:tcPr/>
          <w:p>
            <w:pPr>
              <w:pStyle w:val="Compact"/>
            </w:pPr>
            <w:r>
              <w:rPr>
                <w:sz w:val="17"/>
              </w:rPr>
              <w:t xml:space="preserve">7</w:t>
            </w:r>
          </w:p>
        </w:tc>
        <w:tc>
          <w:tcPr/>
          <w:p>
            <w:pPr>
              <w:pStyle w:val="Compact"/>
            </w:pPr>
            <w:r>
              <w:rPr>
                <w:sz w:val="17"/>
              </w:rPr>
              <w:t xml:space="preserve">Gestionnaire des relations contribuable–objet</w:t>
            </w:r>
          </w:p>
        </w:tc>
        <w:tc>
          <w:tcPr/>
          <w:p>
            <w:pPr>
              <w:pStyle w:val="Compact"/>
            </w:pPr>
            <w:r>
              <w:rPr>
                <w:sz w:val="17"/>
              </w:rPr>
              <w:t xml:space="preserve">D2</w:t>
            </w:r>
          </w:p>
        </w:tc>
        <w:tc>
          <w:tcPr/>
          <w:p>
            <w:pPr>
              <w:pStyle w:val="Compact"/>
            </w:pPr>
            <w:r>
              <w:rPr>
                <w:sz w:val="17"/>
              </w:rPr>
              <w:t xml:space="preserve">T</w:t>
            </w:r>
          </w:p>
        </w:tc>
        <w:tc>
          <w:tcPr/>
          <w:p>
            <w:pPr>
              <w:pStyle w:val="Compact"/>
            </w:pPr>
            <w:r>
              <w:rPr>
                <w:sz w:val="17"/>
              </w:rPr>
              <w:t xml:space="preserve">R1</w:t>
            </w:r>
          </w:p>
        </w:tc>
      </w:tr>
      <w:tr>
        <w:tc>
          <w:tcPr>
            <w:shd w:val="clear" w:color="auto" w:fill="F5F7FB"/>
          </w:tcPr>
          <w:p>
            <w:pPr>
              <w:pStyle w:val="Compact"/>
            </w:pPr>
            <w:r>
              <w:rPr>
                <w:sz w:val="17"/>
              </w:rPr>
              <w:t xml:space="preserve">8</w:t>
            </w:r>
          </w:p>
        </w:tc>
        <w:tc>
          <w:tcPr>
            <w:shd w:val="clear" w:color="auto" w:fill="F5F7FB"/>
          </w:tcPr>
          <w:p>
            <w:pPr>
              <w:pStyle w:val="Compact"/>
            </w:pPr>
            <w:r>
              <w:rPr>
                <w:sz w:val="17"/>
              </w:rPr>
              <w:t xml:space="preserve">Cadastre fiscal géospatial</w:t>
            </w:r>
          </w:p>
        </w:tc>
        <w:tc>
          <w:tcPr>
            <w:shd w:val="clear" w:color="auto" w:fill="F5F7FB"/>
          </w:tcPr>
          <w:p>
            <w:pPr>
              <w:pStyle w:val="Compact"/>
            </w:pPr>
            <w:r>
              <w:rPr>
                <w:sz w:val="17"/>
              </w:rPr>
              <w:t xml:space="preserve">D2</w:t>
            </w:r>
          </w:p>
        </w:tc>
        <w:tc>
          <w:tcPr>
            <w:shd w:val="clear" w:color="auto" w:fill="F5F7FB"/>
          </w:tcPr>
          <w:p>
            <w:pPr>
              <w:pStyle w:val="Compact"/>
            </w:pPr>
            <w:r>
              <w:rPr>
                <w:sz w:val="17"/>
              </w:rPr>
              <w:t xml:space="preserve">T</w:t>
            </w:r>
          </w:p>
        </w:tc>
        <w:tc>
          <w:tcPr>
            <w:shd w:val="clear" w:color="auto" w:fill="F5F7FB"/>
          </w:tcPr>
          <w:p>
            <w:pPr>
              <w:pStyle w:val="Compact"/>
            </w:pPr>
            <w:r>
              <w:rPr>
                <w:sz w:val="17"/>
              </w:rPr>
              <w:t xml:space="preserve">R1</w:t>
            </w:r>
          </w:p>
        </w:tc>
      </w:tr>
      <w:tr>
        <w:tc>
          <w:tcPr/>
          <w:p>
            <w:pPr>
              <w:pStyle w:val="Compact"/>
            </w:pPr>
            <w:r>
              <w:rPr>
                <w:sz w:val="17"/>
              </w:rPr>
              <w:t xml:space="preserve">9</w:t>
            </w:r>
          </w:p>
        </w:tc>
        <w:tc>
          <w:tcPr/>
          <w:p>
            <w:pPr>
              <w:pStyle w:val="Compact"/>
            </w:pPr>
            <w:r>
              <w:rPr>
                <w:sz w:val="17"/>
              </w:rPr>
              <w:t xml:space="preserve">Intelligence foncière et locative</w:t>
            </w:r>
          </w:p>
        </w:tc>
        <w:tc>
          <w:tcPr/>
          <w:p>
            <w:pPr>
              <w:pStyle w:val="Compact"/>
            </w:pPr>
            <w:r>
              <w:rPr>
                <w:sz w:val="17"/>
              </w:rPr>
              <w:t xml:space="preserve">D2/D4</w:t>
            </w:r>
          </w:p>
        </w:tc>
        <w:tc>
          <w:tcPr/>
          <w:p>
            <w:pPr>
              <w:pStyle w:val="Compact"/>
            </w:pPr>
            <w:r>
              <w:rPr>
                <w:sz w:val="17"/>
              </w:rPr>
              <w:t xml:space="preserve">E</w:t>
            </w:r>
          </w:p>
        </w:tc>
        <w:tc>
          <w:tcPr/>
          <w:p>
            <w:pPr>
              <w:pStyle w:val="Compact"/>
            </w:pPr>
            <w:r>
              <w:rPr>
                <w:sz w:val="17"/>
              </w:rPr>
              <w:t xml:space="preserve">R1</w:t>
            </w:r>
          </w:p>
        </w:tc>
      </w:tr>
      <w:tr>
        <w:tc>
          <w:tcPr>
            <w:shd w:val="clear" w:color="auto" w:fill="F5F7FB"/>
          </w:tcPr>
          <w:p>
            <w:pPr>
              <w:pStyle w:val="Compact"/>
            </w:pPr>
            <w:r>
              <w:rPr>
                <w:sz w:val="17"/>
              </w:rPr>
              <w:t xml:space="preserve">10</w:t>
            </w:r>
          </w:p>
        </w:tc>
        <w:tc>
          <w:tcPr>
            <w:shd w:val="clear" w:color="auto" w:fill="F5F7FB"/>
          </w:tcPr>
          <w:p>
            <w:pPr>
              <w:pStyle w:val="Compact"/>
            </w:pPr>
            <w:r>
              <w:rPr>
                <w:sz w:val="17"/>
              </w:rPr>
              <w:t xml:space="preserve">Registre des activités et patentes</w:t>
            </w:r>
          </w:p>
        </w:tc>
        <w:tc>
          <w:tcPr>
            <w:shd w:val="clear" w:color="auto" w:fill="F5F7FB"/>
          </w:tcPr>
          <w:p>
            <w:pPr>
              <w:pStyle w:val="Compact"/>
            </w:pPr>
            <w:r>
              <w:rPr>
                <w:sz w:val="17"/>
              </w:rPr>
              <w:t xml:space="preserve">D2/D4</w:t>
            </w:r>
          </w:p>
        </w:tc>
        <w:tc>
          <w:tcPr>
            <w:shd w:val="clear" w:color="auto" w:fill="F5F7FB"/>
          </w:tcPr>
          <w:p>
            <w:pPr>
              <w:pStyle w:val="Compact"/>
            </w:pPr>
            <w:r>
              <w:rPr>
                <w:sz w:val="17"/>
              </w:rPr>
              <w:t xml:space="preserve">E</w:t>
            </w:r>
          </w:p>
        </w:tc>
        <w:tc>
          <w:tcPr>
            <w:shd w:val="clear" w:color="auto" w:fill="F5F7FB"/>
          </w:tcPr>
          <w:p>
            <w:pPr>
              <w:pStyle w:val="Compact"/>
            </w:pPr>
            <w:r>
              <w:rPr>
                <w:sz w:val="17"/>
              </w:rPr>
              <w:t xml:space="preserve">R2</w:t>
            </w:r>
          </w:p>
        </w:tc>
      </w:tr>
      <w:tr>
        <w:tc>
          <w:tcPr/>
          <w:p>
            <w:pPr>
              <w:pStyle w:val="Compact"/>
            </w:pPr>
            <w:r>
              <w:rPr>
                <w:sz w:val="17"/>
              </w:rPr>
              <w:t xml:space="preserve">11</w:t>
            </w:r>
          </w:p>
        </w:tc>
        <w:tc>
          <w:tcPr/>
          <w:p>
            <w:pPr>
              <w:pStyle w:val="Compact"/>
            </w:pPr>
            <w:r>
              <w:rPr>
                <w:sz w:val="17"/>
              </w:rPr>
              <w:t xml:space="preserve">Véhicules et circulation</w:t>
            </w:r>
          </w:p>
        </w:tc>
        <w:tc>
          <w:tcPr/>
          <w:p>
            <w:pPr>
              <w:pStyle w:val="Compact"/>
            </w:pPr>
            <w:r>
              <w:rPr>
                <w:sz w:val="17"/>
              </w:rPr>
              <w:t xml:space="preserve">D2/D4</w:t>
            </w:r>
          </w:p>
        </w:tc>
        <w:tc>
          <w:tcPr/>
          <w:p>
            <w:pPr>
              <w:pStyle w:val="Compact"/>
            </w:pPr>
            <w:r>
              <w:rPr>
                <w:sz w:val="17"/>
              </w:rPr>
              <w:t xml:space="preserve">E</w:t>
            </w:r>
          </w:p>
        </w:tc>
        <w:tc>
          <w:tcPr/>
          <w:p>
            <w:pPr>
              <w:pStyle w:val="Compact"/>
            </w:pPr>
            <w:r>
              <w:rPr>
                <w:sz w:val="17"/>
              </w:rPr>
              <w:t xml:space="preserve">R2</w:t>
            </w:r>
          </w:p>
        </w:tc>
      </w:tr>
      <w:tr>
        <w:tc>
          <w:tcPr>
            <w:shd w:val="clear" w:color="auto" w:fill="F5F7FB"/>
          </w:tcPr>
          <w:p>
            <w:pPr>
              <w:pStyle w:val="Compact"/>
            </w:pPr>
            <w:r>
              <w:rPr>
                <w:sz w:val="17"/>
              </w:rPr>
              <w:t xml:space="preserve">12</w:t>
            </w:r>
          </w:p>
        </w:tc>
        <w:tc>
          <w:tcPr>
            <w:shd w:val="clear" w:color="auto" w:fill="F5F7FB"/>
          </w:tcPr>
          <w:p>
            <w:pPr>
              <w:pStyle w:val="Compact"/>
            </w:pPr>
            <w:r>
              <w:rPr>
                <w:sz w:val="17"/>
              </w:rPr>
              <w:t xml:space="preserve">Autorisations de transport</w:t>
            </w:r>
          </w:p>
        </w:tc>
        <w:tc>
          <w:tcPr>
            <w:shd w:val="clear" w:color="auto" w:fill="F5F7FB"/>
          </w:tcPr>
          <w:p>
            <w:pPr>
              <w:pStyle w:val="Compact"/>
            </w:pPr>
            <w:r>
              <w:rPr>
                <w:sz w:val="17"/>
              </w:rPr>
              <w:t xml:space="preserve">D4</w:t>
            </w:r>
          </w:p>
        </w:tc>
        <w:tc>
          <w:tcPr>
            <w:shd w:val="clear" w:color="auto" w:fill="F5F7FB"/>
          </w:tcPr>
          <w:p>
            <w:pPr>
              <w:pStyle w:val="Compact"/>
            </w:pPr>
            <w:r>
              <w:rPr>
                <w:sz w:val="17"/>
              </w:rPr>
              <w:t xml:space="preserve">E</w:t>
            </w:r>
          </w:p>
        </w:tc>
        <w:tc>
          <w:tcPr>
            <w:shd w:val="clear" w:color="auto" w:fill="F5F7FB"/>
          </w:tcPr>
          <w:p>
            <w:pPr>
              <w:pStyle w:val="Compact"/>
            </w:pPr>
            <w:r>
              <w:rPr>
                <w:sz w:val="17"/>
              </w:rPr>
              <w:t xml:space="preserve">R2</w:t>
            </w:r>
          </w:p>
        </w:tc>
      </w:tr>
      <w:tr>
        <w:tc>
          <w:tcPr/>
          <w:p>
            <w:pPr>
              <w:pStyle w:val="Compact"/>
            </w:pPr>
            <w:r>
              <w:rPr>
                <w:sz w:val="17"/>
              </w:rPr>
              <w:t xml:space="preserve">13</w:t>
            </w:r>
          </w:p>
        </w:tc>
        <w:tc>
          <w:tcPr/>
          <w:p>
            <w:pPr>
              <w:pStyle w:val="Compact"/>
            </w:pPr>
            <w:r>
              <w:rPr>
                <w:sz w:val="17"/>
              </w:rPr>
              <w:t xml:space="preserve">Embarquement et débarquement</w:t>
            </w:r>
          </w:p>
        </w:tc>
        <w:tc>
          <w:tcPr/>
          <w:p>
            <w:pPr>
              <w:pStyle w:val="Compact"/>
            </w:pPr>
            <w:r>
              <w:rPr>
                <w:sz w:val="17"/>
              </w:rPr>
              <w:t xml:space="preserve">D4</w:t>
            </w:r>
          </w:p>
        </w:tc>
        <w:tc>
          <w:tcPr/>
          <w:p>
            <w:pPr>
              <w:pStyle w:val="Compact"/>
            </w:pPr>
            <w:r>
              <w:rPr>
                <w:sz w:val="17"/>
              </w:rPr>
              <w:t xml:space="preserve">E</w:t>
            </w:r>
          </w:p>
        </w:tc>
        <w:tc>
          <w:tcPr/>
          <w:p>
            <w:pPr>
              <w:pStyle w:val="Compact"/>
            </w:pPr>
            <w:r>
              <w:rPr>
                <w:sz w:val="17"/>
              </w:rPr>
              <w:t xml:space="preserve">R3</w:t>
            </w:r>
          </w:p>
        </w:tc>
      </w:tr>
      <w:tr>
        <w:tc>
          <w:tcPr>
            <w:shd w:val="clear" w:color="auto" w:fill="F5F7FB"/>
          </w:tcPr>
          <w:p>
            <w:pPr>
              <w:pStyle w:val="Compact"/>
            </w:pPr>
            <w:r>
              <w:rPr>
                <w:sz w:val="17"/>
              </w:rPr>
              <w:t xml:space="preserve">14</w:t>
            </w:r>
          </w:p>
        </w:tc>
        <w:tc>
          <w:tcPr>
            <w:shd w:val="clear" w:color="auto" w:fill="F5F7FB"/>
          </w:tcPr>
          <w:p>
            <w:pPr>
              <w:pStyle w:val="Compact"/>
            </w:pPr>
            <w:r>
              <w:rPr>
                <w:sz w:val="17"/>
              </w:rPr>
              <w:t xml:space="preserve">Stationnement public</w:t>
            </w:r>
          </w:p>
        </w:tc>
        <w:tc>
          <w:tcPr>
            <w:shd w:val="clear" w:color="auto" w:fill="F5F7FB"/>
          </w:tcPr>
          <w:p>
            <w:pPr>
              <w:pStyle w:val="Compact"/>
            </w:pPr>
            <w:r>
              <w:rPr>
                <w:sz w:val="17"/>
              </w:rPr>
              <w:t xml:space="preserve">D4</w:t>
            </w:r>
          </w:p>
        </w:tc>
        <w:tc>
          <w:tcPr>
            <w:shd w:val="clear" w:color="auto" w:fill="F5F7FB"/>
          </w:tcPr>
          <w:p>
            <w:pPr>
              <w:pStyle w:val="Compact"/>
            </w:pPr>
            <w:r>
              <w:rPr>
                <w:sz w:val="17"/>
              </w:rPr>
              <w:t xml:space="preserve">E/A (zonage, tarifs)</w:t>
            </w:r>
          </w:p>
        </w:tc>
        <w:tc>
          <w:tcPr>
            <w:shd w:val="clear" w:color="auto" w:fill="F5F7FB"/>
          </w:tcPr>
          <w:p>
            <w:pPr>
              <w:pStyle w:val="Compact"/>
            </w:pPr>
            <w:r>
              <w:rPr>
                <w:sz w:val="17"/>
              </w:rPr>
              <w:t xml:space="preserve">R2</w:t>
            </w:r>
          </w:p>
        </w:tc>
      </w:tr>
      <w:tr>
        <w:tc>
          <w:tcPr/>
          <w:p>
            <w:pPr>
              <w:pStyle w:val="Compact"/>
            </w:pPr>
            <w:r>
              <w:rPr>
                <w:sz w:val="17"/>
              </w:rPr>
              <w:t xml:space="preserve">15</w:t>
            </w:r>
          </w:p>
        </w:tc>
        <w:tc>
          <w:tcPr/>
          <w:p>
            <w:pPr>
              <w:pStyle w:val="Compact"/>
            </w:pPr>
            <w:r>
              <w:rPr>
                <w:sz w:val="17"/>
              </w:rPr>
              <w:t xml:space="preserve">Publicité extérieure</w:t>
            </w:r>
          </w:p>
        </w:tc>
        <w:tc>
          <w:tcPr/>
          <w:p>
            <w:pPr>
              <w:pStyle w:val="Compact"/>
            </w:pPr>
            <w:r>
              <w:rPr>
                <w:sz w:val="17"/>
              </w:rPr>
              <w:t xml:space="preserve">D4</w:t>
            </w:r>
          </w:p>
        </w:tc>
        <w:tc>
          <w:tcPr/>
          <w:p>
            <w:pPr>
              <w:pStyle w:val="Compact"/>
            </w:pPr>
            <w:r>
              <w:rPr>
                <w:sz w:val="17"/>
              </w:rPr>
              <w:t xml:space="preserve">E</w:t>
            </w:r>
          </w:p>
        </w:tc>
        <w:tc>
          <w:tcPr/>
          <w:p>
            <w:pPr>
              <w:pStyle w:val="Compact"/>
            </w:pPr>
            <w:r>
              <w:rPr>
                <w:sz w:val="17"/>
              </w:rPr>
              <w:t xml:space="preserve">R2</w:t>
            </w:r>
          </w:p>
        </w:tc>
      </w:tr>
      <w:tr>
        <w:tc>
          <w:tcPr>
            <w:shd w:val="clear" w:color="auto" w:fill="F5F7FB"/>
          </w:tcPr>
          <w:p>
            <w:pPr>
              <w:pStyle w:val="Compact"/>
            </w:pPr>
            <w:r>
              <w:rPr>
                <w:sz w:val="17"/>
              </w:rPr>
              <w:t xml:space="preserve">16</w:t>
            </w:r>
          </w:p>
        </w:tc>
        <w:tc>
          <w:tcPr>
            <w:shd w:val="clear" w:color="auto" w:fill="F5F7FB"/>
          </w:tcPr>
          <w:p>
            <w:pPr>
              <w:pStyle w:val="Compact"/>
            </w:pPr>
            <w:r>
              <w:rPr>
                <w:sz w:val="17"/>
              </w:rPr>
              <w:t xml:space="preserve">Antennes et infrastructures télécoms</w:t>
            </w:r>
          </w:p>
        </w:tc>
        <w:tc>
          <w:tcPr>
            <w:shd w:val="clear" w:color="auto" w:fill="F5F7FB"/>
          </w:tcPr>
          <w:p>
            <w:pPr>
              <w:pStyle w:val="Compact"/>
            </w:pPr>
            <w:r>
              <w:rPr>
                <w:sz w:val="17"/>
              </w:rPr>
              <w:t xml:space="preserve">D4</w:t>
            </w:r>
          </w:p>
        </w:tc>
        <w:tc>
          <w:tcPr>
            <w:shd w:val="clear" w:color="auto" w:fill="F5F7FB"/>
          </w:tcPr>
          <w:p>
            <w:pPr>
              <w:pStyle w:val="Compact"/>
            </w:pPr>
            <w:r>
              <w:rPr>
                <w:sz w:val="17"/>
              </w:rPr>
              <w:t xml:space="preserve">E</w:t>
            </w:r>
          </w:p>
        </w:tc>
        <w:tc>
          <w:tcPr>
            <w:shd w:val="clear" w:color="auto" w:fill="F5F7FB"/>
          </w:tcPr>
          <w:p>
            <w:pPr>
              <w:pStyle w:val="Compact"/>
            </w:pPr>
            <w:r>
              <w:rPr>
                <w:sz w:val="17"/>
              </w:rPr>
              <w:t xml:space="preserve">R2</w:t>
            </w:r>
          </w:p>
        </w:tc>
      </w:tr>
      <w:tr>
        <w:tc>
          <w:tcPr/>
          <w:p>
            <w:pPr>
              <w:pStyle w:val="Compact"/>
            </w:pPr>
            <w:r>
              <w:rPr>
                <w:sz w:val="17"/>
              </w:rPr>
              <w:t xml:space="preserve">17</w:t>
            </w:r>
          </w:p>
        </w:tc>
        <w:tc>
          <w:tcPr/>
          <w:p>
            <w:pPr>
              <w:pStyle w:val="Compact"/>
            </w:pPr>
            <w:r>
              <w:rPr>
                <w:sz w:val="17"/>
              </w:rPr>
              <w:t xml:space="preserve">Boissons, alcools et tabac</w:t>
            </w:r>
          </w:p>
        </w:tc>
        <w:tc>
          <w:tcPr/>
          <w:p>
            <w:pPr>
              <w:pStyle w:val="Compact"/>
            </w:pPr>
            <w:r>
              <w:rPr>
                <w:sz w:val="17"/>
              </w:rPr>
              <w:t xml:space="preserve">D4</w:t>
            </w:r>
          </w:p>
        </w:tc>
        <w:tc>
          <w:tcPr/>
          <w:p>
            <w:pPr>
              <w:pStyle w:val="Compact"/>
            </w:pPr>
            <w:r>
              <w:rPr>
                <w:sz w:val="17"/>
              </w:rPr>
              <w:t xml:space="preserve">E</w:t>
            </w:r>
          </w:p>
        </w:tc>
        <w:tc>
          <w:tcPr/>
          <w:p>
            <w:pPr>
              <w:pStyle w:val="Compact"/>
            </w:pPr>
            <w:r>
              <w:rPr>
                <w:sz w:val="17"/>
              </w:rPr>
              <w:t xml:space="preserve">R2</w:t>
            </w:r>
          </w:p>
        </w:tc>
      </w:tr>
      <w:tr>
        <w:tc>
          <w:tcPr>
            <w:shd w:val="clear" w:color="auto" w:fill="F5F7FB"/>
          </w:tcPr>
          <w:p>
            <w:pPr>
              <w:pStyle w:val="Compact"/>
            </w:pPr>
            <w:r>
              <w:rPr>
                <w:sz w:val="17"/>
              </w:rPr>
              <w:t xml:space="preserve">18</w:t>
            </w:r>
          </w:p>
        </w:tc>
        <w:tc>
          <w:tcPr>
            <w:shd w:val="clear" w:color="auto" w:fill="F5F7FB"/>
          </w:tcPr>
          <w:p>
            <w:pPr>
              <w:pStyle w:val="Compact"/>
            </w:pPr>
            <w:r>
              <w:rPr>
                <w:sz w:val="17"/>
              </w:rPr>
              <w:t xml:space="preserve">Plastiques et contributions environnementales</w:t>
            </w:r>
          </w:p>
        </w:tc>
        <w:tc>
          <w:tcPr>
            <w:shd w:val="clear" w:color="auto" w:fill="F5F7FB"/>
          </w:tcPr>
          <w:p>
            <w:pPr>
              <w:pStyle w:val="Compact"/>
            </w:pPr>
            <w:r>
              <w:rPr>
                <w:sz w:val="17"/>
              </w:rPr>
              <w:t xml:space="preserve">D4</w:t>
            </w:r>
          </w:p>
        </w:tc>
        <w:tc>
          <w:tcPr>
            <w:shd w:val="clear" w:color="auto" w:fill="F5F7FB"/>
          </w:tcPr>
          <w:p>
            <w:pPr>
              <w:pStyle w:val="Compact"/>
            </w:pPr>
            <w:r>
              <w:rPr>
                <w:b/>
                <w:bCs/>
                <w:sz w:val="17"/>
              </w:rPr>
              <w:t xml:space="preserve">A</w:t>
            </w:r>
          </w:p>
        </w:tc>
        <w:tc>
          <w:tcPr>
            <w:shd w:val="clear" w:color="auto" w:fill="F5F7FB"/>
          </w:tcPr>
          <w:p>
            <w:pPr>
              <w:pStyle w:val="Compact"/>
            </w:pPr>
            <w:r>
              <w:rPr>
                <w:sz w:val="17"/>
              </w:rPr>
              <w:t xml:space="preserve">R4 (après acte)</w:t>
            </w:r>
          </w:p>
        </w:tc>
      </w:tr>
      <w:tr>
        <w:tc>
          <w:tcPr/>
          <w:p>
            <w:pPr>
              <w:pStyle w:val="Compact"/>
            </w:pPr>
            <w:r>
              <w:rPr>
                <w:sz w:val="17"/>
              </w:rPr>
              <w:t xml:space="preserve">19</w:t>
            </w:r>
          </w:p>
        </w:tc>
        <w:tc>
          <w:tcPr/>
          <w:p>
            <w:pPr>
              <w:pStyle w:val="Compact"/>
            </w:pPr>
            <w:r>
              <w:rPr>
                <w:sz w:val="17"/>
              </w:rPr>
              <w:t xml:space="preserve">Assainissement, déchets, voirie et drainage</w:t>
            </w:r>
          </w:p>
        </w:tc>
        <w:tc>
          <w:tcPr/>
          <w:p>
            <w:pPr>
              <w:pStyle w:val="Compact"/>
            </w:pPr>
            <w:r>
              <w:rPr>
                <w:sz w:val="17"/>
              </w:rPr>
              <w:t xml:space="preserve">D4</w:t>
            </w:r>
          </w:p>
        </w:tc>
        <w:tc>
          <w:tcPr/>
          <w:p>
            <w:pPr>
              <w:pStyle w:val="Compact"/>
            </w:pPr>
            <w:r>
              <w:rPr>
                <w:sz w:val="17"/>
              </w:rPr>
              <w:t xml:space="preserve">E</w:t>
            </w:r>
          </w:p>
        </w:tc>
        <w:tc>
          <w:tcPr/>
          <w:p>
            <w:pPr>
              <w:pStyle w:val="Compact"/>
            </w:pPr>
            <w:r>
              <w:rPr>
                <w:sz w:val="17"/>
              </w:rPr>
              <w:t xml:space="preserve">R3</w:t>
            </w:r>
          </w:p>
        </w:tc>
      </w:tr>
      <w:tr>
        <w:tc>
          <w:tcPr>
            <w:shd w:val="clear" w:color="auto" w:fill="F5F7FB"/>
          </w:tcPr>
          <w:p>
            <w:pPr>
              <w:pStyle w:val="Compact"/>
            </w:pPr>
            <w:r>
              <w:rPr>
                <w:sz w:val="17"/>
              </w:rPr>
              <w:t xml:space="preserve">20</w:t>
            </w:r>
          </w:p>
        </w:tc>
        <w:tc>
          <w:tcPr>
            <w:shd w:val="clear" w:color="auto" w:fill="F5F7FB"/>
          </w:tcPr>
          <w:p>
            <w:pPr>
              <w:pStyle w:val="Compact"/>
            </w:pPr>
            <w:r>
              <w:rPr>
                <w:sz w:val="17"/>
              </w:rPr>
              <w:t xml:space="preserve">Marchés et occupation du domaine public</w:t>
            </w:r>
          </w:p>
        </w:tc>
        <w:tc>
          <w:tcPr>
            <w:shd w:val="clear" w:color="auto" w:fill="F5F7FB"/>
          </w:tcPr>
          <w:p>
            <w:pPr>
              <w:pStyle w:val="Compact"/>
            </w:pPr>
            <w:r>
              <w:rPr>
                <w:sz w:val="17"/>
              </w:rPr>
              <w:t xml:space="preserve">D4</w:t>
            </w:r>
          </w:p>
        </w:tc>
        <w:tc>
          <w:tcPr>
            <w:shd w:val="clear" w:color="auto" w:fill="F5F7FB"/>
          </w:tcPr>
          <w:p>
            <w:pPr>
              <w:pStyle w:val="Compact"/>
            </w:pPr>
            <w:r>
              <w:rPr>
                <w:sz w:val="17"/>
              </w:rPr>
              <w:t xml:space="preserve">E</w:t>
            </w:r>
          </w:p>
        </w:tc>
        <w:tc>
          <w:tcPr>
            <w:shd w:val="clear" w:color="auto" w:fill="F5F7FB"/>
          </w:tcPr>
          <w:p>
            <w:pPr>
              <w:pStyle w:val="Compact"/>
            </w:pPr>
            <w:r>
              <w:rPr>
                <w:sz w:val="17"/>
              </w:rPr>
              <w:t xml:space="preserve">R2</w:t>
            </w:r>
          </w:p>
        </w:tc>
      </w:tr>
      <w:tr>
        <w:tc>
          <w:tcPr/>
          <w:p>
            <w:pPr>
              <w:pStyle w:val="Compact"/>
            </w:pPr>
            <w:r>
              <w:rPr>
                <w:sz w:val="17"/>
              </w:rPr>
              <w:t xml:space="preserve">21</w:t>
            </w:r>
          </w:p>
        </w:tc>
        <w:tc>
          <w:tcPr/>
          <w:p>
            <w:pPr>
              <w:pStyle w:val="Compact"/>
            </w:pPr>
            <w:r>
              <w:rPr>
                <w:sz w:val="17"/>
              </w:rPr>
              <w:t xml:space="preserve">Spectacles, événements et divertissement</w:t>
            </w:r>
          </w:p>
        </w:tc>
        <w:tc>
          <w:tcPr/>
          <w:p>
            <w:pPr>
              <w:pStyle w:val="Compact"/>
            </w:pPr>
            <w:r>
              <w:rPr>
                <w:sz w:val="17"/>
              </w:rPr>
              <w:t xml:space="preserve">D4</w:t>
            </w:r>
          </w:p>
        </w:tc>
        <w:tc>
          <w:tcPr/>
          <w:p>
            <w:pPr>
              <w:pStyle w:val="Compact"/>
            </w:pPr>
            <w:r>
              <w:rPr>
                <w:sz w:val="17"/>
              </w:rPr>
              <w:t xml:space="preserve">E</w:t>
            </w:r>
          </w:p>
        </w:tc>
        <w:tc>
          <w:tcPr/>
          <w:p>
            <w:pPr>
              <w:pStyle w:val="Compact"/>
            </w:pPr>
            <w:r>
              <w:rPr>
                <w:sz w:val="17"/>
              </w:rPr>
              <w:t xml:space="preserve">R3</w:t>
            </w:r>
          </w:p>
        </w:tc>
      </w:tr>
      <w:tr>
        <w:tc>
          <w:tcPr>
            <w:shd w:val="clear" w:color="auto" w:fill="F5F7FB"/>
          </w:tcPr>
          <w:p>
            <w:pPr>
              <w:pStyle w:val="Compact"/>
            </w:pPr>
            <w:r>
              <w:rPr>
                <w:sz w:val="17"/>
              </w:rPr>
              <w:t xml:space="preserve">22</w:t>
            </w:r>
          </w:p>
        </w:tc>
        <w:tc>
          <w:tcPr>
            <w:shd w:val="clear" w:color="auto" w:fill="F5F7FB"/>
          </w:tcPr>
          <w:p>
            <w:pPr>
              <w:pStyle w:val="Compact"/>
            </w:pPr>
            <w:r>
              <w:rPr>
                <w:sz w:val="17"/>
              </w:rPr>
              <w:t xml:space="preserve">Carrières et recettes minières</w:t>
            </w:r>
          </w:p>
        </w:tc>
        <w:tc>
          <w:tcPr>
            <w:shd w:val="clear" w:color="auto" w:fill="F5F7FB"/>
          </w:tcPr>
          <w:p>
            <w:pPr>
              <w:pStyle w:val="Compact"/>
            </w:pPr>
            <w:r>
              <w:rPr>
                <w:sz w:val="17"/>
              </w:rPr>
              <w:t xml:space="preserve">D4</w:t>
            </w:r>
          </w:p>
        </w:tc>
        <w:tc>
          <w:tcPr>
            <w:shd w:val="clear" w:color="auto" w:fill="F5F7FB"/>
          </w:tcPr>
          <w:p>
            <w:pPr>
              <w:pStyle w:val="Compact"/>
            </w:pPr>
            <w:r>
              <w:rPr>
                <w:sz w:val="17"/>
              </w:rPr>
              <w:t xml:space="preserve">E</w:t>
            </w:r>
          </w:p>
        </w:tc>
        <w:tc>
          <w:tcPr>
            <w:shd w:val="clear" w:color="auto" w:fill="F5F7FB"/>
          </w:tcPr>
          <w:p>
            <w:pPr>
              <w:pStyle w:val="Compact"/>
            </w:pPr>
            <w:r>
              <w:rPr>
                <w:sz w:val="17"/>
              </w:rPr>
              <w:t xml:space="preserve">R3</w:t>
            </w:r>
          </w:p>
        </w:tc>
      </w:tr>
      <w:tr>
        <w:tc>
          <w:tcPr/>
          <w:p>
            <w:pPr>
              <w:pStyle w:val="Compact"/>
            </w:pPr>
            <w:r>
              <w:rPr>
                <w:sz w:val="17"/>
              </w:rPr>
              <w:t xml:space="preserve">23</w:t>
            </w:r>
          </w:p>
        </w:tc>
        <w:tc>
          <w:tcPr/>
          <w:p>
            <w:pPr>
              <w:pStyle w:val="Compact"/>
            </w:pPr>
            <w:r>
              <w:rPr>
                <w:sz w:val="17"/>
              </w:rPr>
              <w:t xml:space="preserve">Recettes forestières</w:t>
            </w:r>
          </w:p>
        </w:tc>
        <w:tc>
          <w:tcPr/>
          <w:p>
            <w:pPr>
              <w:pStyle w:val="Compact"/>
            </w:pPr>
            <w:r>
              <w:rPr>
                <w:sz w:val="17"/>
              </w:rPr>
              <w:t xml:space="preserve">D4</w:t>
            </w:r>
          </w:p>
        </w:tc>
        <w:tc>
          <w:tcPr/>
          <w:p>
            <w:pPr>
              <w:pStyle w:val="Compact"/>
            </w:pPr>
            <w:r>
              <w:rPr>
                <w:sz w:val="17"/>
              </w:rPr>
              <w:t xml:space="preserve">E</w:t>
            </w:r>
          </w:p>
        </w:tc>
        <w:tc>
          <w:tcPr/>
          <w:p>
            <w:pPr>
              <w:pStyle w:val="Compact"/>
            </w:pPr>
            <w:r>
              <w:rPr>
                <w:sz w:val="17"/>
              </w:rPr>
              <w:t xml:space="preserve">R4</w:t>
            </w:r>
          </w:p>
        </w:tc>
      </w:tr>
      <w:tr>
        <w:tc>
          <w:tcPr>
            <w:shd w:val="clear" w:color="auto" w:fill="F5F7FB"/>
          </w:tcPr>
          <w:p>
            <w:pPr>
              <w:pStyle w:val="Compact"/>
            </w:pPr>
            <w:r>
              <w:rPr>
                <w:sz w:val="17"/>
              </w:rPr>
              <w:t xml:space="preserve">24</w:t>
            </w:r>
          </w:p>
        </w:tc>
        <w:tc>
          <w:tcPr>
            <w:shd w:val="clear" w:color="auto" w:fill="F5F7FB"/>
          </w:tcPr>
          <w:p>
            <w:pPr>
              <w:pStyle w:val="Compact"/>
            </w:pPr>
            <w:r>
              <w:rPr>
                <w:sz w:val="17"/>
              </w:rPr>
              <w:t xml:space="preserve">Ports, embarcations et accostage</w:t>
            </w:r>
          </w:p>
        </w:tc>
        <w:tc>
          <w:tcPr>
            <w:shd w:val="clear" w:color="auto" w:fill="F5F7FB"/>
          </w:tcPr>
          <w:p>
            <w:pPr>
              <w:pStyle w:val="Compact"/>
            </w:pPr>
            <w:r>
              <w:rPr>
                <w:sz w:val="17"/>
              </w:rPr>
              <w:t xml:space="preserve">D4</w:t>
            </w:r>
          </w:p>
        </w:tc>
        <w:tc>
          <w:tcPr>
            <w:shd w:val="clear" w:color="auto" w:fill="F5F7FB"/>
          </w:tcPr>
          <w:p>
            <w:pPr>
              <w:pStyle w:val="Compact"/>
            </w:pPr>
            <w:r>
              <w:rPr>
                <w:sz w:val="17"/>
              </w:rPr>
              <w:t xml:space="preserve">E</w:t>
            </w:r>
          </w:p>
        </w:tc>
        <w:tc>
          <w:tcPr>
            <w:shd w:val="clear" w:color="auto" w:fill="F5F7FB"/>
          </w:tcPr>
          <w:p>
            <w:pPr>
              <w:pStyle w:val="Compact"/>
            </w:pPr>
            <w:r>
              <w:rPr>
                <w:sz w:val="17"/>
              </w:rPr>
              <w:t xml:space="preserve">R3</w:t>
            </w:r>
          </w:p>
        </w:tc>
      </w:tr>
      <w:tr>
        <w:tc>
          <w:tcPr/>
          <w:p>
            <w:pPr>
              <w:pStyle w:val="Compact"/>
            </w:pPr>
            <w:r>
              <w:rPr>
                <w:sz w:val="17"/>
              </w:rPr>
              <w:t xml:space="preserve">25</w:t>
            </w:r>
          </w:p>
        </w:tc>
        <w:tc>
          <w:tcPr/>
          <w:p>
            <w:pPr>
              <w:pStyle w:val="Compact"/>
            </w:pPr>
            <w:r>
              <w:rPr>
                <w:sz w:val="17"/>
              </w:rPr>
              <w:t xml:space="preserve">Péage provincial</w:t>
            </w:r>
          </w:p>
        </w:tc>
        <w:tc>
          <w:tcPr/>
          <w:p>
            <w:pPr>
              <w:pStyle w:val="Compact"/>
            </w:pPr>
            <w:r>
              <w:rPr>
                <w:sz w:val="17"/>
              </w:rPr>
              <w:t xml:space="preserve">D4</w:t>
            </w:r>
          </w:p>
        </w:tc>
        <w:tc>
          <w:tcPr/>
          <w:p>
            <w:pPr>
              <w:pStyle w:val="Compact"/>
            </w:pPr>
            <w:r>
              <w:rPr>
                <w:sz w:val="17"/>
              </w:rPr>
              <w:t xml:space="preserve">E/A</w:t>
            </w:r>
          </w:p>
        </w:tc>
        <w:tc>
          <w:tcPr/>
          <w:p>
            <w:pPr>
              <w:pStyle w:val="Compact"/>
            </w:pPr>
            <w:r>
              <w:rPr>
                <w:sz w:val="17"/>
              </w:rPr>
              <w:t xml:space="preserve">R4</w:t>
            </w:r>
          </w:p>
        </w:tc>
      </w:tr>
      <w:tr>
        <w:tc>
          <w:tcPr>
            <w:shd w:val="clear" w:color="auto" w:fill="F5F7FB"/>
          </w:tcPr>
          <w:p>
            <w:pPr>
              <w:pStyle w:val="Compact"/>
            </w:pPr>
            <w:r>
              <w:rPr>
                <w:sz w:val="17"/>
              </w:rPr>
              <w:t xml:space="preserve">26</w:t>
            </w:r>
          </w:p>
        </w:tc>
        <w:tc>
          <w:tcPr>
            <w:shd w:val="clear" w:color="auto" w:fill="F5F7FB"/>
          </w:tcPr>
          <w:p>
            <w:pPr>
              <w:pStyle w:val="Compact"/>
            </w:pPr>
            <w:r>
              <w:rPr>
                <w:sz w:val="17"/>
              </w:rPr>
              <w:t xml:space="preserve">Moteur de règles juridiques et tarifaires</w:t>
            </w:r>
          </w:p>
        </w:tc>
        <w:tc>
          <w:tcPr>
            <w:shd w:val="clear" w:color="auto" w:fill="F5F7FB"/>
          </w:tcPr>
          <w:p>
            <w:pPr>
              <w:pStyle w:val="Compact"/>
            </w:pPr>
            <w:r>
              <w:rPr>
                <w:sz w:val="17"/>
              </w:rPr>
              <w:t xml:space="preserve">D3</w:t>
            </w:r>
          </w:p>
        </w:tc>
        <w:tc>
          <w:tcPr>
            <w:shd w:val="clear" w:color="auto" w:fill="F5F7FB"/>
          </w:tcPr>
          <w:p>
            <w:pPr>
              <w:pStyle w:val="Compact"/>
            </w:pPr>
            <w:r>
              <w:rPr>
                <w:sz w:val="17"/>
              </w:rPr>
              <w:t xml:space="preserve">T</w:t>
            </w:r>
          </w:p>
        </w:tc>
        <w:tc>
          <w:tcPr>
            <w:shd w:val="clear" w:color="auto" w:fill="F5F7FB"/>
          </w:tcPr>
          <w:p>
            <w:pPr>
              <w:pStyle w:val="Compact"/>
            </w:pPr>
            <w:r>
              <w:rPr>
                <w:sz w:val="17"/>
              </w:rPr>
              <w:t xml:space="preserve">R1</w:t>
            </w:r>
          </w:p>
        </w:tc>
      </w:tr>
      <w:tr>
        <w:tc>
          <w:tcPr/>
          <w:p>
            <w:pPr>
              <w:pStyle w:val="Compact"/>
            </w:pPr>
            <w:r>
              <w:rPr>
                <w:sz w:val="17"/>
              </w:rPr>
              <w:t xml:space="preserve">27</w:t>
            </w:r>
          </w:p>
        </w:tc>
        <w:tc>
          <w:tcPr/>
          <w:p>
            <w:pPr>
              <w:pStyle w:val="Compact"/>
            </w:pPr>
            <w:r>
              <w:rPr>
                <w:sz w:val="17"/>
              </w:rPr>
              <w:t xml:space="preserve">Déclaration et liquidation</w:t>
            </w:r>
          </w:p>
        </w:tc>
        <w:tc>
          <w:tcPr/>
          <w:p>
            <w:pPr>
              <w:pStyle w:val="Compact"/>
            </w:pPr>
            <w:r>
              <w:rPr>
                <w:sz w:val="17"/>
              </w:rPr>
              <w:t xml:space="preserve">D4</w:t>
            </w:r>
          </w:p>
        </w:tc>
        <w:tc>
          <w:tcPr/>
          <w:p>
            <w:pPr>
              <w:pStyle w:val="Compact"/>
            </w:pPr>
            <w:r>
              <w:rPr>
                <w:sz w:val="17"/>
              </w:rPr>
              <w:t xml:space="preserve">T</w:t>
            </w:r>
          </w:p>
        </w:tc>
        <w:tc>
          <w:tcPr/>
          <w:p>
            <w:pPr>
              <w:pStyle w:val="Compact"/>
            </w:pPr>
            <w:r>
              <w:rPr>
                <w:sz w:val="17"/>
              </w:rPr>
              <w:t xml:space="preserve">R1</w:t>
            </w:r>
          </w:p>
        </w:tc>
      </w:tr>
      <w:tr>
        <w:tc>
          <w:tcPr>
            <w:shd w:val="clear" w:color="auto" w:fill="F5F7FB"/>
          </w:tcPr>
          <w:p>
            <w:pPr>
              <w:pStyle w:val="Compact"/>
            </w:pPr>
            <w:r>
              <w:rPr>
                <w:sz w:val="17"/>
              </w:rPr>
              <w:t xml:space="preserve">28</w:t>
            </w:r>
          </w:p>
        </w:tc>
        <w:tc>
          <w:tcPr>
            <w:shd w:val="clear" w:color="auto" w:fill="F5F7FB"/>
          </w:tcPr>
          <w:p>
            <w:pPr>
              <w:pStyle w:val="Compact"/>
            </w:pPr>
            <w:r>
              <w:rPr>
                <w:sz w:val="17"/>
              </w:rPr>
              <w:t xml:space="preserve">Orchestration des paiements</w:t>
            </w:r>
          </w:p>
        </w:tc>
        <w:tc>
          <w:tcPr>
            <w:shd w:val="clear" w:color="auto" w:fill="F5F7FB"/>
          </w:tcPr>
          <w:p>
            <w:pPr>
              <w:pStyle w:val="Compact"/>
            </w:pPr>
            <w:r>
              <w:rPr>
                <w:sz w:val="17"/>
              </w:rPr>
              <w:t xml:space="preserve">D5</w:t>
            </w:r>
          </w:p>
        </w:tc>
        <w:tc>
          <w:tcPr>
            <w:shd w:val="clear" w:color="auto" w:fill="F5F7FB"/>
          </w:tcPr>
          <w:p>
            <w:pPr>
              <w:pStyle w:val="Compact"/>
            </w:pPr>
            <w:r>
              <w:rPr>
                <w:sz w:val="17"/>
              </w:rPr>
              <w:t xml:space="preserve">T</w:t>
            </w:r>
          </w:p>
        </w:tc>
        <w:tc>
          <w:tcPr>
            <w:shd w:val="clear" w:color="auto" w:fill="F5F7FB"/>
          </w:tcPr>
          <w:p>
            <w:pPr>
              <w:pStyle w:val="Compact"/>
            </w:pPr>
            <w:r>
              <w:rPr>
                <w:sz w:val="17"/>
              </w:rPr>
              <w:t xml:space="preserve">R1</w:t>
            </w:r>
          </w:p>
        </w:tc>
      </w:tr>
      <w:tr>
        <w:tc>
          <w:tcPr/>
          <w:p>
            <w:pPr>
              <w:pStyle w:val="Compact"/>
            </w:pPr>
            <w:r>
              <w:rPr>
                <w:sz w:val="17"/>
              </w:rPr>
              <w:t xml:space="preserve">29</w:t>
            </w:r>
          </w:p>
        </w:tc>
        <w:tc>
          <w:tcPr/>
          <w:p>
            <w:pPr>
              <w:pStyle w:val="Compact"/>
            </w:pPr>
            <w:r>
              <w:rPr>
                <w:sz w:val="17"/>
              </w:rPr>
              <w:t xml:space="preserve">Règlement en trésorerie</w:t>
            </w:r>
          </w:p>
        </w:tc>
        <w:tc>
          <w:tcPr/>
          <w:p>
            <w:pPr>
              <w:pStyle w:val="Compact"/>
            </w:pPr>
            <w:r>
              <w:rPr>
                <w:sz w:val="17"/>
              </w:rPr>
              <w:t xml:space="preserve">D5</w:t>
            </w:r>
          </w:p>
        </w:tc>
        <w:tc>
          <w:tcPr/>
          <w:p>
            <w:pPr>
              <w:pStyle w:val="Compact"/>
            </w:pPr>
            <w:r>
              <w:rPr>
                <w:sz w:val="17"/>
              </w:rPr>
              <w:t xml:space="preserve">T</w:t>
            </w:r>
          </w:p>
        </w:tc>
        <w:tc>
          <w:tcPr/>
          <w:p>
            <w:pPr>
              <w:pStyle w:val="Compact"/>
            </w:pPr>
            <w:r>
              <w:rPr>
                <w:sz w:val="17"/>
              </w:rPr>
              <w:t xml:space="preserve">R1</w:t>
            </w:r>
          </w:p>
        </w:tc>
      </w:tr>
      <w:tr>
        <w:tc>
          <w:tcPr>
            <w:shd w:val="clear" w:color="auto" w:fill="F5F7FB"/>
          </w:tcPr>
          <w:p>
            <w:pPr>
              <w:pStyle w:val="Compact"/>
            </w:pPr>
            <w:r>
              <w:rPr>
                <w:sz w:val="17"/>
              </w:rPr>
              <w:t xml:space="preserve">30</w:t>
            </w:r>
          </w:p>
        </w:tc>
        <w:tc>
          <w:tcPr>
            <w:shd w:val="clear" w:color="auto" w:fill="F5F7FB"/>
          </w:tcPr>
          <w:p>
            <w:pPr>
              <w:pStyle w:val="Compact"/>
            </w:pPr>
            <w:r>
              <w:rPr>
                <w:sz w:val="17"/>
              </w:rPr>
              <w:t xml:space="preserve">Rapprochement</w:t>
            </w:r>
          </w:p>
        </w:tc>
        <w:tc>
          <w:tcPr>
            <w:shd w:val="clear" w:color="auto" w:fill="F5F7FB"/>
          </w:tcPr>
          <w:p>
            <w:pPr>
              <w:pStyle w:val="Compact"/>
            </w:pPr>
            <w:r>
              <w:rPr>
                <w:sz w:val="17"/>
              </w:rPr>
              <w:t xml:space="preserve">D5</w:t>
            </w:r>
          </w:p>
        </w:tc>
        <w:tc>
          <w:tcPr>
            <w:shd w:val="clear" w:color="auto" w:fill="F5F7FB"/>
          </w:tcPr>
          <w:p>
            <w:pPr>
              <w:pStyle w:val="Compact"/>
            </w:pPr>
            <w:r>
              <w:rPr>
                <w:sz w:val="17"/>
              </w:rPr>
              <w:t xml:space="preserve">T</w:t>
            </w:r>
          </w:p>
        </w:tc>
        <w:tc>
          <w:tcPr>
            <w:shd w:val="clear" w:color="auto" w:fill="F5F7FB"/>
          </w:tcPr>
          <w:p>
            <w:pPr>
              <w:pStyle w:val="Compact"/>
            </w:pPr>
            <w:r>
              <w:rPr>
                <w:sz w:val="17"/>
              </w:rPr>
              <w:t xml:space="preserve">R1</w:t>
            </w:r>
          </w:p>
        </w:tc>
      </w:tr>
      <w:tr>
        <w:tc>
          <w:tcPr/>
          <w:p>
            <w:pPr>
              <w:pStyle w:val="Compact"/>
            </w:pPr>
            <w:r>
              <w:rPr>
                <w:sz w:val="17"/>
              </w:rPr>
              <w:t xml:space="preserve">31</w:t>
            </w:r>
          </w:p>
        </w:tc>
        <w:tc>
          <w:tcPr/>
          <w:p>
            <w:pPr>
              <w:pStyle w:val="Compact"/>
            </w:pPr>
            <w:r>
              <w:rPr>
                <w:sz w:val="17"/>
              </w:rPr>
              <w:t xml:space="preserve">Quittances électroniques</w:t>
            </w:r>
          </w:p>
        </w:tc>
        <w:tc>
          <w:tcPr/>
          <w:p>
            <w:pPr>
              <w:pStyle w:val="Compact"/>
            </w:pPr>
            <w:r>
              <w:rPr>
                <w:sz w:val="17"/>
              </w:rPr>
              <w:t xml:space="preserve">D5</w:t>
            </w:r>
          </w:p>
        </w:tc>
        <w:tc>
          <w:tcPr/>
          <w:p>
            <w:pPr>
              <w:pStyle w:val="Compact"/>
            </w:pPr>
            <w:r>
              <w:rPr>
                <w:sz w:val="17"/>
              </w:rPr>
              <w:t xml:space="preserve">T</w:t>
            </w:r>
          </w:p>
        </w:tc>
        <w:tc>
          <w:tcPr/>
          <w:p>
            <w:pPr>
              <w:pStyle w:val="Compact"/>
            </w:pPr>
            <w:r>
              <w:rPr>
                <w:sz w:val="17"/>
              </w:rPr>
              <w:t xml:space="preserve">R1</w:t>
            </w:r>
          </w:p>
        </w:tc>
      </w:tr>
      <w:tr>
        <w:tc>
          <w:tcPr>
            <w:shd w:val="clear" w:color="auto" w:fill="F5F7FB"/>
          </w:tcPr>
          <w:p>
            <w:pPr>
              <w:pStyle w:val="Compact"/>
            </w:pPr>
            <w:r>
              <w:rPr>
                <w:sz w:val="17"/>
              </w:rPr>
              <w:t xml:space="preserve">32</w:t>
            </w:r>
          </w:p>
        </w:tc>
        <w:tc>
          <w:tcPr>
            <w:shd w:val="clear" w:color="auto" w:fill="F5F7FB"/>
          </w:tcPr>
          <w:p>
            <w:pPr>
              <w:pStyle w:val="Compact"/>
            </w:pPr>
            <w:r>
              <w:rPr>
                <w:sz w:val="17"/>
              </w:rPr>
              <w:t xml:space="preserve">Arriérés et créances</w:t>
            </w:r>
          </w:p>
        </w:tc>
        <w:tc>
          <w:tcPr>
            <w:shd w:val="clear" w:color="auto" w:fill="F5F7FB"/>
          </w:tcPr>
          <w:p>
            <w:pPr>
              <w:pStyle w:val="Compact"/>
            </w:pPr>
            <w:r>
              <w:rPr>
                <w:sz w:val="17"/>
              </w:rPr>
              <w:t xml:space="preserve">D4</w:t>
            </w:r>
          </w:p>
        </w:tc>
        <w:tc>
          <w:tcPr>
            <w:shd w:val="clear" w:color="auto" w:fill="F5F7FB"/>
          </w:tcPr>
          <w:p>
            <w:pPr>
              <w:pStyle w:val="Compact"/>
            </w:pPr>
            <w:r>
              <w:rPr>
                <w:sz w:val="17"/>
              </w:rPr>
              <w:t xml:space="preserve">T</w:t>
            </w:r>
          </w:p>
        </w:tc>
        <w:tc>
          <w:tcPr>
            <w:shd w:val="clear" w:color="auto" w:fill="F5F7FB"/>
          </w:tcPr>
          <w:p>
            <w:pPr>
              <w:pStyle w:val="Compact"/>
            </w:pPr>
            <w:r>
              <w:rPr>
                <w:sz w:val="17"/>
              </w:rPr>
              <w:t xml:space="preserve">R2</w:t>
            </w:r>
          </w:p>
        </w:tc>
      </w:tr>
      <w:tr>
        <w:tc>
          <w:tcPr/>
          <w:p>
            <w:pPr>
              <w:pStyle w:val="Compact"/>
            </w:pPr>
            <w:r>
              <w:rPr>
                <w:sz w:val="17"/>
              </w:rPr>
              <w:t xml:space="preserve">33</w:t>
            </w:r>
          </w:p>
        </w:tc>
        <w:tc>
          <w:tcPr/>
          <w:p>
            <w:pPr>
              <w:pStyle w:val="Compact"/>
            </w:pPr>
            <w:r>
              <w:rPr>
                <w:sz w:val="17"/>
              </w:rPr>
              <w:t xml:space="preserve">Campagnes de recouvrement</w:t>
            </w:r>
          </w:p>
        </w:tc>
        <w:tc>
          <w:tcPr/>
          <w:p>
            <w:pPr>
              <w:pStyle w:val="Compact"/>
            </w:pPr>
            <w:r>
              <w:rPr>
                <w:sz w:val="17"/>
              </w:rPr>
              <w:t xml:space="preserve">D6</w:t>
            </w:r>
          </w:p>
        </w:tc>
        <w:tc>
          <w:tcPr/>
          <w:p>
            <w:pPr>
              <w:pStyle w:val="Compact"/>
            </w:pPr>
            <w:r>
              <w:rPr>
                <w:sz w:val="17"/>
              </w:rPr>
              <w:t xml:space="preserve">T</w:t>
            </w:r>
          </w:p>
        </w:tc>
        <w:tc>
          <w:tcPr/>
          <w:p>
            <w:pPr>
              <w:pStyle w:val="Compact"/>
            </w:pPr>
            <w:r>
              <w:rPr>
                <w:sz w:val="17"/>
              </w:rPr>
              <w:t xml:space="preserve">R2</w:t>
            </w:r>
          </w:p>
        </w:tc>
      </w:tr>
      <w:tr>
        <w:tc>
          <w:tcPr>
            <w:shd w:val="clear" w:color="auto" w:fill="F5F7FB"/>
          </w:tcPr>
          <w:p>
            <w:pPr>
              <w:pStyle w:val="Compact"/>
            </w:pPr>
            <w:r>
              <w:rPr>
                <w:sz w:val="17"/>
              </w:rPr>
              <w:t xml:space="preserve">34</w:t>
            </w:r>
          </w:p>
        </w:tc>
        <w:tc>
          <w:tcPr>
            <w:shd w:val="clear" w:color="auto" w:fill="F5F7FB"/>
          </w:tcPr>
          <w:p>
            <w:pPr>
              <w:pStyle w:val="Compact"/>
            </w:pPr>
            <w:r>
              <w:rPr>
                <w:sz w:val="17"/>
              </w:rPr>
              <w:t xml:space="preserve">Recensement terrain</w:t>
            </w:r>
          </w:p>
        </w:tc>
        <w:tc>
          <w:tcPr>
            <w:shd w:val="clear" w:color="auto" w:fill="F5F7FB"/>
          </w:tcPr>
          <w:p>
            <w:pPr>
              <w:pStyle w:val="Compact"/>
            </w:pPr>
            <w:r>
              <w:rPr>
                <w:sz w:val="17"/>
              </w:rPr>
              <w:t xml:space="preserve">D6/D2</w:t>
            </w:r>
          </w:p>
        </w:tc>
        <w:tc>
          <w:tcPr>
            <w:shd w:val="clear" w:color="auto" w:fill="F5F7FB"/>
          </w:tcPr>
          <w:p>
            <w:pPr>
              <w:pStyle w:val="Compact"/>
            </w:pPr>
            <w:r>
              <w:rPr>
                <w:sz w:val="17"/>
              </w:rPr>
              <w:t xml:space="preserve">T</w:t>
            </w:r>
          </w:p>
        </w:tc>
        <w:tc>
          <w:tcPr>
            <w:shd w:val="clear" w:color="auto" w:fill="F5F7FB"/>
          </w:tcPr>
          <w:p>
            <w:pPr>
              <w:pStyle w:val="Compact"/>
            </w:pPr>
            <w:r>
              <w:rPr>
                <w:sz w:val="17"/>
              </w:rPr>
              <w:t xml:space="preserve">R1</w:t>
            </w:r>
          </w:p>
        </w:tc>
      </w:tr>
      <w:tr>
        <w:tc>
          <w:tcPr/>
          <w:p>
            <w:pPr>
              <w:pStyle w:val="Compact"/>
            </w:pPr>
            <w:r>
              <w:rPr>
                <w:sz w:val="17"/>
              </w:rPr>
              <w:t xml:space="preserve">35</w:t>
            </w:r>
          </w:p>
        </w:tc>
        <w:tc>
          <w:tcPr/>
          <w:p>
            <w:pPr>
              <w:pStyle w:val="Compact"/>
            </w:pPr>
            <w:r>
              <w:rPr>
                <w:sz w:val="17"/>
              </w:rPr>
              <w:t xml:space="preserve">Inspection et constat</w:t>
            </w:r>
          </w:p>
        </w:tc>
        <w:tc>
          <w:tcPr/>
          <w:p>
            <w:pPr>
              <w:pStyle w:val="Compact"/>
            </w:pPr>
            <w:r>
              <w:rPr>
                <w:sz w:val="17"/>
              </w:rPr>
              <w:t xml:space="preserve">D6</w:t>
            </w:r>
          </w:p>
        </w:tc>
        <w:tc>
          <w:tcPr/>
          <w:p>
            <w:pPr>
              <w:pStyle w:val="Compact"/>
            </w:pPr>
            <w:r>
              <w:rPr>
                <w:sz w:val="17"/>
              </w:rPr>
              <w:t xml:space="preserve">T</w:t>
            </w:r>
          </w:p>
        </w:tc>
        <w:tc>
          <w:tcPr/>
          <w:p>
            <w:pPr>
              <w:pStyle w:val="Compact"/>
            </w:pPr>
            <w:r>
              <w:rPr>
                <w:sz w:val="17"/>
              </w:rPr>
              <w:t xml:space="preserve">R1</w:t>
            </w:r>
          </w:p>
        </w:tc>
      </w:tr>
      <w:tr>
        <w:tc>
          <w:tcPr>
            <w:shd w:val="clear" w:color="auto" w:fill="F5F7FB"/>
          </w:tcPr>
          <w:p>
            <w:pPr>
              <w:pStyle w:val="Compact"/>
            </w:pPr>
            <w:r>
              <w:rPr>
                <w:sz w:val="17"/>
              </w:rPr>
              <w:t xml:space="preserve">36</w:t>
            </w:r>
          </w:p>
        </w:tc>
        <w:tc>
          <w:tcPr>
            <w:shd w:val="clear" w:color="auto" w:fill="F5F7FB"/>
          </w:tcPr>
          <w:p>
            <w:pPr>
              <w:pStyle w:val="Compact"/>
            </w:pPr>
            <w:r>
              <w:rPr>
                <w:sz w:val="17"/>
              </w:rPr>
              <w:t xml:space="preserve">Dossiers d’exécution (enforcement)</w:t>
            </w:r>
          </w:p>
        </w:tc>
        <w:tc>
          <w:tcPr>
            <w:shd w:val="clear" w:color="auto" w:fill="F5F7FB"/>
          </w:tcPr>
          <w:p>
            <w:pPr>
              <w:pStyle w:val="Compact"/>
            </w:pPr>
            <w:r>
              <w:rPr>
                <w:sz w:val="17"/>
              </w:rPr>
              <w:t xml:space="preserve">D6</w:t>
            </w:r>
          </w:p>
        </w:tc>
        <w:tc>
          <w:tcPr>
            <w:shd w:val="clear" w:color="auto" w:fill="F5F7FB"/>
          </w:tcPr>
          <w:p>
            <w:pPr>
              <w:pStyle w:val="Compact"/>
            </w:pPr>
            <w:r>
              <w:rPr>
                <w:sz w:val="17"/>
              </w:rPr>
              <w:t xml:space="preserve">E (procédure)</w:t>
            </w:r>
          </w:p>
        </w:tc>
        <w:tc>
          <w:tcPr>
            <w:shd w:val="clear" w:color="auto" w:fill="F5F7FB"/>
          </w:tcPr>
          <w:p>
            <w:pPr>
              <w:pStyle w:val="Compact"/>
            </w:pPr>
            <w:r>
              <w:rPr>
                <w:sz w:val="17"/>
              </w:rPr>
              <w:t xml:space="preserve">R3</w:t>
            </w:r>
          </w:p>
        </w:tc>
      </w:tr>
      <w:tr>
        <w:tc>
          <w:tcPr/>
          <w:p>
            <w:pPr>
              <w:pStyle w:val="Compact"/>
            </w:pPr>
            <w:r>
              <w:rPr>
                <w:sz w:val="17"/>
              </w:rPr>
              <w:t xml:space="preserve">37</w:t>
            </w:r>
          </w:p>
        </w:tc>
        <w:tc>
          <w:tcPr/>
          <w:p>
            <w:pPr>
              <w:pStyle w:val="Compact"/>
            </w:pPr>
            <w:r>
              <w:rPr>
                <w:sz w:val="17"/>
              </w:rPr>
              <w:t xml:space="preserve">Réclamations et recours</w:t>
            </w:r>
          </w:p>
        </w:tc>
        <w:tc>
          <w:tcPr/>
          <w:p>
            <w:pPr>
              <w:pStyle w:val="Compact"/>
            </w:pPr>
            <w:r>
              <w:rPr>
                <w:sz w:val="17"/>
              </w:rPr>
              <w:t xml:space="preserve">D6</w:t>
            </w:r>
          </w:p>
        </w:tc>
        <w:tc>
          <w:tcPr/>
          <w:p>
            <w:pPr>
              <w:pStyle w:val="Compact"/>
            </w:pPr>
            <w:r>
              <w:rPr>
                <w:sz w:val="17"/>
              </w:rPr>
              <w:t xml:space="preserve">E (procédure)</w:t>
            </w:r>
          </w:p>
        </w:tc>
        <w:tc>
          <w:tcPr/>
          <w:p>
            <w:pPr>
              <w:pStyle w:val="Compact"/>
            </w:pPr>
            <w:r>
              <w:rPr>
                <w:sz w:val="17"/>
              </w:rPr>
              <w:t xml:space="preserve">R1</w:t>
            </w:r>
          </w:p>
        </w:tc>
      </w:tr>
      <w:tr>
        <w:tc>
          <w:tcPr>
            <w:shd w:val="clear" w:color="auto" w:fill="F5F7FB"/>
          </w:tcPr>
          <w:p>
            <w:pPr>
              <w:pStyle w:val="Compact"/>
            </w:pPr>
            <w:r>
              <w:rPr>
                <w:sz w:val="17"/>
              </w:rPr>
              <w:t xml:space="preserve">38</w:t>
            </w:r>
          </w:p>
        </w:tc>
        <w:tc>
          <w:tcPr>
            <w:shd w:val="clear" w:color="auto" w:fill="F5F7FB"/>
          </w:tcPr>
          <w:p>
            <w:pPr>
              <w:pStyle w:val="Compact"/>
            </w:pPr>
            <w:r>
              <w:rPr>
                <w:sz w:val="17"/>
              </w:rPr>
              <w:t xml:space="preserve">Gestion documentaire</w:t>
            </w:r>
          </w:p>
        </w:tc>
        <w:tc>
          <w:tcPr>
            <w:shd w:val="clear" w:color="auto" w:fill="F5F7FB"/>
          </w:tcPr>
          <w:p>
            <w:pPr>
              <w:pStyle w:val="Compact"/>
            </w:pPr>
            <w:r>
              <w:rPr>
                <w:sz w:val="17"/>
              </w:rPr>
              <w:t xml:space="preserve">T</w:t>
            </w:r>
          </w:p>
        </w:tc>
        <w:tc>
          <w:tcPr>
            <w:shd w:val="clear" w:color="auto" w:fill="F5F7FB"/>
          </w:tcPr>
          <w:p>
            <w:pPr>
              <w:pStyle w:val="Compact"/>
            </w:pPr>
            <w:r>
              <w:rPr>
                <w:sz w:val="17"/>
              </w:rPr>
              <w:t xml:space="preserve">T</w:t>
            </w:r>
          </w:p>
        </w:tc>
        <w:tc>
          <w:tcPr>
            <w:shd w:val="clear" w:color="auto" w:fill="F5F7FB"/>
          </w:tcPr>
          <w:p>
            <w:pPr>
              <w:pStyle w:val="Compact"/>
            </w:pPr>
            <w:r>
              <w:rPr>
                <w:sz w:val="17"/>
              </w:rPr>
              <w:t xml:space="preserve">R1</w:t>
            </w:r>
          </w:p>
        </w:tc>
      </w:tr>
      <w:tr>
        <w:tc>
          <w:tcPr/>
          <w:p>
            <w:pPr>
              <w:pStyle w:val="Compact"/>
            </w:pPr>
            <w:r>
              <w:rPr>
                <w:sz w:val="17"/>
              </w:rPr>
              <w:t xml:space="preserve">39</w:t>
            </w:r>
          </w:p>
        </w:tc>
        <w:tc>
          <w:tcPr/>
          <w:p>
            <w:pPr>
              <w:pStyle w:val="Compact"/>
            </w:pPr>
            <w:r>
              <w:rPr>
                <w:sz w:val="17"/>
              </w:rPr>
              <w:t xml:space="preserve">Notifications et communication</w:t>
            </w:r>
          </w:p>
        </w:tc>
        <w:tc>
          <w:tcPr/>
          <w:p>
            <w:pPr>
              <w:pStyle w:val="Compact"/>
            </w:pPr>
            <w:r>
              <w:rPr>
                <w:sz w:val="17"/>
              </w:rPr>
              <w:t xml:space="preserve">T</w:t>
            </w:r>
          </w:p>
        </w:tc>
        <w:tc>
          <w:tcPr/>
          <w:p>
            <w:pPr>
              <w:pStyle w:val="Compact"/>
            </w:pPr>
            <w:r>
              <w:rPr>
                <w:sz w:val="17"/>
              </w:rPr>
              <w:t xml:space="preserve">T</w:t>
            </w:r>
          </w:p>
        </w:tc>
        <w:tc>
          <w:tcPr/>
          <w:p>
            <w:pPr>
              <w:pStyle w:val="Compact"/>
            </w:pPr>
            <w:r>
              <w:rPr>
                <w:sz w:val="17"/>
              </w:rPr>
              <w:t xml:space="preserve">R1</w:t>
            </w:r>
          </w:p>
        </w:tc>
      </w:tr>
      <w:tr>
        <w:tc>
          <w:tcPr>
            <w:shd w:val="clear" w:color="auto" w:fill="F5F7FB"/>
          </w:tcPr>
          <w:p>
            <w:pPr>
              <w:pStyle w:val="Compact"/>
            </w:pPr>
            <w:r>
              <w:rPr>
                <w:sz w:val="17"/>
              </w:rPr>
              <w:t xml:space="preserve">40</w:t>
            </w:r>
          </w:p>
        </w:tc>
        <w:tc>
          <w:tcPr>
            <w:shd w:val="clear" w:color="auto" w:fill="F5F7FB"/>
          </w:tcPr>
          <w:p>
            <w:pPr>
              <w:pStyle w:val="Compact"/>
            </w:pPr>
            <w:r>
              <w:rPr>
                <w:sz w:val="17"/>
              </w:rPr>
              <w:t xml:space="preserve">Renseignement anti-fraude</w:t>
            </w:r>
          </w:p>
        </w:tc>
        <w:tc>
          <w:tcPr>
            <w:shd w:val="clear" w:color="auto" w:fill="F5F7FB"/>
          </w:tcPr>
          <w:p>
            <w:pPr>
              <w:pStyle w:val="Compact"/>
            </w:pPr>
            <w:r>
              <w:rPr>
                <w:sz w:val="17"/>
              </w:rPr>
              <w:t xml:space="preserve">D7</w:t>
            </w:r>
          </w:p>
        </w:tc>
        <w:tc>
          <w:tcPr>
            <w:shd w:val="clear" w:color="auto" w:fill="F5F7FB"/>
          </w:tcPr>
          <w:p>
            <w:pPr>
              <w:pStyle w:val="Compact"/>
            </w:pPr>
            <w:r>
              <w:rPr>
                <w:sz w:val="17"/>
              </w:rPr>
              <w:t xml:space="preserve">T</w:t>
            </w:r>
          </w:p>
        </w:tc>
        <w:tc>
          <w:tcPr>
            <w:shd w:val="clear" w:color="auto" w:fill="F5F7FB"/>
          </w:tcPr>
          <w:p>
            <w:pPr>
              <w:pStyle w:val="Compact"/>
            </w:pPr>
            <w:r>
              <w:rPr>
                <w:sz w:val="17"/>
              </w:rPr>
              <w:t xml:space="preserve">R2</w:t>
            </w:r>
          </w:p>
        </w:tc>
      </w:tr>
      <w:tr>
        <w:tc>
          <w:tcPr/>
          <w:p>
            <w:pPr>
              <w:pStyle w:val="Compact"/>
            </w:pPr>
            <w:r>
              <w:rPr>
                <w:sz w:val="17"/>
              </w:rPr>
              <w:t xml:space="preserve">41</w:t>
            </w:r>
          </w:p>
        </w:tc>
        <w:tc>
          <w:tcPr/>
          <w:p>
            <w:pPr>
              <w:pStyle w:val="Compact"/>
            </w:pPr>
            <w:r>
              <w:rPr>
                <w:sz w:val="17"/>
              </w:rPr>
              <w:t xml:space="preserve">Centre de commandement exécutif</w:t>
            </w:r>
          </w:p>
        </w:tc>
        <w:tc>
          <w:tcPr/>
          <w:p>
            <w:pPr>
              <w:pStyle w:val="Compact"/>
            </w:pPr>
            <w:r>
              <w:rPr>
                <w:sz w:val="17"/>
              </w:rPr>
              <w:t xml:space="preserve">D7</w:t>
            </w:r>
          </w:p>
        </w:tc>
        <w:tc>
          <w:tcPr/>
          <w:p>
            <w:pPr>
              <w:pStyle w:val="Compact"/>
            </w:pPr>
            <w:r>
              <w:rPr>
                <w:sz w:val="17"/>
              </w:rPr>
              <w:t xml:space="preserve">T</w:t>
            </w:r>
          </w:p>
        </w:tc>
        <w:tc>
          <w:tcPr/>
          <w:p>
            <w:pPr>
              <w:pStyle w:val="Compact"/>
            </w:pPr>
            <w:r>
              <w:rPr>
                <w:sz w:val="17"/>
              </w:rPr>
              <w:t xml:space="preserve">R1</w:t>
            </w:r>
          </w:p>
        </w:tc>
      </w:tr>
      <w:tr>
        <w:tc>
          <w:tcPr>
            <w:shd w:val="clear" w:color="auto" w:fill="F5F7FB"/>
          </w:tcPr>
          <w:p>
            <w:pPr>
              <w:pStyle w:val="Compact"/>
            </w:pPr>
            <w:r>
              <w:rPr>
                <w:sz w:val="17"/>
              </w:rPr>
              <w:t xml:space="preserve">42</w:t>
            </w:r>
          </w:p>
        </w:tc>
        <w:tc>
          <w:tcPr>
            <w:shd w:val="clear" w:color="auto" w:fill="F5F7FB"/>
          </w:tcPr>
          <w:p>
            <w:pPr>
              <w:pStyle w:val="Compact"/>
            </w:pPr>
            <w:r>
              <w:rPr>
                <w:sz w:val="17"/>
              </w:rPr>
              <w:t xml:space="preserve">Tableau de bord DGIPK</w:t>
            </w:r>
          </w:p>
        </w:tc>
        <w:tc>
          <w:tcPr>
            <w:shd w:val="clear" w:color="auto" w:fill="F5F7FB"/>
          </w:tcPr>
          <w:p>
            <w:pPr>
              <w:pStyle w:val="Compact"/>
            </w:pPr>
            <w:r>
              <w:rPr>
                <w:sz w:val="17"/>
              </w:rPr>
              <w:t xml:space="preserve">D7</w:t>
            </w:r>
          </w:p>
        </w:tc>
        <w:tc>
          <w:tcPr>
            <w:shd w:val="clear" w:color="auto" w:fill="F5F7FB"/>
          </w:tcPr>
          <w:p>
            <w:pPr>
              <w:pStyle w:val="Compact"/>
            </w:pPr>
            <w:r>
              <w:rPr>
                <w:sz w:val="17"/>
              </w:rPr>
              <w:t xml:space="preserve">T</w:t>
            </w:r>
          </w:p>
        </w:tc>
        <w:tc>
          <w:tcPr>
            <w:shd w:val="clear" w:color="auto" w:fill="F5F7FB"/>
          </w:tcPr>
          <w:p>
            <w:pPr>
              <w:pStyle w:val="Compact"/>
            </w:pPr>
            <w:r>
              <w:rPr>
                <w:sz w:val="17"/>
              </w:rPr>
              <w:t xml:space="preserve">R1</w:t>
            </w:r>
          </w:p>
        </w:tc>
      </w:tr>
      <w:tr>
        <w:tc>
          <w:tcPr/>
          <w:p>
            <w:pPr>
              <w:pStyle w:val="Compact"/>
            </w:pPr>
            <w:r>
              <w:rPr>
                <w:sz w:val="17"/>
              </w:rPr>
              <w:t xml:space="preserve">43</w:t>
            </w:r>
          </w:p>
        </w:tc>
        <w:tc>
          <w:tcPr/>
          <w:p>
            <w:pPr>
              <w:pStyle w:val="Compact"/>
            </w:pPr>
            <w:r>
              <w:rPr>
                <w:sz w:val="17"/>
              </w:rPr>
              <w:t xml:space="preserve">Tableau de bord DGRK</w:t>
            </w:r>
          </w:p>
        </w:tc>
        <w:tc>
          <w:tcPr/>
          <w:p>
            <w:pPr>
              <w:pStyle w:val="Compact"/>
            </w:pPr>
            <w:r>
              <w:rPr>
                <w:sz w:val="17"/>
              </w:rPr>
              <w:t xml:space="preserve">D7</w:t>
            </w:r>
          </w:p>
        </w:tc>
        <w:tc>
          <w:tcPr/>
          <w:p>
            <w:pPr>
              <w:pStyle w:val="Compact"/>
            </w:pPr>
            <w:r>
              <w:rPr>
                <w:sz w:val="17"/>
              </w:rPr>
              <w:t xml:space="preserve">T</w:t>
            </w:r>
          </w:p>
        </w:tc>
        <w:tc>
          <w:tcPr/>
          <w:p>
            <w:pPr>
              <w:pStyle w:val="Compact"/>
            </w:pPr>
            <w:r>
              <w:rPr>
                <w:sz w:val="17"/>
              </w:rPr>
              <w:t xml:space="preserve">R1</w:t>
            </w:r>
          </w:p>
        </w:tc>
      </w:tr>
      <w:tr>
        <w:tc>
          <w:tcPr>
            <w:shd w:val="clear" w:color="auto" w:fill="F5F7FB"/>
          </w:tcPr>
          <w:p>
            <w:pPr>
              <w:pStyle w:val="Compact"/>
            </w:pPr>
            <w:r>
              <w:rPr>
                <w:sz w:val="17"/>
              </w:rPr>
              <w:t xml:space="preserve">44</w:t>
            </w:r>
          </w:p>
        </w:tc>
        <w:tc>
          <w:tcPr>
            <w:shd w:val="clear" w:color="auto" w:fill="F5F7FB"/>
          </w:tcPr>
          <w:p>
            <w:pPr>
              <w:pStyle w:val="Compact"/>
            </w:pPr>
            <w:r>
              <w:rPr>
                <w:sz w:val="17"/>
              </w:rPr>
              <w:t xml:space="preserve">Tableaux de bord ministériels</w:t>
            </w:r>
          </w:p>
        </w:tc>
        <w:tc>
          <w:tcPr>
            <w:shd w:val="clear" w:color="auto" w:fill="F5F7FB"/>
          </w:tcPr>
          <w:p>
            <w:pPr>
              <w:pStyle w:val="Compact"/>
            </w:pPr>
            <w:r>
              <w:rPr>
                <w:sz w:val="17"/>
              </w:rPr>
              <w:t xml:space="preserve">D7</w:t>
            </w:r>
          </w:p>
        </w:tc>
        <w:tc>
          <w:tcPr>
            <w:shd w:val="clear" w:color="auto" w:fill="F5F7FB"/>
          </w:tcPr>
          <w:p>
            <w:pPr>
              <w:pStyle w:val="Compact"/>
            </w:pPr>
            <w:r>
              <w:rPr>
                <w:sz w:val="17"/>
              </w:rPr>
              <w:t xml:space="preserve">T</w:t>
            </w:r>
          </w:p>
        </w:tc>
        <w:tc>
          <w:tcPr>
            <w:shd w:val="clear" w:color="auto" w:fill="F5F7FB"/>
          </w:tcPr>
          <w:p>
            <w:pPr>
              <w:pStyle w:val="Compact"/>
            </w:pPr>
            <w:r>
              <w:rPr>
                <w:sz w:val="17"/>
              </w:rPr>
              <w:t xml:space="preserve">R2</w:t>
            </w:r>
          </w:p>
        </w:tc>
      </w:tr>
      <w:tr>
        <w:tc>
          <w:tcPr/>
          <w:p>
            <w:pPr>
              <w:pStyle w:val="Compact"/>
            </w:pPr>
            <w:r>
              <w:rPr>
                <w:sz w:val="17"/>
              </w:rPr>
              <w:t xml:space="preserve">45</w:t>
            </w:r>
          </w:p>
        </w:tc>
        <w:tc>
          <w:tcPr/>
          <w:p>
            <w:pPr>
              <w:pStyle w:val="Compact"/>
            </w:pPr>
            <w:r>
              <w:rPr>
                <w:sz w:val="17"/>
              </w:rPr>
              <w:t xml:space="preserve">Salle de contrôle finances et trésorerie</w:t>
            </w:r>
          </w:p>
        </w:tc>
        <w:tc>
          <w:tcPr/>
          <w:p>
            <w:pPr>
              <w:pStyle w:val="Compact"/>
            </w:pPr>
            <w:r>
              <w:rPr>
                <w:sz w:val="17"/>
              </w:rPr>
              <w:t xml:space="preserve">D7</w:t>
            </w:r>
          </w:p>
        </w:tc>
        <w:tc>
          <w:tcPr/>
          <w:p>
            <w:pPr>
              <w:pStyle w:val="Compact"/>
            </w:pPr>
            <w:r>
              <w:rPr>
                <w:sz w:val="17"/>
              </w:rPr>
              <w:t xml:space="preserve">T</w:t>
            </w:r>
          </w:p>
        </w:tc>
        <w:tc>
          <w:tcPr/>
          <w:p>
            <w:pPr>
              <w:pStyle w:val="Compact"/>
            </w:pPr>
            <w:r>
              <w:rPr>
                <w:sz w:val="17"/>
              </w:rPr>
              <w:t xml:space="preserve">R1</w:t>
            </w:r>
          </w:p>
        </w:tc>
      </w:tr>
      <w:tr>
        <w:tc>
          <w:tcPr>
            <w:shd w:val="clear" w:color="auto" w:fill="F5F7FB"/>
          </w:tcPr>
          <w:p>
            <w:pPr>
              <w:pStyle w:val="Compact"/>
            </w:pPr>
            <w:r>
              <w:rPr>
                <w:sz w:val="17"/>
              </w:rPr>
              <w:t xml:space="preserve">46</w:t>
            </w:r>
          </w:p>
        </w:tc>
        <w:tc>
          <w:tcPr>
            <w:shd w:val="clear" w:color="auto" w:fill="F5F7FB"/>
          </w:tcPr>
          <w:p>
            <w:pPr>
              <w:pStyle w:val="Compact"/>
            </w:pPr>
            <w:r>
              <w:rPr>
                <w:sz w:val="17"/>
              </w:rPr>
              <w:t xml:space="preserve">Audit et investigation</w:t>
            </w:r>
          </w:p>
        </w:tc>
        <w:tc>
          <w:tcPr>
            <w:shd w:val="clear" w:color="auto" w:fill="F5F7FB"/>
          </w:tcPr>
          <w:p>
            <w:pPr>
              <w:pStyle w:val="Compact"/>
            </w:pPr>
            <w:r>
              <w:rPr>
                <w:sz w:val="17"/>
              </w:rPr>
              <w:t xml:space="preserve">D7</w:t>
            </w:r>
          </w:p>
        </w:tc>
        <w:tc>
          <w:tcPr>
            <w:shd w:val="clear" w:color="auto" w:fill="F5F7FB"/>
          </w:tcPr>
          <w:p>
            <w:pPr>
              <w:pStyle w:val="Compact"/>
            </w:pPr>
            <w:r>
              <w:rPr>
                <w:sz w:val="17"/>
              </w:rPr>
              <w:t xml:space="preserve">T</w:t>
            </w:r>
          </w:p>
        </w:tc>
        <w:tc>
          <w:tcPr>
            <w:shd w:val="clear" w:color="auto" w:fill="F5F7FB"/>
          </w:tcPr>
          <w:p>
            <w:pPr>
              <w:pStyle w:val="Compact"/>
            </w:pPr>
            <w:r>
              <w:rPr>
                <w:sz w:val="17"/>
              </w:rPr>
              <w:t xml:space="preserve">R1</w:t>
            </w:r>
          </w:p>
        </w:tc>
      </w:tr>
      <w:tr>
        <w:tc>
          <w:tcPr/>
          <w:p>
            <w:pPr>
              <w:pStyle w:val="Compact"/>
            </w:pPr>
            <w:r>
              <w:rPr>
                <w:sz w:val="17"/>
              </w:rPr>
              <w:t xml:space="preserve">47</w:t>
            </w:r>
          </w:p>
        </w:tc>
        <w:tc>
          <w:tcPr/>
          <w:p>
            <w:pPr>
              <w:pStyle w:val="Compact"/>
            </w:pPr>
            <w:r>
              <w:rPr>
                <w:sz w:val="17"/>
              </w:rPr>
              <w:t xml:space="preserve">Prévision des recettes</w:t>
            </w:r>
          </w:p>
        </w:tc>
        <w:tc>
          <w:tcPr/>
          <w:p>
            <w:pPr>
              <w:pStyle w:val="Compact"/>
            </w:pPr>
            <w:r>
              <w:rPr>
                <w:sz w:val="17"/>
              </w:rPr>
              <w:t xml:space="preserve">D7</w:t>
            </w:r>
          </w:p>
        </w:tc>
        <w:tc>
          <w:tcPr/>
          <w:p>
            <w:pPr>
              <w:pStyle w:val="Compact"/>
            </w:pPr>
            <w:r>
              <w:rPr>
                <w:sz w:val="17"/>
              </w:rPr>
              <w:t xml:space="preserve">T</w:t>
            </w:r>
          </w:p>
        </w:tc>
        <w:tc>
          <w:tcPr/>
          <w:p>
            <w:pPr>
              <w:pStyle w:val="Compact"/>
            </w:pPr>
            <w:r>
              <w:rPr>
                <w:sz w:val="17"/>
              </w:rPr>
              <w:t xml:space="preserve">R2</w:t>
            </w:r>
          </w:p>
        </w:tc>
      </w:tr>
      <w:tr>
        <w:tc>
          <w:tcPr>
            <w:shd w:val="clear" w:color="auto" w:fill="F5F7FB"/>
          </w:tcPr>
          <w:p>
            <w:pPr>
              <w:pStyle w:val="Compact"/>
            </w:pPr>
            <w:r>
              <w:rPr>
                <w:sz w:val="17"/>
              </w:rPr>
              <w:t xml:space="preserve">48</w:t>
            </w:r>
          </w:p>
        </w:tc>
        <w:tc>
          <w:tcPr>
            <w:shd w:val="clear" w:color="auto" w:fill="F5F7FB"/>
          </w:tcPr>
          <w:p>
            <w:pPr>
              <w:pStyle w:val="Compact"/>
            </w:pPr>
            <w:r>
              <w:rPr>
                <w:sz w:val="17"/>
              </w:rPr>
              <w:t xml:space="preserve">Recommandation d’investissement public</w:t>
            </w:r>
          </w:p>
        </w:tc>
        <w:tc>
          <w:tcPr>
            <w:shd w:val="clear" w:color="auto" w:fill="F5F7FB"/>
          </w:tcPr>
          <w:p>
            <w:pPr>
              <w:pStyle w:val="Compact"/>
            </w:pPr>
            <w:r>
              <w:rPr>
                <w:sz w:val="17"/>
              </w:rPr>
              <w:t xml:space="preserve">D7</w:t>
            </w:r>
          </w:p>
        </w:tc>
        <w:tc>
          <w:tcPr>
            <w:shd w:val="clear" w:color="auto" w:fill="F5F7FB"/>
          </w:tcPr>
          <w:p>
            <w:pPr>
              <w:pStyle w:val="Compact"/>
            </w:pPr>
            <w:r>
              <w:rPr>
                <w:sz w:val="17"/>
              </w:rPr>
              <w:t xml:space="preserve">T</w:t>
            </w:r>
          </w:p>
        </w:tc>
        <w:tc>
          <w:tcPr>
            <w:shd w:val="clear" w:color="auto" w:fill="F5F7FB"/>
          </w:tcPr>
          <w:p>
            <w:pPr>
              <w:pStyle w:val="Compact"/>
            </w:pPr>
            <w:r>
              <w:rPr>
                <w:sz w:val="17"/>
              </w:rPr>
              <w:t xml:space="preserve">R3</w:t>
            </w:r>
          </w:p>
        </w:tc>
      </w:tr>
      <w:tr>
        <w:tc>
          <w:tcPr/>
          <w:p>
            <w:pPr>
              <w:pStyle w:val="Compact"/>
            </w:pPr>
            <w:r>
              <w:rPr>
                <w:sz w:val="17"/>
              </w:rPr>
              <w:t xml:space="preserve">49</w:t>
            </w:r>
          </w:p>
        </w:tc>
        <w:tc>
          <w:tcPr/>
          <w:p>
            <w:pPr>
              <w:pStyle w:val="Compact"/>
            </w:pPr>
            <w:r>
              <w:rPr>
                <w:sz w:val="17"/>
              </w:rPr>
              <w:t xml:space="preserve">Gestion des agents d’IA</w:t>
            </w:r>
          </w:p>
        </w:tc>
        <w:tc>
          <w:tcPr/>
          <w:p>
            <w:pPr>
              <w:pStyle w:val="Compact"/>
            </w:pPr>
            <w:r>
              <w:rPr>
                <w:sz w:val="17"/>
              </w:rPr>
              <w:t xml:space="preserve">D7</w:t>
            </w:r>
          </w:p>
        </w:tc>
        <w:tc>
          <w:tcPr/>
          <w:p>
            <w:pPr>
              <w:pStyle w:val="Compact"/>
            </w:pPr>
            <w:r>
              <w:rPr>
                <w:sz w:val="17"/>
              </w:rPr>
              <w:t xml:space="preserve">T</w:t>
            </w:r>
          </w:p>
        </w:tc>
        <w:tc>
          <w:tcPr/>
          <w:p>
            <w:pPr>
              <w:pStyle w:val="Compact"/>
            </w:pPr>
            <w:r>
              <w:rPr>
                <w:sz w:val="17"/>
              </w:rPr>
              <w:t xml:space="preserve">R2</w:t>
            </w:r>
          </w:p>
        </w:tc>
      </w:tr>
      <w:tr>
        <w:tc>
          <w:tcPr>
            <w:shd w:val="clear" w:color="auto" w:fill="F5F7FB"/>
          </w:tcPr>
          <w:p>
            <w:pPr>
              <w:pStyle w:val="Compact"/>
            </w:pPr>
            <w:r>
              <w:rPr>
                <w:sz w:val="17"/>
              </w:rPr>
              <w:t xml:space="preserve">50</w:t>
            </w:r>
          </w:p>
        </w:tc>
        <w:tc>
          <w:tcPr>
            <w:shd w:val="clear" w:color="auto" w:fill="F5F7FB"/>
          </w:tcPr>
          <w:p>
            <w:pPr>
              <w:pStyle w:val="Compact"/>
            </w:pPr>
            <w:r>
              <w:rPr>
                <w:sz w:val="17"/>
              </w:rPr>
              <w:t xml:space="preserve">Apprentissage et connaissance</w:t>
            </w:r>
          </w:p>
        </w:tc>
        <w:tc>
          <w:tcPr>
            <w:shd w:val="clear" w:color="auto" w:fill="F5F7FB"/>
          </w:tcPr>
          <w:p>
            <w:pPr>
              <w:pStyle w:val="Compact"/>
            </w:pPr>
            <w:r>
              <w:rPr>
                <w:sz w:val="17"/>
              </w:rPr>
              <w:t xml:space="preserve">T</w:t>
            </w:r>
          </w:p>
        </w:tc>
        <w:tc>
          <w:tcPr>
            <w:shd w:val="clear" w:color="auto" w:fill="F5F7FB"/>
          </w:tcPr>
          <w:p>
            <w:pPr>
              <w:pStyle w:val="Compact"/>
            </w:pPr>
            <w:r>
              <w:rPr>
                <w:sz w:val="17"/>
              </w:rPr>
              <w:t xml:space="preserve">T</w:t>
            </w:r>
          </w:p>
        </w:tc>
        <w:tc>
          <w:tcPr>
            <w:shd w:val="clear" w:color="auto" w:fill="F5F7FB"/>
          </w:tcPr>
          <w:p>
            <w:pPr>
              <w:pStyle w:val="Compact"/>
            </w:pPr>
            <w:r>
              <w:rPr>
                <w:sz w:val="17"/>
              </w:rPr>
              <w:t xml:space="preserve">R1</w:t>
            </w:r>
          </w:p>
        </w:tc>
      </w:tr>
      <w:tr>
        <w:tc>
          <w:tcPr/>
          <w:p>
            <w:pPr>
              <w:pStyle w:val="Compact"/>
            </w:pPr>
            <w:r>
              <w:rPr>
                <w:sz w:val="17"/>
              </w:rPr>
              <w:t xml:space="preserve">51</w:t>
            </w:r>
          </w:p>
        </w:tc>
        <w:tc>
          <w:tcPr/>
          <w:p>
            <w:pPr>
              <w:pStyle w:val="Compact"/>
            </w:pPr>
            <w:r>
              <w:rPr>
                <w:sz w:val="17"/>
              </w:rPr>
              <w:t xml:space="preserve">Accès, rôles et délégations</w:t>
            </w:r>
          </w:p>
        </w:tc>
        <w:tc>
          <w:tcPr/>
          <w:p>
            <w:pPr>
              <w:pStyle w:val="Compact"/>
            </w:pPr>
            <w:r>
              <w:rPr>
                <w:sz w:val="17"/>
              </w:rPr>
              <w:t xml:space="preserve">T</w:t>
            </w:r>
          </w:p>
        </w:tc>
        <w:tc>
          <w:tcPr/>
          <w:p>
            <w:pPr>
              <w:pStyle w:val="Compact"/>
            </w:pPr>
            <w:r>
              <w:rPr>
                <w:sz w:val="17"/>
              </w:rPr>
              <w:t xml:space="preserve">T</w:t>
            </w:r>
          </w:p>
        </w:tc>
        <w:tc>
          <w:tcPr/>
          <w:p>
            <w:pPr>
              <w:pStyle w:val="Compact"/>
            </w:pPr>
            <w:r>
              <w:rPr>
                <w:sz w:val="17"/>
              </w:rPr>
              <w:t xml:space="preserve">R1</w:t>
            </w:r>
          </w:p>
        </w:tc>
      </w:tr>
      <w:tr>
        <w:tc>
          <w:tcPr>
            <w:shd w:val="clear" w:color="auto" w:fill="F5F7FB"/>
          </w:tcPr>
          <w:p>
            <w:pPr>
              <w:pStyle w:val="Compact"/>
            </w:pPr>
            <w:r>
              <w:rPr>
                <w:sz w:val="17"/>
              </w:rPr>
              <w:t xml:space="preserve">52</w:t>
            </w:r>
          </w:p>
        </w:tc>
        <w:tc>
          <w:tcPr>
            <w:shd w:val="clear" w:color="auto" w:fill="F5F7FB"/>
          </w:tcPr>
          <w:p>
            <w:pPr>
              <w:pStyle w:val="Compact"/>
            </w:pPr>
            <w:r>
              <w:rPr>
                <w:sz w:val="17"/>
              </w:rPr>
              <w:t xml:space="preserve">Intégration et API</w:t>
            </w:r>
          </w:p>
        </w:tc>
        <w:tc>
          <w:tcPr>
            <w:shd w:val="clear" w:color="auto" w:fill="F5F7FB"/>
          </w:tcPr>
          <w:p>
            <w:pPr>
              <w:pStyle w:val="Compact"/>
            </w:pPr>
            <w:r>
              <w:rPr>
                <w:sz w:val="17"/>
              </w:rPr>
              <w:t xml:space="preserve">T</w:t>
            </w:r>
          </w:p>
        </w:tc>
        <w:tc>
          <w:tcPr>
            <w:shd w:val="clear" w:color="auto" w:fill="F5F7FB"/>
          </w:tcPr>
          <w:p>
            <w:pPr>
              <w:pStyle w:val="Compact"/>
            </w:pPr>
            <w:r>
              <w:rPr>
                <w:sz w:val="17"/>
              </w:rPr>
              <w:t xml:space="preserve">T</w:t>
            </w:r>
          </w:p>
        </w:tc>
        <w:tc>
          <w:tcPr>
            <w:shd w:val="clear" w:color="auto" w:fill="F5F7FB"/>
          </w:tcPr>
          <w:p>
            <w:pPr>
              <w:pStyle w:val="Compact"/>
            </w:pPr>
            <w:r>
              <w:rPr>
                <w:sz w:val="17"/>
              </w:rPr>
              <w:t xml:space="preserve">R1</w:t>
            </w:r>
          </w:p>
        </w:tc>
      </w:tr>
      <w:tr>
        <w:tc>
          <w:tcPr/>
          <w:p>
            <w:pPr>
              <w:pStyle w:val="Compact"/>
            </w:pPr>
            <w:r>
              <w:rPr>
                <w:sz w:val="17"/>
              </w:rPr>
              <w:t xml:space="preserve">53</w:t>
            </w:r>
          </w:p>
        </w:tc>
        <w:tc>
          <w:tcPr/>
          <w:p>
            <w:pPr>
              <w:pStyle w:val="Compact"/>
            </w:pPr>
            <w:r>
              <w:rPr>
                <w:sz w:val="17"/>
              </w:rPr>
              <w:t xml:space="preserve">Administration de la plateforme</w:t>
            </w:r>
          </w:p>
        </w:tc>
        <w:tc>
          <w:tcPr/>
          <w:p>
            <w:pPr>
              <w:pStyle w:val="Compact"/>
            </w:pPr>
            <w:r>
              <w:rPr>
                <w:sz w:val="17"/>
              </w:rPr>
              <w:t xml:space="preserve">T</w:t>
            </w:r>
          </w:p>
        </w:tc>
        <w:tc>
          <w:tcPr/>
          <w:p>
            <w:pPr>
              <w:pStyle w:val="Compact"/>
            </w:pPr>
            <w:r>
              <w:rPr>
                <w:sz w:val="17"/>
              </w:rPr>
              <w:t xml:space="preserve">T</w:t>
            </w:r>
          </w:p>
        </w:tc>
        <w:tc>
          <w:tcPr/>
          <w:p>
            <w:pPr>
              <w:pStyle w:val="Compact"/>
            </w:pPr>
            <w:r>
              <w:rPr>
                <w:sz w:val="17"/>
              </w:rPr>
              <w:t xml:space="preserve">R1</w:t>
            </w:r>
          </w:p>
        </w:tc>
      </w:tr>
      <w:tr>
        <w:tc>
          <w:tcPr>
            <w:shd w:val="clear" w:color="auto" w:fill="F5F7FB"/>
          </w:tcPr>
          <w:p>
            <w:pPr>
              <w:pStyle w:val="Compact"/>
            </w:pPr>
            <w:r>
              <w:rPr>
                <w:sz w:val="17"/>
              </w:rPr>
              <w:t xml:space="preserve">54</w:t>
            </w:r>
          </w:p>
        </w:tc>
        <w:tc>
          <w:tcPr>
            <w:shd w:val="clear" w:color="auto" w:fill="F5F7FB"/>
          </w:tcPr>
          <w:p>
            <w:pPr>
              <w:pStyle w:val="Compact"/>
            </w:pPr>
            <w:r>
              <w:rPr>
                <w:sz w:val="17"/>
              </w:rPr>
              <w:t xml:space="preserve">Transparence publique</w:t>
            </w:r>
          </w:p>
        </w:tc>
        <w:tc>
          <w:tcPr>
            <w:shd w:val="clear" w:color="auto" w:fill="F5F7FB"/>
          </w:tcPr>
          <w:p>
            <w:pPr>
              <w:pStyle w:val="Compact"/>
            </w:pPr>
            <w:r>
              <w:rPr>
                <w:sz w:val="17"/>
              </w:rPr>
              <w:t xml:space="preserve">D7</w:t>
            </w:r>
          </w:p>
        </w:tc>
        <w:tc>
          <w:tcPr>
            <w:shd w:val="clear" w:color="auto" w:fill="F5F7FB"/>
          </w:tcPr>
          <w:p>
            <w:pPr>
              <w:pStyle w:val="Compact"/>
            </w:pPr>
            <w:r>
              <w:rPr>
                <w:sz w:val="17"/>
              </w:rPr>
              <w:t xml:space="preserve">T</w:t>
            </w:r>
          </w:p>
        </w:tc>
        <w:tc>
          <w:tcPr>
            <w:shd w:val="clear" w:color="auto" w:fill="F5F7FB"/>
          </w:tcPr>
          <w:p>
            <w:pPr>
              <w:pStyle w:val="Compact"/>
            </w:pPr>
            <w:r>
              <w:rPr>
                <w:sz w:val="17"/>
              </w:rPr>
              <w:t xml:space="preserve">R2</w:t>
            </w:r>
          </w:p>
        </w:tc>
      </w:tr>
      <w:tr>
        <w:tc>
          <w:tcPr/>
          <w:p>
            <w:pPr>
              <w:pStyle w:val="Compact"/>
            </w:pPr>
            <w:r>
              <w:rPr>
                <w:sz w:val="17"/>
              </w:rPr>
              <w:t xml:space="preserve">55</w:t>
            </w:r>
          </w:p>
        </w:tc>
        <w:tc>
          <w:tcPr/>
          <w:p>
            <w:pPr>
              <w:pStyle w:val="Compact"/>
            </w:pPr>
            <w:r>
              <w:rPr>
                <w:sz w:val="17"/>
              </w:rPr>
              <w:t xml:space="preserve">Supervision et santé du système</w:t>
            </w:r>
          </w:p>
        </w:tc>
        <w:tc>
          <w:tcPr/>
          <w:p>
            <w:pPr>
              <w:pStyle w:val="Compact"/>
            </w:pPr>
            <w:r>
              <w:rPr>
                <w:sz w:val="17"/>
              </w:rPr>
              <w:t xml:space="preserve">T</w:t>
            </w:r>
          </w:p>
        </w:tc>
        <w:tc>
          <w:tcPr/>
          <w:p>
            <w:pPr>
              <w:pStyle w:val="Compact"/>
            </w:pPr>
            <w:r>
              <w:rPr>
                <w:sz w:val="17"/>
              </w:rPr>
              <w:t xml:space="preserve">T</w:t>
            </w:r>
          </w:p>
        </w:tc>
        <w:tc>
          <w:tcPr/>
          <w:p>
            <w:pPr>
              <w:pStyle w:val="Compact"/>
            </w:pPr>
            <w:r>
              <w:rPr>
                <w:sz w:val="17"/>
              </w:rPr>
              <w:t xml:space="preserve">R1</w:t>
            </w:r>
          </w:p>
        </w:tc>
      </w:tr>
    </w:tbl>
    <w:bookmarkEnd w:id="106"/>
    <w:bookmarkStart w:id="107" w:name="X55f015e75b0bfa838d8b70db00b9775c02f76f4"/>
    <w:p>
      <w:pPr>
        <w:pStyle w:val="Heading2"/>
      </w:pPr>
      <w:r>
        <w:t xml:space="preserve">11.2 Modules complémentaires issus de l’analyse approfondie</w:t>
      </w:r>
    </w:p>
    <w:p>
      <w:pPr>
        <w:pStyle w:val="FirstParagraph"/>
      </w:pPr>
      <w:r>
        <w:t xml:space="preserve">L’analyse des processus, des risques et des documents de travail fait apparaître des modules indispensables qui ne figuraient pas dans la liste initiale. Les numéros 56 à 81 reprennent ceux de la Spécification fonctionnelle ; les numéros 82 à 95 sont</w:t>
      </w:r>
      <w:r>
        <w:t xml:space="preserve"> </w:t>
      </w:r>
      <w:r>
        <w:rPr>
          <w:b/>
          <w:bCs/>
        </w:rPr>
        <w:t xml:space="preserve">nouveaux dans la version 3.0</w:t>
      </w:r>
      <w:r>
        <w:t xml:space="preserv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N°</w:t>
            </w:r>
          </w:p>
        </w:tc>
        <w:tc>
          <w:tcPr>
            <w:shd w:val="clear" w:color="auto" w:fill="232C6B"/>
          </w:tcPr>
          <w:p>
            <w:pPr>
              <w:pStyle w:val="Compact"/>
            </w:pPr>
            <w:r>
              <w:rPr>
                <w:b/>
                <w:color w:val="FFFFFF"/>
                <w:sz w:val="17"/>
              </w:rPr>
              <w:t xml:space="preserve">Module</w:t>
            </w:r>
          </w:p>
        </w:tc>
        <w:tc>
          <w:tcPr>
            <w:shd w:val="clear" w:color="auto" w:fill="232C6B"/>
          </w:tcPr>
          <w:p>
            <w:pPr>
              <w:pStyle w:val="Compact"/>
            </w:pPr>
            <w:r>
              <w:rPr>
                <w:b/>
                <w:color w:val="FFFFFF"/>
                <w:sz w:val="17"/>
              </w:rPr>
              <w:t xml:space="preserve">Pourquoi il est nécessaire</w:t>
            </w:r>
          </w:p>
        </w:tc>
        <w:tc>
          <w:tcPr>
            <w:shd w:val="clear" w:color="auto" w:fill="232C6B"/>
          </w:tcPr>
          <w:p>
            <w:pPr>
              <w:pStyle w:val="Compact"/>
            </w:pPr>
            <w:r>
              <w:rPr>
                <w:b/>
                <w:color w:val="FFFFFF"/>
                <w:sz w:val="17"/>
              </w:rPr>
              <w:t xml:space="preserve">Release</w:t>
            </w:r>
          </w:p>
        </w:tc>
      </w:tr>
      <w:tr>
        <w:tc>
          <w:tcPr/>
          <w:p>
            <w:pPr>
              <w:pStyle w:val="Compact"/>
            </w:pPr>
            <w:r>
              <w:rPr>
                <w:sz w:val="17"/>
              </w:rPr>
              <w:t xml:space="preserve">56</w:t>
            </w:r>
          </w:p>
        </w:tc>
        <w:tc>
          <w:tcPr/>
          <w:p>
            <w:pPr>
              <w:pStyle w:val="Compact"/>
            </w:pPr>
            <w:r>
              <w:rPr>
                <w:sz w:val="17"/>
              </w:rPr>
              <w:t xml:space="preserve">Grands redevables</w:t>
            </w:r>
          </w:p>
        </w:tc>
        <w:tc>
          <w:tcPr/>
          <w:p>
            <w:pPr>
              <w:pStyle w:val="Compact"/>
            </w:pPr>
            <w:r>
              <w:rPr>
                <w:sz w:val="17"/>
              </w:rPr>
              <w:t xml:space="preserve">20 % des redevables portent souvent l’essentiel de certaines recettes (brasseries, télécoms, carrières) : suivi dédié, déclarations mensuelles, rapprochement de volumes</w:t>
            </w:r>
          </w:p>
        </w:tc>
        <w:tc>
          <w:tcPr/>
          <w:p>
            <w:pPr>
              <w:pStyle w:val="Compact"/>
            </w:pPr>
            <w:r>
              <w:rPr>
                <w:sz w:val="17"/>
              </w:rPr>
              <w:t xml:space="preserve">R2</w:t>
            </w:r>
          </w:p>
        </w:tc>
      </w:tr>
      <w:tr>
        <w:tc>
          <w:tcPr>
            <w:shd w:val="clear" w:color="auto" w:fill="F5F7FB"/>
          </w:tcPr>
          <w:p>
            <w:pPr>
              <w:pStyle w:val="Compact"/>
            </w:pPr>
            <w:r>
              <w:rPr>
                <w:sz w:val="17"/>
              </w:rPr>
              <w:t xml:space="preserve">57</w:t>
            </w:r>
          </w:p>
        </w:tc>
        <w:tc>
          <w:tcPr>
            <w:shd w:val="clear" w:color="auto" w:fill="F5F7FB"/>
          </w:tcPr>
          <w:p>
            <w:pPr>
              <w:pStyle w:val="Compact"/>
            </w:pPr>
            <w:r>
              <w:rPr>
                <w:sz w:val="17"/>
              </w:rPr>
              <w:t xml:space="preserve">Registre des exonérations</w:t>
            </w:r>
          </w:p>
        </w:tc>
        <w:tc>
          <w:tcPr>
            <w:shd w:val="clear" w:color="auto" w:fill="F5F7FB"/>
          </w:tcPr>
          <w:p>
            <w:pPr>
              <w:pStyle w:val="Compact"/>
            </w:pPr>
            <w:r>
              <w:rPr>
                <w:sz w:val="17"/>
              </w:rPr>
              <w:t xml:space="preserve">Les exonérations et annulations sont un canal majeur d’érosion ; chaque exonération doit avoir un fondement, une preuve, une durée et deux approbateurs</w:t>
            </w:r>
          </w:p>
        </w:tc>
        <w:tc>
          <w:tcPr>
            <w:shd w:val="clear" w:color="auto" w:fill="F5F7FB"/>
          </w:tcPr>
          <w:p>
            <w:pPr>
              <w:pStyle w:val="Compact"/>
            </w:pPr>
            <w:r>
              <w:rPr>
                <w:sz w:val="17"/>
              </w:rPr>
              <w:t xml:space="preserve">R1</w:t>
            </w:r>
          </w:p>
        </w:tc>
      </w:tr>
      <w:tr>
        <w:tc>
          <w:tcPr/>
          <w:p>
            <w:pPr>
              <w:pStyle w:val="Compact"/>
            </w:pPr>
            <w:r>
              <w:rPr>
                <w:sz w:val="17"/>
              </w:rPr>
              <w:t xml:space="preserve">58</w:t>
            </w:r>
          </w:p>
        </w:tc>
        <w:tc>
          <w:tcPr/>
          <w:p>
            <w:pPr>
              <w:pStyle w:val="Compact"/>
            </w:pPr>
            <w:r>
              <w:rPr>
                <w:sz w:val="17"/>
              </w:rPr>
              <w:t xml:space="preserve">Gestion des équipements terrain (MDM)</w:t>
            </w:r>
          </w:p>
        </w:tc>
        <w:tc>
          <w:tcPr/>
          <w:p>
            <w:pPr>
              <w:pStyle w:val="Compact"/>
            </w:pPr>
            <w:r>
              <w:rPr>
                <w:sz w:val="17"/>
              </w:rPr>
              <w:t xml:space="preserve">Enrôlement, révocation, effacement à distance, expiration des données hors ligne</w:t>
            </w:r>
          </w:p>
        </w:tc>
        <w:tc>
          <w:tcPr/>
          <w:p>
            <w:pPr>
              <w:pStyle w:val="Compact"/>
            </w:pPr>
            <w:r>
              <w:rPr>
                <w:sz w:val="17"/>
              </w:rPr>
              <w:t xml:space="preserve">R1</w:t>
            </w:r>
          </w:p>
        </w:tc>
      </w:tr>
      <w:tr>
        <w:tc>
          <w:tcPr>
            <w:shd w:val="clear" w:color="auto" w:fill="F5F7FB"/>
          </w:tcPr>
          <w:p>
            <w:pPr>
              <w:pStyle w:val="Compact"/>
            </w:pPr>
            <w:r>
              <w:rPr>
                <w:sz w:val="17"/>
              </w:rPr>
              <w:t xml:space="preserve">59</w:t>
            </w:r>
          </w:p>
        </w:tc>
        <w:tc>
          <w:tcPr>
            <w:shd w:val="clear" w:color="auto" w:fill="F5F7FB"/>
          </w:tcPr>
          <w:p>
            <w:pPr>
              <w:pStyle w:val="Compact"/>
            </w:pPr>
            <w:r>
              <w:rPr>
                <w:sz w:val="17"/>
              </w:rPr>
              <w:t xml:space="preserve">Grand livre public en partie double</w:t>
            </w:r>
          </w:p>
        </w:tc>
        <w:tc>
          <w:tcPr>
            <w:shd w:val="clear" w:color="auto" w:fill="F5F7FB"/>
          </w:tcPr>
          <w:p>
            <w:pPr>
              <w:pStyle w:val="Compact"/>
            </w:pPr>
            <w:r>
              <w:rPr>
                <w:sz w:val="17"/>
              </w:rPr>
              <w:t xml:space="preserve">Aucune correction sans contre-écriture ; clôtures ; compte d’attente</w:t>
            </w:r>
          </w:p>
        </w:tc>
        <w:tc>
          <w:tcPr>
            <w:shd w:val="clear" w:color="auto" w:fill="F5F7FB"/>
          </w:tcPr>
          <w:p>
            <w:pPr>
              <w:pStyle w:val="Compact"/>
            </w:pPr>
            <w:r>
              <w:rPr>
                <w:sz w:val="17"/>
              </w:rPr>
              <w:t xml:space="preserve">R1</w:t>
            </w:r>
          </w:p>
        </w:tc>
      </w:tr>
      <w:tr>
        <w:tc>
          <w:tcPr/>
          <w:p>
            <w:pPr>
              <w:pStyle w:val="Compact"/>
            </w:pPr>
            <w:r>
              <w:rPr>
                <w:sz w:val="17"/>
              </w:rPr>
              <w:t xml:space="preserve">60</w:t>
            </w:r>
          </w:p>
        </w:tc>
        <w:tc>
          <w:tcPr/>
          <w:p>
            <w:pPr>
              <w:pStyle w:val="Compact"/>
            </w:pPr>
            <w:r>
              <w:rPr>
                <w:sz w:val="17"/>
              </w:rPr>
              <w:t xml:space="preserve">Coffre des comptes bénéficiaires</w:t>
            </w:r>
          </w:p>
        </w:tc>
        <w:tc>
          <w:tcPr/>
          <w:p>
            <w:pPr>
              <w:pStyle w:val="Compact"/>
            </w:pPr>
            <w:r>
              <w:rPr>
                <w:sz w:val="17"/>
              </w:rPr>
              <w:t xml:space="preserve">Les comptes publics de destination sont des références verrouillées, modifiables uniquement sous quorum</w:t>
            </w:r>
          </w:p>
        </w:tc>
        <w:tc>
          <w:tcPr/>
          <w:p>
            <w:pPr>
              <w:pStyle w:val="Compact"/>
            </w:pPr>
            <w:r>
              <w:rPr>
                <w:sz w:val="17"/>
              </w:rPr>
              <w:t xml:space="preserve">R1</w:t>
            </w:r>
          </w:p>
        </w:tc>
      </w:tr>
      <w:tr>
        <w:tc>
          <w:tcPr>
            <w:shd w:val="clear" w:color="auto" w:fill="F5F7FB"/>
          </w:tcPr>
          <w:p>
            <w:pPr>
              <w:pStyle w:val="Compact"/>
            </w:pPr>
            <w:r>
              <w:rPr>
                <w:sz w:val="17"/>
              </w:rPr>
              <w:t xml:space="preserve">61</w:t>
            </w:r>
          </w:p>
        </w:tc>
        <w:tc>
          <w:tcPr>
            <w:shd w:val="clear" w:color="auto" w:fill="F5F7FB"/>
          </w:tcPr>
          <w:p>
            <w:pPr>
              <w:pStyle w:val="Compact"/>
            </w:pPr>
            <w:r>
              <w:rPr>
                <w:sz w:val="17"/>
              </w:rPr>
              <w:t xml:space="preserve">Moteur de découverte des recettes</w:t>
            </w:r>
          </w:p>
        </w:tc>
        <w:tc>
          <w:tcPr>
            <w:shd w:val="clear" w:color="auto" w:fill="F5F7FB"/>
          </w:tcPr>
          <w:p>
            <w:pPr>
              <w:pStyle w:val="Compact"/>
            </w:pPr>
            <w:r>
              <w:rPr>
                <w:sz w:val="17"/>
              </w:rPr>
              <w:t xml:space="preserve">Pipeline signal → qualification juridique → estimation → décision</w:t>
            </w:r>
          </w:p>
        </w:tc>
        <w:tc>
          <w:tcPr>
            <w:shd w:val="clear" w:color="auto" w:fill="F5F7FB"/>
          </w:tcPr>
          <w:p>
            <w:pPr>
              <w:pStyle w:val="Compact"/>
            </w:pPr>
            <w:r>
              <w:rPr>
                <w:sz w:val="17"/>
              </w:rPr>
              <w:t xml:space="preserve">R2</w:t>
            </w:r>
          </w:p>
        </w:tc>
      </w:tr>
      <w:tr>
        <w:tc>
          <w:tcPr/>
          <w:p>
            <w:pPr>
              <w:pStyle w:val="Compact"/>
            </w:pPr>
            <w:r>
              <w:rPr>
                <w:sz w:val="17"/>
              </w:rPr>
              <w:t xml:space="preserve">62</w:t>
            </w:r>
          </w:p>
        </w:tc>
        <w:tc>
          <w:tcPr/>
          <w:p>
            <w:pPr>
              <w:pStyle w:val="Compact"/>
            </w:pPr>
            <w:r>
              <w:rPr>
                <w:sz w:val="17"/>
              </w:rPr>
              <w:t xml:space="preserve">Rapprochement aérien (volet AVIA)</w:t>
            </w:r>
          </w:p>
        </w:tc>
        <w:tc>
          <w:tcPr/>
          <w:p>
            <w:pPr>
              <w:pStyle w:val="Compact"/>
            </w:pPr>
            <w:r>
              <w:rPr>
                <w:sz w:val="17"/>
              </w:rPr>
              <w:t xml:space="preserve">Rapprochement billetterie/embarquement/reversements, sous réserve de validation juridique</w:t>
            </w:r>
          </w:p>
        </w:tc>
        <w:tc>
          <w:tcPr/>
          <w:p>
            <w:pPr>
              <w:pStyle w:val="Compact"/>
            </w:pPr>
            <w:r>
              <w:rPr>
                <w:sz w:val="17"/>
              </w:rPr>
              <w:t xml:space="preserve">R4</w:t>
            </w:r>
          </w:p>
        </w:tc>
      </w:tr>
      <w:tr>
        <w:tc>
          <w:tcPr>
            <w:shd w:val="clear" w:color="auto" w:fill="F5F7FB"/>
          </w:tcPr>
          <w:p>
            <w:pPr>
              <w:pStyle w:val="Compact"/>
            </w:pPr>
            <w:r>
              <w:rPr>
                <w:sz w:val="17"/>
              </w:rPr>
              <w:t xml:space="preserve">63</w:t>
            </w:r>
          </w:p>
        </w:tc>
        <w:tc>
          <w:tcPr>
            <w:shd w:val="clear" w:color="auto" w:fill="F5F7FB"/>
          </w:tcPr>
          <w:p>
            <w:pPr>
              <w:pStyle w:val="Compact"/>
            </w:pPr>
            <w:r>
              <w:rPr>
                <w:sz w:val="17"/>
              </w:rPr>
              <w:t xml:space="preserve">Enrôlement assisté et guichets MOSOLO</w:t>
            </w:r>
          </w:p>
        </w:tc>
        <w:tc>
          <w:tcPr>
            <w:shd w:val="clear" w:color="auto" w:fill="F5F7FB"/>
          </w:tcPr>
          <w:p>
            <w:pPr>
              <w:pStyle w:val="Compact"/>
            </w:pPr>
            <w:r>
              <w:rPr>
                <w:sz w:val="17"/>
              </w:rPr>
              <w:t xml:space="preserve">Inclusion des personnes sans téléphone ou peu alphabétisées</w:t>
            </w:r>
          </w:p>
        </w:tc>
        <w:tc>
          <w:tcPr>
            <w:shd w:val="clear" w:color="auto" w:fill="F5F7FB"/>
          </w:tcPr>
          <w:p>
            <w:pPr>
              <w:pStyle w:val="Compact"/>
            </w:pPr>
            <w:r>
              <w:rPr>
                <w:sz w:val="17"/>
              </w:rPr>
              <w:t xml:space="preserve">R1</w:t>
            </w:r>
          </w:p>
        </w:tc>
      </w:tr>
      <w:tr>
        <w:tc>
          <w:tcPr/>
          <w:p>
            <w:pPr>
              <w:pStyle w:val="Compact"/>
            </w:pPr>
            <w:r>
              <w:rPr>
                <w:sz w:val="17"/>
              </w:rPr>
              <w:t xml:space="preserve">64</w:t>
            </w:r>
          </w:p>
        </w:tc>
        <w:tc>
          <w:tcPr/>
          <w:p>
            <w:pPr>
              <w:pStyle w:val="Compact"/>
            </w:pPr>
            <w:r>
              <w:rPr>
                <w:sz w:val="17"/>
              </w:rPr>
              <w:t xml:space="preserve">Serveur vocal interactif multilingue</w:t>
            </w:r>
          </w:p>
        </w:tc>
        <w:tc>
          <w:tcPr/>
          <w:p>
            <w:pPr>
              <w:pStyle w:val="Compact"/>
            </w:pPr>
            <w:r>
              <w:rPr>
                <w:sz w:val="17"/>
              </w:rPr>
              <w:t xml:space="preserve">Consultation et paiement à la voix en français, lingala, swahili, kikongo, tshiluba</w:t>
            </w:r>
          </w:p>
        </w:tc>
        <w:tc>
          <w:tcPr/>
          <w:p>
            <w:pPr>
              <w:pStyle w:val="Compact"/>
            </w:pPr>
            <w:r>
              <w:rPr>
                <w:sz w:val="17"/>
              </w:rPr>
              <w:t xml:space="preserve">R2</w:t>
            </w:r>
          </w:p>
        </w:tc>
      </w:tr>
      <w:tr>
        <w:tc>
          <w:tcPr>
            <w:shd w:val="clear" w:color="auto" w:fill="F5F7FB"/>
          </w:tcPr>
          <w:p>
            <w:pPr>
              <w:pStyle w:val="Compact"/>
            </w:pPr>
            <w:r>
              <w:rPr>
                <w:sz w:val="17"/>
              </w:rPr>
              <w:t xml:space="preserve">65</w:t>
            </w:r>
          </w:p>
        </w:tc>
        <w:tc>
          <w:tcPr>
            <w:shd w:val="clear" w:color="auto" w:fill="F5F7FB"/>
          </w:tcPr>
          <w:p>
            <w:pPr>
              <w:pStyle w:val="Compact"/>
            </w:pPr>
            <w:r>
              <w:rPr>
                <w:sz w:val="17"/>
              </w:rPr>
              <w:t xml:space="preserve">Carte MOSOLO</w:t>
            </w:r>
          </w:p>
        </w:tc>
        <w:tc>
          <w:tcPr>
            <w:shd w:val="clear" w:color="auto" w:fill="F5F7FB"/>
          </w:tcPr>
          <w:p>
            <w:pPr>
              <w:pStyle w:val="Compact"/>
            </w:pPr>
            <w:r>
              <w:rPr>
                <w:sz w:val="17"/>
              </w:rPr>
              <w:t xml:space="preserve">Identifiant physique pour les personnes sans téléphone</w:t>
            </w:r>
          </w:p>
        </w:tc>
        <w:tc>
          <w:tcPr>
            <w:shd w:val="clear" w:color="auto" w:fill="F5F7FB"/>
          </w:tcPr>
          <w:p>
            <w:pPr>
              <w:pStyle w:val="Compact"/>
            </w:pPr>
            <w:r>
              <w:rPr>
                <w:sz w:val="17"/>
              </w:rPr>
              <w:t xml:space="preserve">R2</w:t>
            </w:r>
          </w:p>
        </w:tc>
      </w:tr>
      <w:tr>
        <w:tc>
          <w:tcPr/>
          <w:p>
            <w:pPr>
              <w:pStyle w:val="Compact"/>
            </w:pPr>
            <w:r>
              <w:rPr>
                <w:sz w:val="17"/>
              </w:rPr>
              <w:t xml:space="preserve">66</w:t>
            </w:r>
          </w:p>
        </w:tc>
        <w:tc>
          <w:tcPr/>
          <w:p>
            <w:pPr>
              <w:pStyle w:val="Compact"/>
            </w:pPr>
            <w:r>
              <w:rPr>
                <w:sz w:val="17"/>
              </w:rPr>
              <w:t xml:space="preserve">Réseau des points de paiement agréés</w:t>
            </w:r>
          </w:p>
        </w:tc>
        <w:tc>
          <w:tcPr/>
          <w:p>
            <w:pPr>
              <w:pStyle w:val="Compact"/>
            </w:pPr>
            <w:r>
              <w:rPr>
                <w:sz w:val="17"/>
              </w:rPr>
              <w:t xml:space="preserve">Seul canal légitime d’encaissement en espèces, avec règlement quotidien vers le compte public</w:t>
            </w:r>
          </w:p>
        </w:tc>
        <w:tc>
          <w:tcPr/>
          <w:p>
            <w:pPr>
              <w:pStyle w:val="Compact"/>
            </w:pPr>
            <w:r>
              <w:rPr>
                <w:sz w:val="17"/>
              </w:rPr>
              <w:t xml:space="preserve">R1</w:t>
            </w:r>
          </w:p>
        </w:tc>
      </w:tr>
      <w:tr>
        <w:tc>
          <w:tcPr>
            <w:shd w:val="clear" w:color="auto" w:fill="F5F7FB"/>
          </w:tcPr>
          <w:p>
            <w:pPr>
              <w:pStyle w:val="Compact"/>
            </w:pPr>
            <w:r>
              <w:rPr>
                <w:sz w:val="17"/>
              </w:rPr>
              <w:t xml:space="preserve">67</w:t>
            </w:r>
          </w:p>
        </w:tc>
        <w:tc>
          <w:tcPr>
            <w:shd w:val="clear" w:color="auto" w:fill="F5F7FB"/>
          </w:tcPr>
          <w:p>
            <w:pPr>
              <w:pStyle w:val="Compact"/>
            </w:pPr>
            <w:r>
              <w:rPr>
                <w:sz w:val="17"/>
              </w:rPr>
              <w:t xml:space="preserve">Portail des partenaires et des équipes terrain</w:t>
            </w:r>
          </w:p>
        </w:tc>
        <w:tc>
          <w:tcPr>
            <w:shd w:val="clear" w:color="auto" w:fill="F5F7FB"/>
          </w:tcPr>
          <w:p>
            <w:pPr>
              <w:pStyle w:val="Compact"/>
            </w:pPr>
            <w:r>
              <w:rPr>
                <w:sz w:val="17"/>
              </w:rPr>
              <w:t xml:space="preserve">Accréditation des sous-traitants, lots, missions, qualité</w:t>
            </w:r>
          </w:p>
        </w:tc>
        <w:tc>
          <w:tcPr>
            <w:shd w:val="clear" w:color="auto" w:fill="F5F7FB"/>
          </w:tcPr>
          <w:p>
            <w:pPr>
              <w:pStyle w:val="Compact"/>
            </w:pPr>
            <w:r>
              <w:rPr>
                <w:sz w:val="17"/>
              </w:rPr>
              <w:t xml:space="preserve">R2</w:t>
            </w:r>
          </w:p>
        </w:tc>
      </w:tr>
      <w:tr>
        <w:tc>
          <w:tcPr/>
          <w:p>
            <w:pPr>
              <w:pStyle w:val="Compact"/>
            </w:pPr>
            <w:r>
              <w:rPr>
                <w:sz w:val="17"/>
              </w:rPr>
              <w:t xml:space="preserve">68</w:t>
            </w:r>
          </w:p>
        </w:tc>
        <w:tc>
          <w:tcPr/>
          <w:p>
            <w:pPr>
              <w:pStyle w:val="Compact"/>
            </w:pPr>
            <w:r>
              <w:rPr>
                <w:sz w:val="17"/>
              </w:rPr>
              <w:t xml:space="preserve">Vérification publique par code court</w:t>
            </w:r>
          </w:p>
        </w:tc>
        <w:tc>
          <w:tcPr/>
          <w:p>
            <w:pPr>
              <w:pStyle w:val="Compact"/>
            </w:pPr>
            <w:r>
              <w:rPr>
                <w:sz w:val="17"/>
              </w:rPr>
              <w:t xml:space="preserve">Vérifier une quittance, une carte ou un badge par SMS/USSD</w:t>
            </w:r>
          </w:p>
        </w:tc>
        <w:tc>
          <w:tcPr/>
          <w:p>
            <w:pPr>
              <w:pStyle w:val="Compact"/>
            </w:pPr>
            <w:r>
              <w:rPr>
                <w:sz w:val="17"/>
              </w:rPr>
              <w:t xml:space="preserve">R1</w:t>
            </w:r>
          </w:p>
        </w:tc>
      </w:tr>
      <w:tr>
        <w:tc>
          <w:tcPr>
            <w:shd w:val="clear" w:color="auto" w:fill="F5F7FB"/>
          </w:tcPr>
          <w:p>
            <w:pPr>
              <w:pStyle w:val="Compact"/>
            </w:pPr>
            <w:r>
              <w:rPr>
                <w:sz w:val="17"/>
              </w:rPr>
              <w:t xml:space="preserve">69</w:t>
            </w:r>
          </w:p>
        </w:tc>
        <w:tc>
          <w:tcPr>
            <w:shd w:val="clear" w:color="auto" w:fill="F5F7FB"/>
          </w:tcPr>
          <w:p>
            <w:pPr>
              <w:pStyle w:val="Compact"/>
            </w:pPr>
            <w:r>
              <w:rPr>
                <w:sz w:val="17"/>
              </w:rPr>
              <w:t xml:space="preserve">Ligne de signalement et contrôles mystère</w:t>
            </w:r>
          </w:p>
        </w:tc>
        <w:tc>
          <w:tcPr>
            <w:shd w:val="clear" w:color="auto" w:fill="F5F7FB"/>
          </w:tcPr>
          <w:p>
            <w:pPr>
              <w:pStyle w:val="Compact"/>
            </w:pPr>
            <w:r>
              <w:rPr>
                <w:sz w:val="17"/>
              </w:rPr>
              <w:t xml:space="preserve">Signalements protégés d’abus, faux agents, demandes d’espèces</w:t>
            </w:r>
          </w:p>
        </w:tc>
        <w:tc>
          <w:tcPr>
            <w:shd w:val="clear" w:color="auto" w:fill="F5F7FB"/>
          </w:tcPr>
          <w:p>
            <w:pPr>
              <w:pStyle w:val="Compact"/>
            </w:pPr>
            <w:r>
              <w:rPr>
                <w:sz w:val="17"/>
              </w:rPr>
              <w:t xml:space="preserve">R2</w:t>
            </w:r>
          </w:p>
        </w:tc>
      </w:tr>
      <w:tr>
        <w:tc>
          <w:tcPr/>
          <w:p>
            <w:pPr>
              <w:pStyle w:val="Compact"/>
            </w:pPr>
            <w:r>
              <w:rPr>
                <w:sz w:val="17"/>
              </w:rPr>
              <w:t xml:space="preserve">70</w:t>
            </w:r>
          </w:p>
        </w:tc>
        <w:tc>
          <w:tcPr/>
          <w:p>
            <w:pPr>
              <w:pStyle w:val="Compact"/>
            </w:pPr>
            <w:r>
              <w:rPr>
                <w:sz w:val="17"/>
              </w:rPr>
              <w:t xml:space="preserve">Moteur de titres et de validité</w:t>
            </w:r>
          </w:p>
        </w:tc>
        <w:tc>
          <w:tcPr/>
          <w:p>
            <w:pPr>
              <w:pStyle w:val="Compact"/>
            </w:pPr>
            <w:r>
              <w:rPr>
                <w:sz w:val="17"/>
              </w:rPr>
              <w:t xml:space="preserve">Titres à durée (stationnement, marchés, transport) : vert/ambre/rouge</w:t>
            </w:r>
          </w:p>
        </w:tc>
        <w:tc>
          <w:tcPr/>
          <w:p>
            <w:pPr>
              <w:pStyle w:val="Compact"/>
            </w:pPr>
            <w:r>
              <w:rPr>
                <w:sz w:val="17"/>
              </w:rPr>
              <w:t xml:space="preserve">R2</w:t>
            </w:r>
          </w:p>
        </w:tc>
      </w:tr>
      <w:tr>
        <w:tc>
          <w:tcPr>
            <w:shd w:val="clear" w:color="auto" w:fill="F5F7FB"/>
          </w:tcPr>
          <w:p>
            <w:pPr>
              <w:pStyle w:val="Compact"/>
            </w:pPr>
            <w:r>
              <w:rPr>
                <w:sz w:val="17"/>
              </w:rPr>
              <w:t xml:space="preserve">71</w:t>
            </w:r>
          </w:p>
        </w:tc>
        <w:tc>
          <w:tcPr>
            <w:shd w:val="clear" w:color="auto" w:fill="F5F7FB"/>
          </w:tcPr>
          <w:p>
            <w:pPr>
              <w:pStyle w:val="Compact"/>
            </w:pPr>
            <w:r>
              <w:rPr>
                <w:sz w:val="17"/>
              </w:rPr>
              <w:t xml:space="preserve">Contrôle des titres</w:t>
            </w:r>
          </w:p>
        </w:tc>
        <w:tc>
          <w:tcPr>
            <w:shd w:val="clear" w:color="auto" w:fill="F5F7FB"/>
          </w:tcPr>
          <w:p>
            <w:pPr>
              <w:pStyle w:val="Compact"/>
            </w:pPr>
            <w:r>
              <w:rPr>
                <w:sz w:val="17"/>
              </w:rPr>
              <w:t xml:space="preserve">Vérification par plaque, QR ou code, en ligne et hors ligne</w:t>
            </w:r>
          </w:p>
        </w:tc>
        <w:tc>
          <w:tcPr>
            <w:shd w:val="clear" w:color="auto" w:fill="F5F7FB"/>
          </w:tcPr>
          <w:p>
            <w:pPr>
              <w:pStyle w:val="Compact"/>
            </w:pPr>
            <w:r>
              <w:rPr>
                <w:sz w:val="17"/>
              </w:rPr>
              <w:t xml:space="preserve">R2</w:t>
            </w:r>
          </w:p>
        </w:tc>
      </w:tr>
      <w:tr>
        <w:tc>
          <w:tcPr/>
          <w:p>
            <w:pPr>
              <w:pStyle w:val="Compact"/>
            </w:pPr>
            <w:r>
              <w:rPr>
                <w:sz w:val="17"/>
              </w:rPr>
              <w:t xml:space="preserve">72</w:t>
            </w:r>
          </w:p>
        </w:tc>
        <w:tc>
          <w:tcPr/>
          <w:p>
            <w:pPr>
              <w:pStyle w:val="Compact"/>
            </w:pPr>
            <w:r>
              <w:rPr>
                <w:sz w:val="17"/>
              </w:rPr>
              <w:t xml:space="preserve">Espaces d’entité et configuration des modules</w:t>
            </w:r>
          </w:p>
        </w:tc>
        <w:tc>
          <w:tcPr/>
          <w:p>
            <w:pPr>
              <w:pStyle w:val="Compact"/>
            </w:pPr>
            <w:r>
              <w:rPr>
                <w:sz w:val="17"/>
              </w:rPr>
              <w:t xml:space="preserve">Cloisonnement multi-entités et ajout de services sans redéveloppement</w:t>
            </w:r>
          </w:p>
        </w:tc>
        <w:tc>
          <w:tcPr/>
          <w:p>
            <w:pPr>
              <w:pStyle w:val="Compact"/>
            </w:pPr>
            <w:r>
              <w:rPr>
                <w:sz w:val="17"/>
              </w:rPr>
              <w:t xml:space="preserve">R1</w:t>
            </w:r>
          </w:p>
        </w:tc>
      </w:tr>
      <w:tr>
        <w:tc>
          <w:tcPr>
            <w:shd w:val="clear" w:color="auto" w:fill="F5F7FB"/>
          </w:tcPr>
          <w:p>
            <w:pPr>
              <w:pStyle w:val="Compact"/>
            </w:pPr>
            <w:r>
              <w:rPr>
                <w:sz w:val="17"/>
              </w:rPr>
              <w:t xml:space="preserve">73</w:t>
            </w:r>
          </w:p>
        </w:tc>
        <w:tc>
          <w:tcPr>
            <w:shd w:val="clear" w:color="auto" w:fill="F5F7FB"/>
          </w:tcPr>
          <w:p>
            <w:pPr>
              <w:pStyle w:val="Compact"/>
            </w:pPr>
            <w:r>
              <w:rPr>
                <w:sz w:val="17"/>
              </w:rPr>
              <w:t xml:space="preserve">Répartition légale des recettes</w:t>
            </w:r>
          </w:p>
        </w:tc>
        <w:tc>
          <w:tcPr>
            <w:shd w:val="clear" w:color="auto" w:fill="F5F7FB"/>
          </w:tcPr>
          <w:p>
            <w:pPr>
              <w:pStyle w:val="Compact"/>
            </w:pPr>
            <w:r>
              <w:rPr>
                <w:sz w:val="17"/>
              </w:rPr>
              <w:t xml:space="preserve">Calcul des parts légalement dues aux entités (province, ETD, etc.) sur recettes rapprochées ; aucun partage non fondé sur un texte</w:t>
            </w:r>
          </w:p>
        </w:tc>
        <w:tc>
          <w:tcPr>
            <w:shd w:val="clear" w:color="auto" w:fill="F5F7FB"/>
          </w:tcPr>
          <w:p>
            <w:pPr>
              <w:pStyle w:val="Compact"/>
            </w:pPr>
            <w:r>
              <w:rPr>
                <w:sz w:val="17"/>
              </w:rPr>
              <w:t xml:space="preserve">R3</w:t>
            </w:r>
          </w:p>
        </w:tc>
      </w:tr>
      <w:tr>
        <w:tc>
          <w:tcPr/>
          <w:p>
            <w:pPr>
              <w:pStyle w:val="Compact"/>
            </w:pPr>
            <w:r>
              <w:rPr>
                <w:sz w:val="17"/>
              </w:rPr>
              <w:t xml:space="preserve">74</w:t>
            </w:r>
          </w:p>
        </w:tc>
        <w:tc>
          <w:tcPr/>
          <w:p>
            <w:pPr>
              <w:pStyle w:val="Compact"/>
            </w:pPr>
            <w:r>
              <w:rPr>
                <w:sz w:val="17"/>
              </w:rPr>
              <w:t xml:space="preserve">Invitations et gestion des accès</w:t>
            </w:r>
          </w:p>
        </w:tc>
        <w:tc>
          <w:tcPr/>
          <w:p>
            <w:pPr>
              <w:pStyle w:val="Compact"/>
            </w:pPr>
            <w:r>
              <w:rPr>
                <w:sz w:val="17"/>
              </w:rPr>
              <w:t xml:space="preserve">Accès des agents publics uniquement sur invitation en cascade ; inscription publique réservée aux contribuables</w:t>
            </w:r>
          </w:p>
        </w:tc>
        <w:tc>
          <w:tcPr/>
          <w:p>
            <w:pPr>
              <w:pStyle w:val="Compact"/>
            </w:pPr>
            <w:r>
              <w:rPr>
                <w:sz w:val="17"/>
              </w:rPr>
              <w:t xml:space="preserve">R1</w:t>
            </w:r>
          </w:p>
        </w:tc>
      </w:tr>
      <w:tr>
        <w:tc>
          <w:tcPr>
            <w:shd w:val="clear" w:color="auto" w:fill="F5F7FB"/>
          </w:tcPr>
          <w:p>
            <w:pPr>
              <w:pStyle w:val="Compact"/>
            </w:pPr>
            <w:r>
              <w:rPr>
                <w:sz w:val="17"/>
              </w:rPr>
              <w:t xml:space="preserve">75</w:t>
            </w:r>
          </w:p>
        </w:tc>
        <w:tc>
          <w:tcPr>
            <w:shd w:val="clear" w:color="auto" w:fill="F5F7FB"/>
          </w:tcPr>
          <w:p>
            <w:pPr>
              <w:pStyle w:val="Compact"/>
            </w:pPr>
            <w:r>
              <w:rPr>
                <w:sz w:val="17"/>
              </w:rPr>
              <w:t xml:space="preserve">Stationnement intelligent</w:t>
            </w:r>
          </w:p>
        </w:tc>
        <w:tc>
          <w:tcPr>
            <w:shd w:val="clear" w:color="auto" w:fill="F5F7FB"/>
          </w:tcPr>
          <w:p>
            <w:pPr>
              <w:pStyle w:val="Compact"/>
            </w:pPr>
            <w:r>
              <w:rPr>
                <w:sz w:val="17"/>
              </w:rPr>
              <w:t xml:space="preserve">Zones, sessions, tarification réglementée, contrôle par plaque</w:t>
            </w:r>
          </w:p>
        </w:tc>
        <w:tc>
          <w:tcPr>
            <w:shd w:val="clear" w:color="auto" w:fill="F5F7FB"/>
          </w:tcPr>
          <w:p>
            <w:pPr>
              <w:pStyle w:val="Compact"/>
            </w:pPr>
            <w:r>
              <w:rPr>
                <w:sz w:val="17"/>
              </w:rPr>
              <w:t xml:space="preserve">R2</w:t>
            </w:r>
          </w:p>
        </w:tc>
      </w:tr>
      <w:tr>
        <w:tc>
          <w:tcPr/>
          <w:p>
            <w:pPr>
              <w:pStyle w:val="Compact"/>
            </w:pPr>
            <w:r>
              <w:rPr>
                <w:sz w:val="17"/>
              </w:rPr>
              <w:t xml:space="preserve">76</w:t>
            </w:r>
          </w:p>
        </w:tc>
        <w:tc>
          <w:tcPr/>
          <w:p>
            <w:pPr>
              <w:pStyle w:val="Compact"/>
            </w:pPr>
            <w:r>
              <w:rPr>
                <w:sz w:val="17"/>
              </w:rPr>
              <w:t xml:space="preserve">Billetterie urbaine multi-opérateurs (RakaPay)</w:t>
            </w:r>
          </w:p>
        </w:tc>
        <w:tc>
          <w:tcPr/>
          <w:p>
            <w:pPr>
              <w:pStyle w:val="Compact"/>
            </w:pPr>
            <w:r>
              <w:rPr>
                <w:sz w:val="17"/>
              </w:rPr>
              <w:t xml:space="preserve">Droits d’accès à durée pour usages payants ; inclut le pass des moto-taxis (module 81)</w:t>
            </w:r>
          </w:p>
        </w:tc>
        <w:tc>
          <w:tcPr/>
          <w:p>
            <w:pPr>
              <w:pStyle w:val="Compact"/>
            </w:pPr>
            <w:r>
              <w:rPr>
                <w:sz w:val="17"/>
              </w:rPr>
              <w:t xml:space="preserve">R3</w:t>
            </w:r>
          </w:p>
        </w:tc>
      </w:tr>
      <w:tr>
        <w:tc>
          <w:tcPr>
            <w:shd w:val="clear" w:color="auto" w:fill="F5F7FB"/>
          </w:tcPr>
          <w:p>
            <w:pPr>
              <w:pStyle w:val="Compact"/>
            </w:pPr>
            <w:r>
              <w:rPr>
                <w:sz w:val="17"/>
              </w:rPr>
              <w:t xml:space="preserve">77</w:t>
            </w:r>
          </w:p>
        </w:tc>
        <w:tc>
          <w:tcPr>
            <w:shd w:val="clear" w:color="auto" w:fill="F5F7FB"/>
          </w:tcPr>
          <w:p>
            <w:pPr>
              <w:pStyle w:val="Compact"/>
            </w:pPr>
            <w:r>
              <w:rPr>
                <w:sz w:val="17"/>
              </w:rPr>
              <w:t xml:space="preserve">Publicité extérieure augmentée</w:t>
            </w:r>
          </w:p>
        </w:tc>
        <w:tc>
          <w:tcPr>
            <w:shd w:val="clear" w:color="auto" w:fill="F5F7FB"/>
          </w:tcPr>
          <w:p>
            <w:pPr>
              <w:pStyle w:val="Compact"/>
            </w:pPr>
            <w:r>
              <w:rPr>
                <w:sz w:val="17"/>
              </w:rPr>
              <w:t xml:space="preserve">Registre et carte des supports, lecture optique, dossiers de constat</w:t>
            </w:r>
          </w:p>
        </w:tc>
        <w:tc>
          <w:tcPr>
            <w:shd w:val="clear" w:color="auto" w:fill="F5F7FB"/>
          </w:tcPr>
          <w:p>
            <w:pPr>
              <w:pStyle w:val="Compact"/>
            </w:pPr>
            <w:r>
              <w:rPr>
                <w:sz w:val="17"/>
              </w:rPr>
              <w:t xml:space="preserve">R2</w:t>
            </w:r>
          </w:p>
        </w:tc>
      </w:tr>
      <w:tr>
        <w:tc>
          <w:tcPr/>
          <w:p>
            <w:pPr>
              <w:pStyle w:val="Compact"/>
            </w:pPr>
            <w:r>
              <w:rPr>
                <w:sz w:val="17"/>
              </w:rPr>
              <w:t xml:space="preserve">78</w:t>
            </w:r>
          </w:p>
        </w:tc>
        <w:tc>
          <w:tcPr/>
          <w:p>
            <w:pPr>
              <w:pStyle w:val="Compact"/>
            </w:pPr>
            <w:r>
              <w:rPr>
                <w:sz w:val="17"/>
              </w:rPr>
              <w:t xml:space="preserve">Hub de réconciliation aérienne</w:t>
            </w:r>
          </w:p>
        </w:tc>
        <w:tc>
          <w:tcPr/>
          <w:p>
            <w:pPr>
              <w:pStyle w:val="Compact"/>
            </w:pPr>
            <w:r>
              <w:rPr>
                <w:sz w:val="17"/>
              </w:rPr>
              <w:t xml:space="preserve">Connecteurs de données aériennes, sous validation juridique</w:t>
            </w:r>
          </w:p>
        </w:tc>
        <w:tc>
          <w:tcPr/>
          <w:p>
            <w:pPr>
              <w:pStyle w:val="Compact"/>
            </w:pPr>
            <w:r>
              <w:rPr>
                <w:sz w:val="17"/>
              </w:rPr>
              <w:t xml:space="preserve">R4</w:t>
            </w:r>
          </w:p>
        </w:tc>
      </w:tr>
      <w:tr>
        <w:tc>
          <w:tcPr>
            <w:shd w:val="clear" w:color="auto" w:fill="F5F7FB"/>
          </w:tcPr>
          <w:p>
            <w:pPr>
              <w:pStyle w:val="Compact"/>
            </w:pPr>
            <w:r>
              <w:rPr>
                <w:sz w:val="17"/>
              </w:rPr>
              <w:t xml:space="preserve">79</w:t>
            </w:r>
          </w:p>
        </w:tc>
        <w:tc>
          <w:tcPr>
            <w:shd w:val="clear" w:color="auto" w:fill="F5F7FB"/>
          </w:tcPr>
          <w:p>
            <w:pPr>
              <w:pStyle w:val="Compact"/>
            </w:pPr>
            <w:r>
              <w:rPr>
                <w:sz w:val="17"/>
              </w:rPr>
              <w:t xml:space="preserve">Plaque fiscale immobilière</w:t>
            </w:r>
          </w:p>
        </w:tc>
        <w:tc>
          <w:tcPr>
            <w:shd w:val="clear" w:color="auto" w:fill="F5F7FB"/>
          </w:tcPr>
          <w:p>
            <w:pPr>
              <w:pStyle w:val="Compact"/>
            </w:pPr>
            <w:r>
              <w:rPr>
                <w:sz w:val="17"/>
              </w:rPr>
              <w:t xml:space="preserve">Plaque et QR par bâtiment, statut minimal au scan public</w:t>
            </w:r>
          </w:p>
        </w:tc>
        <w:tc>
          <w:tcPr>
            <w:shd w:val="clear" w:color="auto" w:fill="F5F7FB"/>
          </w:tcPr>
          <w:p>
            <w:pPr>
              <w:pStyle w:val="Compact"/>
            </w:pPr>
            <w:r>
              <w:rPr>
                <w:sz w:val="17"/>
              </w:rPr>
              <w:t xml:space="preserve">R2</w:t>
            </w:r>
          </w:p>
        </w:tc>
      </w:tr>
      <w:tr>
        <w:tc>
          <w:tcPr/>
          <w:p>
            <w:pPr>
              <w:pStyle w:val="Compact"/>
            </w:pPr>
            <w:r>
              <w:rPr>
                <w:sz w:val="17"/>
              </w:rPr>
              <w:t xml:space="preserve">80</w:t>
            </w:r>
          </w:p>
        </w:tc>
        <w:tc>
          <w:tcPr/>
          <w:p>
            <w:pPr>
              <w:pStyle w:val="Compact"/>
            </w:pPr>
            <w:r>
              <w:rPr>
                <w:sz w:val="17"/>
              </w:rPr>
              <w:t xml:space="preserve">Contrôle de la dépense publique</w:t>
            </w:r>
          </w:p>
        </w:tc>
        <w:tc>
          <w:tcPr/>
          <w:p>
            <w:pPr>
              <w:pStyle w:val="Compact"/>
            </w:pPr>
            <w:r>
              <w:rPr>
                <w:sz w:val="17"/>
              </w:rPr>
              <w:t xml:space="preserve">Registre des comptes publics, justificatifs, correspondance ; pour l’organe de contrôle compétent</w:t>
            </w:r>
          </w:p>
        </w:tc>
        <w:tc>
          <w:tcPr/>
          <w:p>
            <w:pPr>
              <w:pStyle w:val="Compact"/>
            </w:pPr>
            <w:r>
              <w:rPr>
                <w:sz w:val="17"/>
              </w:rPr>
              <w:t xml:space="preserve">R4</w:t>
            </w:r>
          </w:p>
        </w:tc>
      </w:tr>
      <w:tr>
        <w:tc>
          <w:tcPr>
            <w:shd w:val="clear" w:color="auto" w:fill="F5F7FB"/>
          </w:tcPr>
          <w:p>
            <w:pPr>
              <w:pStyle w:val="Compact"/>
            </w:pPr>
            <w:r>
              <w:rPr>
                <w:sz w:val="17"/>
              </w:rPr>
              <w:t xml:space="preserve">81</w:t>
            </w:r>
          </w:p>
        </w:tc>
        <w:tc>
          <w:tcPr>
            <w:shd w:val="clear" w:color="auto" w:fill="F5F7FB"/>
          </w:tcPr>
          <w:p>
            <w:pPr>
              <w:pStyle w:val="Compact"/>
            </w:pPr>
            <w:r>
              <w:rPr>
                <w:sz w:val="17"/>
              </w:rPr>
              <w:t xml:space="preserve">Pass professionnel des moto-taxis (wewa) —</w:t>
            </w:r>
            <w:r>
              <w:rPr>
                <w:sz w:val="17"/>
              </w:rPr>
              <w:t xml:space="preserve"> </w:t>
            </w:r>
            <w:r>
              <w:rPr>
                <w:b/>
                <w:bCs/>
                <w:sz w:val="17"/>
              </w:rPr>
              <w:t xml:space="preserve">extension de la billetterie RakaPay</w:t>
            </w:r>
            <w:r>
              <w:rPr>
                <w:sz w:val="17"/>
              </w:rPr>
              <w:t xml:space="preserve"> </w:t>
            </w:r>
            <w:r>
              <w:rPr>
                <w:sz w:val="17"/>
              </w:rPr>
              <w:t xml:space="preserve">(module 76)</w:t>
            </w:r>
          </w:p>
        </w:tc>
        <w:tc>
          <w:tcPr>
            <w:shd w:val="clear" w:color="auto" w:fill="F5F7FB"/>
          </w:tcPr>
          <w:p>
            <w:pPr>
              <w:pStyle w:val="Compact"/>
            </w:pPr>
            <w:r>
              <w:rPr>
                <w:sz w:val="17"/>
              </w:rPr>
              <w:t xml:space="preserve">Registre des motos, conducteurs, stations et coopératives ; pass wewa vendu, payé et contrôlé comme un ticket RakaPay ; fin des prélèvements informels</w:t>
            </w:r>
          </w:p>
        </w:tc>
        <w:tc>
          <w:tcPr>
            <w:shd w:val="clear" w:color="auto" w:fill="F5F7FB"/>
          </w:tcPr>
          <w:p>
            <w:pPr>
              <w:pStyle w:val="Compact"/>
            </w:pPr>
            <w:r>
              <w:rPr>
                <w:sz w:val="17"/>
              </w:rPr>
              <w:t xml:space="preserve">R3</w:t>
            </w:r>
          </w:p>
        </w:tc>
      </w:tr>
      <w:tr>
        <w:tc>
          <w:tcPr/>
          <w:p>
            <w:pPr>
              <w:pStyle w:val="Compact"/>
            </w:pPr>
            <w:r>
              <w:rPr>
                <w:b/>
                <w:bCs/>
                <w:sz w:val="17"/>
              </w:rPr>
              <w:t xml:space="preserve">82</w:t>
            </w:r>
          </w:p>
        </w:tc>
        <w:tc>
          <w:tcPr/>
          <w:p>
            <w:pPr>
              <w:pStyle w:val="Compact"/>
            </w:pPr>
            <w:r>
              <w:rPr>
                <w:b/>
                <w:bCs/>
                <w:sz w:val="17"/>
              </w:rPr>
              <w:t xml:space="preserve">Quitus fiscal numérique</w:t>
            </w:r>
          </w:p>
        </w:tc>
        <w:tc>
          <w:tcPr/>
          <w:p>
            <w:pPr>
              <w:pStyle w:val="Compact"/>
            </w:pPr>
            <w:r>
              <w:rPr>
                <w:sz w:val="17"/>
              </w:rPr>
              <w:t xml:space="preserve">Délivrance instantanée, vérification par QR et API, révocation ; conditionnalité des services selon les textes</w:t>
            </w:r>
          </w:p>
        </w:tc>
        <w:tc>
          <w:tcPr/>
          <w:p>
            <w:pPr>
              <w:pStyle w:val="Compact"/>
            </w:pPr>
            <w:r>
              <w:rPr>
                <w:sz w:val="17"/>
              </w:rPr>
              <w:t xml:space="preserve">R1</w:t>
            </w:r>
          </w:p>
        </w:tc>
      </w:tr>
      <w:tr>
        <w:tc>
          <w:tcPr>
            <w:shd w:val="clear" w:color="auto" w:fill="F5F7FB"/>
          </w:tcPr>
          <w:p>
            <w:pPr>
              <w:pStyle w:val="Compact"/>
            </w:pPr>
            <w:r>
              <w:rPr>
                <w:b/>
                <w:bCs/>
                <w:sz w:val="17"/>
              </w:rPr>
              <w:t xml:space="preserve">83</w:t>
            </w:r>
          </w:p>
        </w:tc>
        <w:tc>
          <w:tcPr>
            <w:shd w:val="clear" w:color="auto" w:fill="F5F7FB"/>
          </w:tcPr>
          <w:p>
            <w:pPr>
              <w:pStyle w:val="Compact"/>
            </w:pPr>
            <w:r>
              <w:rPr>
                <w:b/>
                <w:bCs/>
                <w:sz w:val="17"/>
              </w:rPr>
              <w:t xml:space="preserve">Échéanciers et plans de paiement</w:t>
            </w:r>
          </w:p>
        </w:tc>
        <w:tc>
          <w:tcPr>
            <w:shd w:val="clear" w:color="auto" w:fill="F5F7FB"/>
          </w:tcPr>
          <w:p>
            <w:pPr>
              <w:pStyle w:val="Compact"/>
            </w:pPr>
            <w:r>
              <w:rPr>
                <w:sz w:val="17"/>
              </w:rPr>
              <w:t xml:space="preserve">Paiement fractionné lorsque la loi le permet ; suivi des défauts</w:t>
            </w:r>
          </w:p>
        </w:tc>
        <w:tc>
          <w:tcPr>
            <w:shd w:val="clear" w:color="auto" w:fill="F5F7FB"/>
          </w:tcPr>
          <w:p>
            <w:pPr>
              <w:pStyle w:val="Compact"/>
            </w:pPr>
            <w:r>
              <w:rPr>
                <w:sz w:val="17"/>
              </w:rPr>
              <w:t xml:space="preserve">R2</w:t>
            </w:r>
          </w:p>
        </w:tc>
      </w:tr>
      <w:tr>
        <w:tc>
          <w:tcPr/>
          <w:p>
            <w:pPr>
              <w:pStyle w:val="Compact"/>
            </w:pPr>
            <w:r>
              <w:rPr>
                <w:b/>
                <w:bCs/>
                <w:sz w:val="17"/>
              </w:rPr>
              <w:t xml:space="preserve">84</w:t>
            </w:r>
          </w:p>
        </w:tc>
        <w:tc>
          <w:tcPr/>
          <w:p>
            <w:pPr>
              <w:pStyle w:val="Compact"/>
            </w:pPr>
            <w:r>
              <w:rPr>
                <w:b/>
                <w:bCs/>
                <w:sz w:val="17"/>
              </w:rPr>
              <w:t xml:space="preserve">Remboursements et restitutions</w:t>
            </w:r>
          </w:p>
        </w:tc>
        <w:tc>
          <w:tcPr/>
          <w:p>
            <w:pPr>
              <w:pStyle w:val="Compact"/>
            </w:pPr>
            <w:r>
              <w:rPr>
                <w:sz w:val="17"/>
              </w:rPr>
              <w:t xml:space="preserve">Circuit distinct, quatre yeux, plafonds, rapprochement ; seule voie de sortie de fonds autorisée</w:t>
            </w:r>
          </w:p>
        </w:tc>
        <w:tc>
          <w:tcPr/>
          <w:p>
            <w:pPr>
              <w:pStyle w:val="Compact"/>
            </w:pPr>
            <w:r>
              <w:rPr>
                <w:sz w:val="17"/>
              </w:rPr>
              <w:t xml:space="preserve">R1</w:t>
            </w:r>
          </w:p>
        </w:tc>
      </w:tr>
      <w:tr>
        <w:tc>
          <w:tcPr>
            <w:shd w:val="clear" w:color="auto" w:fill="F5F7FB"/>
          </w:tcPr>
          <w:p>
            <w:pPr>
              <w:pStyle w:val="Compact"/>
            </w:pPr>
            <w:r>
              <w:rPr>
                <w:b/>
                <w:bCs/>
                <w:sz w:val="17"/>
              </w:rPr>
              <w:t xml:space="preserve">85</w:t>
            </w:r>
          </w:p>
        </w:tc>
        <w:tc>
          <w:tcPr>
            <w:shd w:val="clear" w:color="auto" w:fill="F5F7FB"/>
          </w:tcPr>
          <w:p>
            <w:pPr>
              <w:pStyle w:val="Compact"/>
            </w:pPr>
            <w:r>
              <w:rPr>
                <w:b/>
                <w:bCs/>
                <w:sz w:val="17"/>
              </w:rPr>
              <w:t xml:space="preserve">Référentiel territorial et adresses</w:t>
            </w:r>
          </w:p>
        </w:tc>
        <w:tc>
          <w:tcPr>
            <w:shd w:val="clear" w:color="auto" w:fill="F5F7FB"/>
          </w:tcPr>
          <w:p>
            <w:pPr>
              <w:pStyle w:val="Compact"/>
            </w:pPr>
            <w:r>
              <w:rPr>
                <w:sz w:val="17"/>
              </w:rPr>
              <w:t xml:space="preserve">Communes, quartiers, avenues, rues, numérotation ; gestion des changements de limites</w:t>
            </w:r>
          </w:p>
        </w:tc>
        <w:tc>
          <w:tcPr>
            <w:shd w:val="clear" w:color="auto" w:fill="F5F7FB"/>
          </w:tcPr>
          <w:p>
            <w:pPr>
              <w:pStyle w:val="Compact"/>
            </w:pPr>
            <w:r>
              <w:rPr>
                <w:sz w:val="17"/>
              </w:rPr>
              <w:t xml:space="preserve">R1</w:t>
            </w:r>
          </w:p>
        </w:tc>
      </w:tr>
      <w:tr>
        <w:tc>
          <w:tcPr/>
          <w:p>
            <w:pPr>
              <w:pStyle w:val="Compact"/>
            </w:pPr>
            <w:r>
              <w:rPr>
                <w:b/>
                <w:bCs/>
                <w:sz w:val="17"/>
              </w:rPr>
              <w:t xml:space="preserve">86</w:t>
            </w:r>
          </w:p>
        </w:tc>
        <w:tc>
          <w:tcPr/>
          <w:p>
            <w:pPr>
              <w:pStyle w:val="Compact"/>
            </w:pPr>
            <w:r>
              <w:rPr>
                <w:b/>
                <w:bCs/>
                <w:sz w:val="17"/>
              </w:rPr>
              <w:t xml:space="preserve">Gestion des données de référence (MDM)</w:t>
            </w:r>
          </w:p>
        </w:tc>
        <w:tc>
          <w:tcPr/>
          <w:p>
            <w:pPr>
              <w:pStyle w:val="Compact"/>
            </w:pPr>
            <w:r>
              <w:rPr>
                <w:sz w:val="17"/>
              </w:rPr>
              <w:t xml:space="preserve">Nomenclatures, catégories d’objets, rangs de localité, devises, taux de change officiels</w:t>
            </w:r>
          </w:p>
        </w:tc>
        <w:tc>
          <w:tcPr/>
          <w:p>
            <w:pPr>
              <w:pStyle w:val="Compact"/>
            </w:pPr>
            <w:r>
              <w:rPr>
                <w:sz w:val="17"/>
              </w:rPr>
              <w:t xml:space="preserve">R1</w:t>
            </w:r>
          </w:p>
        </w:tc>
      </w:tr>
      <w:tr>
        <w:tc>
          <w:tcPr>
            <w:shd w:val="clear" w:color="auto" w:fill="F5F7FB"/>
          </w:tcPr>
          <w:p>
            <w:pPr>
              <w:pStyle w:val="Compact"/>
            </w:pPr>
            <w:r>
              <w:rPr>
                <w:b/>
                <w:bCs/>
                <w:sz w:val="17"/>
              </w:rPr>
              <w:t xml:space="preserve">87</w:t>
            </w:r>
          </w:p>
        </w:tc>
        <w:tc>
          <w:tcPr>
            <w:shd w:val="clear" w:color="auto" w:fill="F5F7FB"/>
          </w:tcPr>
          <w:p>
            <w:pPr>
              <w:pStyle w:val="Compact"/>
            </w:pPr>
            <w:r>
              <w:rPr>
                <w:b/>
                <w:bCs/>
                <w:sz w:val="17"/>
              </w:rPr>
              <w:t xml:space="preserve">Consentements, droits des personnes et registre des traitements</w:t>
            </w:r>
          </w:p>
        </w:tc>
        <w:tc>
          <w:tcPr>
            <w:shd w:val="clear" w:color="auto" w:fill="F5F7FB"/>
          </w:tcPr>
          <w:p>
            <w:pPr>
              <w:pStyle w:val="Compact"/>
            </w:pPr>
            <w:r>
              <w:rPr>
                <w:sz w:val="17"/>
              </w:rPr>
              <w:t xml:space="preserve">Conformité à la protection des données, accès, rectification, opposition lorsque applicable</w:t>
            </w:r>
          </w:p>
        </w:tc>
        <w:tc>
          <w:tcPr>
            <w:shd w:val="clear" w:color="auto" w:fill="F5F7FB"/>
          </w:tcPr>
          <w:p>
            <w:pPr>
              <w:pStyle w:val="Compact"/>
            </w:pPr>
            <w:r>
              <w:rPr>
                <w:sz w:val="17"/>
              </w:rPr>
              <w:t xml:space="preserve">R1</w:t>
            </w:r>
          </w:p>
        </w:tc>
      </w:tr>
      <w:tr>
        <w:tc>
          <w:tcPr/>
          <w:p>
            <w:pPr>
              <w:pStyle w:val="Compact"/>
            </w:pPr>
            <w:r>
              <w:rPr>
                <w:b/>
                <w:bCs/>
                <w:sz w:val="17"/>
              </w:rPr>
              <w:t xml:space="preserve">88</w:t>
            </w:r>
          </w:p>
        </w:tc>
        <w:tc>
          <w:tcPr/>
          <w:p>
            <w:pPr>
              <w:pStyle w:val="Compact"/>
            </w:pPr>
            <w:r>
              <w:rPr>
                <w:b/>
                <w:bCs/>
                <w:sz w:val="17"/>
              </w:rPr>
              <w:t xml:space="preserve">Gestion des contrats et conventions partenaires</w:t>
            </w:r>
          </w:p>
        </w:tc>
        <w:tc>
          <w:tcPr/>
          <w:p>
            <w:pPr>
              <w:pStyle w:val="Compact"/>
            </w:pPr>
            <w:r>
              <w:rPr>
                <w:sz w:val="17"/>
              </w:rPr>
              <w:t xml:space="preserve">SLA des banques, opérateurs, sous-traitants ; pénalités ; échéances ; conditions tarifaires</w:t>
            </w:r>
          </w:p>
        </w:tc>
        <w:tc>
          <w:tcPr/>
          <w:p>
            <w:pPr>
              <w:pStyle w:val="Compact"/>
            </w:pPr>
            <w:r>
              <w:rPr>
                <w:sz w:val="17"/>
              </w:rPr>
              <w:t xml:space="preserve">R2</w:t>
            </w:r>
          </w:p>
        </w:tc>
      </w:tr>
      <w:tr>
        <w:tc>
          <w:tcPr>
            <w:shd w:val="clear" w:color="auto" w:fill="F5F7FB"/>
          </w:tcPr>
          <w:p>
            <w:pPr>
              <w:pStyle w:val="Compact"/>
            </w:pPr>
            <w:r>
              <w:rPr>
                <w:b/>
                <w:bCs/>
                <w:sz w:val="17"/>
              </w:rPr>
              <w:t xml:space="preserve">89</w:t>
            </w:r>
          </w:p>
        </w:tc>
        <w:tc>
          <w:tcPr>
            <w:shd w:val="clear" w:color="auto" w:fill="F5F7FB"/>
          </w:tcPr>
          <w:p>
            <w:pPr>
              <w:pStyle w:val="Compact"/>
            </w:pPr>
            <w:r>
              <w:rPr>
                <w:b/>
                <w:bCs/>
                <w:sz w:val="17"/>
              </w:rPr>
              <w:t xml:space="preserve">Gestion des taux de change officiels</w:t>
            </w:r>
          </w:p>
        </w:tc>
        <w:tc>
          <w:tcPr>
            <w:shd w:val="clear" w:color="auto" w:fill="F5F7FB"/>
          </w:tcPr>
          <w:p>
            <w:pPr>
              <w:pStyle w:val="Compact"/>
            </w:pPr>
            <w:r>
              <w:rPr>
                <w:sz w:val="17"/>
              </w:rPr>
              <w:t xml:space="preserve">Conversion CDF/USD selon le taux légalement applicable à la date du fait générateur ou du paiement [À VÉRIFIER règle applicable]</w:t>
            </w:r>
          </w:p>
        </w:tc>
        <w:tc>
          <w:tcPr>
            <w:shd w:val="clear" w:color="auto" w:fill="F5F7FB"/>
          </w:tcPr>
          <w:p>
            <w:pPr>
              <w:pStyle w:val="Compact"/>
            </w:pPr>
            <w:r>
              <w:rPr>
                <w:sz w:val="17"/>
              </w:rPr>
              <w:t xml:space="preserve">R1</w:t>
            </w:r>
          </w:p>
        </w:tc>
      </w:tr>
      <w:tr>
        <w:tc>
          <w:tcPr/>
          <w:p>
            <w:pPr>
              <w:pStyle w:val="Compact"/>
            </w:pPr>
            <w:r>
              <w:rPr>
                <w:b/>
                <w:bCs/>
                <w:sz w:val="17"/>
              </w:rPr>
              <w:t xml:space="preserve">90</w:t>
            </w:r>
          </w:p>
        </w:tc>
        <w:tc>
          <w:tcPr/>
          <w:p>
            <w:pPr>
              <w:pStyle w:val="Compact"/>
            </w:pPr>
            <w:r>
              <w:rPr>
                <w:b/>
                <w:bCs/>
                <w:sz w:val="17"/>
              </w:rPr>
              <w:t xml:space="preserve">Régularisation volontaire</w:t>
            </w:r>
          </w:p>
        </w:tc>
        <w:tc>
          <w:tcPr/>
          <w:p>
            <w:pPr>
              <w:pStyle w:val="Compact"/>
            </w:pPr>
            <w:r>
              <w:rPr>
                <w:sz w:val="17"/>
              </w:rPr>
              <w:t xml:space="preserve">Campagnes de régularisation avec conditions légales, délais et suivi</w:t>
            </w:r>
          </w:p>
        </w:tc>
        <w:tc>
          <w:tcPr/>
          <w:p>
            <w:pPr>
              <w:pStyle w:val="Compact"/>
            </w:pPr>
            <w:r>
              <w:rPr>
                <w:sz w:val="17"/>
              </w:rPr>
              <w:t xml:space="preserve">R2</w:t>
            </w:r>
          </w:p>
        </w:tc>
      </w:tr>
      <w:tr>
        <w:tc>
          <w:tcPr>
            <w:shd w:val="clear" w:color="auto" w:fill="F5F7FB"/>
          </w:tcPr>
          <w:p>
            <w:pPr>
              <w:pStyle w:val="Compact"/>
            </w:pPr>
            <w:r>
              <w:rPr>
                <w:b/>
                <w:bCs/>
                <w:sz w:val="17"/>
              </w:rPr>
              <w:t xml:space="preserve">91</w:t>
            </w:r>
          </w:p>
        </w:tc>
        <w:tc>
          <w:tcPr>
            <w:shd w:val="clear" w:color="auto" w:fill="F5F7FB"/>
          </w:tcPr>
          <w:p>
            <w:pPr>
              <w:pStyle w:val="Compact"/>
            </w:pPr>
            <w:r>
              <w:rPr>
                <w:b/>
                <w:bCs/>
                <w:sz w:val="17"/>
              </w:rPr>
              <w:t xml:space="preserve">Gestion des conflits d’intérêts et déclarations des agents</w:t>
            </w:r>
          </w:p>
        </w:tc>
        <w:tc>
          <w:tcPr>
            <w:shd w:val="clear" w:color="auto" w:fill="F5F7FB"/>
          </w:tcPr>
          <w:p>
            <w:pPr>
              <w:pStyle w:val="Compact"/>
            </w:pPr>
            <w:r>
              <w:rPr>
                <w:sz w:val="17"/>
              </w:rPr>
              <w:t xml:space="preserve">Déclarations d’intérêts, liens avec des contribuables, récusation automatique d’affectation</w:t>
            </w:r>
          </w:p>
        </w:tc>
        <w:tc>
          <w:tcPr>
            <w:shd w:val="clear" w:color="auto" w:fill="F5F7FB"/>
          </w:tcPr>
          <w:p>
            <w:pPr>
              <w:pStyle w:val="Compact"/>
            </w:pPr>
            <w:r>
              <w:rPr>
                <w:sz w:val="17"/>
              </w:rPr>
              <w:t xml:space="preserve">R2</w:t>
            </w:r>
          </w:p>
        </w:tc>
      </w:tr>
      <w:tr>
        <w:tc>
          <w:tcPr/>
          <w:p>
            <w:pPr>
              <w:pStyle w:val="Compact"/>
            </w:pPr>
            <w:r>
              <w:rPr>
                <w:b/>
                <w:bCs/>
                <w:sz w:val="17"/>
              </w:rPr>
              <w:t xml:space="preserve">92</w:t>
            </w:r>
          </w:p>
        </w:tc>
        <w:tc>
          <w:tcPr/>
          <w:p>
            <w:pPr>
              <w:pStyle w:val="Compact"/>
            </w:pPr>
            <w:r>
              <w:rPr>
                <w:b/>
                <w:bCs/>
                <w:sz w:val="17"/>
              </w:rPr>
              <w:t xml:space="preserve">Laboratoire de simulation des politiques</w:t>
            </w:r>
          </w:p>
        </w:tc>
        <w:tc>
          <w:tcPr/>
          <w:p>
            <w:pPr>
              <w:pStyle w:val="Compact"/>
            </w:pPr>
            <w:r>
              <w:rPr>
                <w:sz w:val="17"/>
              </w:rPr>
              <w:t xml:space="preserve">Simuler l’effet d’un tarif, d’une exonération ou d’un zonage avant tout acte</w:t>
            </w:r>
          </w:p>
        </w:tc>
        <w:tc>
          <w:tcPr/>
          <w:p>
            <w:pPr>
              <w:pStyle w:val="Compact"/>
            </w:pPr>
            <w:r>
              <w:rPr>
                <w:sz w:val="17"/>
              </w:rPr>
              <w:t xml:space="preserve">R3</w:t>
            </w:r>
          </w:p>
        </w:tc>
      </w:tr>
      <w:tr>
        <w:tc>
          <w:tcPr>
            <w:shd w:val="clear" w:color="auto" w:fill="F5F7FB"/>
          </w:tcPr>
          <w:p>
            <w:pPr>
              <w:pStyle w:val="Compact"/>
            </w:pPr>
            <w:r>
              <w:rPr>
                <w:b/>
                <w:bCs/>
                <w:sz w:val="17"/>
              </w:rPr>
              <w:t xml:space="preserve">93</w:t>
            </w:r>
          </w:p>
        </w:tc>
        <w:tc>
          <w:tcPr>
            <w:shd w:val="clear" w:color="auto" w:fill="F5F7FB"/>
          </w:tcPr>
          <w:p>
            <w:pPr>
              <w:pStyle w:val="Compact"/>
            </w:pPr>
            <w:r>
              <w:rPr>
                <w:b/>
                <w:bCs/>
                <w:sz w:val="17"/>
              </w:rPr>
              <w:t xml:space="preserve">Gestion des incidents et de la continuité</w:t>
            </w:r>
          </w:p>
        </w:tc>
        <w:tc>
          <w:tcPr>
            <w:shd w:val="clear" w:color="auto" w:fill="F5F7FB"/>
          </w:tcPr>
          <w:p>
            <w:pPr>
              <w:pStyle w:val="Compact"/>
            </w:pPr>
            <w:r>
              <w:rPr>
                <w:sz w:val="17"/>
              </w:rPr>
              <w:t xml:space="preserve">Déclaration, qualification, communication, post-mortem ; mode dégradé des guichets</w:t>
            </w:r>
          </w:p>
        </w:tc>
        <w:tc>
          <w:tcPr>
            <w:shd w:val="clear" w:color="auto" w:fill="F5F7FB"/>
          </w:tcPr>
          <w:p>
            <w:pPr>
              <w:pStyle w:val="Compact"/>
            </w:pPr>
            <w:r>
              <w:rPr>
                <w:sz w:val="17"/>
              </w:rPr>
              <w:t xml:space="preserve">R1</w:t>
            </w:r>
          </w:p>
        </w:tc>
      </w:tr>
      <w:tr>
        <w:tc>
          <w:tcPr/>
          <w:p>
            <w:pPr>
              <w:pStyle w:val="Compact"/>
            </w:pPr>
            <w:r>
              <w:rPr>
                <w:b/>
                <w:bCs/>
                <w:sz w:val="17"/>
              </w:rPr>
              <w:t xml:space="preserve">94</w:t>
            </w:r>
          </w:p>
        </w:tc>
        <w:tc>
          <w:tcPr/>
          <w:p>
            <w:pPr>
              <w:pStyle w:val="Compact"/>
            </w:pPr>
            <w:r>
              <w:rPr>
                <w:b/>
                <w:bCs/>
                <w:sz w:val="17"/>
              </w:rPr>
              <w:t xml:space="preserve">Suivi législatif et réglementaire</w:t>
            </w:r>
          </w:p>
        </w:tc>
        <w:tc>
          <w:tcPr/>
          <w:p>
            <w:pPr>
              <w:pStyle w:val="Compact"/>
            </w:pPr>
            <w:r>
              <w:rPr>
                <w:sz w:val="17"/>
              </w:rPr>
              <w:t xml:space="preserve">Veille des textes, alertes d’expiration, liens texte → règles impactées</w:t>
            </w:r>
          </w:p>
        </w:tc>
        <w:tc>
          <w:tcPr/>
          <w:p>
            <w:pPr>
              <w:pStyle w:val="Compact"/>
            </w:pPr>
            <w:r>
              <w:rPr>
                <w:sz w:val="17"/>
              </w:rPr>
              <w:t xml:space="preserve">R2</w:t>
            </w:r>
          </w:p>
        </w:tc>
      </w:tr>
      <w:tr>
        <w:tc>
          <w:tcPr>
            <w:shd w:val="clear" w:color="auto" w:fill="F5F7FB"/>
          </w:tcPr>
          <w:p>
            <w:pPr>
              <w:pStyle w:val="Compact"/>
            </w:pPr>
            <w:r>
              <w:rPr>
                <w:b/>
                <w:bCs/>
                <w:sz w:val="17"/>
              </w:rPr>
              <w:t xml:space="preserve">95</w:t>
            </w:r>
          </w:p>
        </w:tc>
        <w:tc>
          <w:tcPr>
            <w:shd w:val="clear" w:color="auto" w:fill="F5F7FB"/>
          </w:tcPr>
          <w:p>
            <w:pPr>
              <w:pStyle w:val="Compact"/>
            </w:pPr>
            <w:r>
              <w:rPr>
                <w:b/>
                <w:bCs/>
                <w:sz w:val="17"/>
              </w:rPr>
              <w:t xml:space="preserve">Relations avec les communes (espace ETD)</w:t>
            </w:r>
          </w:p>
        </w:tc>
        <w:tc>
          <w:tcPr>
            <w:shd w:val="clear" w:color="auto" w:fill="F5F7FB"/>
          </w:tcPr>
          <w:p>
            <w:pPr>
              <w:pStyle w:val="Compact"/>
            </w:pPr>
            <w:r>
              <w:rPr>
                <w:sz w:val="17"/>
              </w:rPr>
              <w:t xml:space="preserve">Accueil ultérieur des recettes communales dans un espace distinct du compte unique</w:t>
            </w:r>
          </w:p>
        </w:tc>
        <w:tc>
          <w:tcPr>
            <w:shd w:val="clear" w:color="auto" w:fill="F5F7FB"/>
          </w:tcPr>
          <w:p>
            <w:pPr>
              <w:pStyle w:val="Compact"/>
            </w:pPr>
            <w:r>
              <w:rPr>
                <w:sz w:val="17"/>
              </w:rPr>
              <w:t xml:space="preserve">R4</w:t>
            </w:r>
          </w:p>
        </w:tc>
      </w:tr>
    </w:tbl>
    <w:bookmarkEnd w:id="107"/>
    <w:bookmarkStart w:id="108" w:name="verticales"/>
    <w:p>
      <w:pPr>
        <w:pStyle w:val="Heading2"/>
      </w:pPr>
      <w:r>
        <w:t xml:space="preserve">11.3 Verticales</w:t>
      </w:r>
    </w:p>
    <w:p>
      <w:pPr>
        <w:pStyle w:val="FirstParagraph"/>
      </w:pPr>
      <w:r>
        <w:t xml:space="preserve">Les modules sectoriels sont regroupés en verticales qui partagent toutes le même socle.</w:t>
      </w:r>
      <w:r>
        <w:t xml:space="preserve"> </w:t>
      </w:r>
      <w:r>
        <w:rPr>
          <w:b/>
          <w:bCs/>
        </w:rPr>
        <w:t xml:space="preserve">Aucune verticale ne possède son propre compte contribuable, ses propres règles hors registre ni son propre circuit de paiement.</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Verticale</w:t>
            </w:r>
          </w:p>
        </w:tc>
        <w:tc>
          <w:tcPr>
            <w:shd w:val="clear" w:color="auto" w:fill="232C6B"/>
          </w:tcPr>
          <w:p>
            <w:pPr>
              <w:pStyle w:val="Compact"/>
            </w:pPr>
            <w:r>
              <w:rPr>
                <w:b/>
                <w:color w:val="FFFFFF"/>
                <w:sz w:val="17"/>
              </w:rPr>
              <w:t xml:space="preserve">Modules</w:t>
            </w:r>
          </w:p>
        </w:tc>
        <w:tc>
          <w:tcPr>
            <w:shd w:val="clear" w:color="auto" w:fill="232C6B"/>
          </w:tcPr>
          <w:p>
            <w:pPr>
              <w:pStyle w:val="Compact"/>
            </w:pPr>
            <w:r>
              <w:rPr>
                <w:b/>
                <w:color w:val="FFFFFF"/>
                <w:sz w:val="17"/>
              </w:rPr>
              <w:t xml:space="preserve">Point de vigilance spécifique</w:t>
            </w:r>
          </w:p>
        </w:tc>
      </w:tr>
      <w:tr>
        <w:tc>
          <w:tcPr/>
          <w:p>
            <w:pPr>
              <w:pStyle w:val="Compact"/>
            </w:pPr>
            <w:r>
              <w:rPr>
                <w:sz w:val="17"/>
              </w:rPr>
              <w:t xml:space="preserve">MOSOLO Property</w:t>
            </w:r>
          </w:p>
        </w:tc>
        <w:tc>
          <w:tcPr/>
          <w:p>
            <w:pPr>
              <w:pStyle w:val="Compact"/>
            </w:pPr>
            <w:r>
              <w:rPr>
                <w:sz w:val="17"/>
              </w:rPr>
              <w:t xml:space="preserve">7, 8, 9, 79</w:t>
            </w:r>
          </w:p>
        </w:tc>
        <w:tc>
          <w:tcPr/>
          <w:p>
            <w:pPr>
              <w:pStyle w:val="Compact"/>
            </w:pPr>
            <w:r>
              <w:rPr>
                <w:sz w:val="17"/>
              </w:rPr>
              <w:t xml:space="preserve">Distinguer propriété déclarée, observée, vérifiée, contestée</w:t>
            </w:r>
          </w:p>
        </w:tc>
      </w:tr>
      <w:tr>
        <w:tc>
          <w:tcPr>
            <w:shd w:val="clear" w:color="auto" w:fill="F5F7FB"/>
          </w:tcPr>
          <w:p>
            <w:pPr>
              <w:pStyle w:val="Compact"/>
            </w:pPr>
            <w:r>
              <w:rPr>
                <w:sz w:val="17"/>
              </w:rPr>
              <w:t xml:space="preserve">MOSOLO Rental</w:t>
            </w:r>
          </w:p>
        </w:tc>
        <w:tc>
          <w:tcPr>
            <w:shd w:val="clear" w:color="auto" w:fill="F5F7FB"/>
          </w:tcPr>
          <w:p>
            <w:pPr>
              <w:pStyle w:val="Compact"/>
            </w:pPr>
            <w:r>
              <w:rPr>
                <w:sz w:val="17"/>
              </w:rPr>
              <w:t xml:space="preserve">9</w:t>
            </w:r>
          </w:p>
        </w:tc>
        <w:tc>
          <w:tcPr>
            <w:shd w:val="clear" w:color="auto" w:fill="F5F7FB"/>
          </w:tcPr>
          <w:p>
            <w:pPr>
              <w:pStyle w:val="Compact"/>
            </w:pPr>
            <w:r>
              <w:rPr>
                <w:sz w:val="17"/>
              </w:rPr>
              <w:t xml:space="preserve">Distinguer taux de l’impôt et taux de retenue ; preuve avant liquidation</w:t>
            </w:r>
          </w:p>
        </w:tc>
      </w:tr>
      <w:tr>
        <w:tc>
          <w:tcPr/>
          <w:p>
            <w:pPr>
              <w:pStyle w:val="Compact"/>
            </w:pPr>
            <w:r>
              <w:rPr>
                <w:sz w:val="17"/>
              </w:rPr>
              <w:t xml:space="preserve">MOSOLO Business</w:t>
            </w:r>
          </w:p>
        </w:tc>
        <w:tc>
          <w:tcPr/>
          <w:p>
            <w:pPr>
              <w:pStyle w:val="Compact"/>
            </w:pPr>
            <w:r>
              <w:rPr>
                <w:sz w:val="17"/>
              </w:rPr>
              <w:t xml:space="preserve">10, 17, 56</w:t>
            </w:r>
          </w:p>
        </w:tc>
        <w:tc>
          <w:tcPr/>
          <w:p>
            <w:pPr>
              <w:pStyle w:val="Compact"/>
            </w:pPr>
            <w:r>
              <w:rPr>
                <w:sz w:val="17"/>
              </w:rPr>
              <w:t xml:space="preserve">L’existence d’une activité ne vaut pas assujettissement</w:t>
            </w:r>
          </w:p>
        </w:tc>
      </w:tr>
      <w:tr>
        <w:tc>
          <w:tcPr>
            <w:shd w:val="clear" w:color="auto" w:fill="F5F7FB"/>
          </w:tcPr>
          <w:p>
            <w:pPr>
              <w:pStyle w:val="Compact"/>
            </w:pPr>
            <w:r>
              <w:rPr>
                <w:sz w:val="17"/>
              </w:rPr>
              <w:t xml:space="preserve">MOSOLO Mobility</w:t>
            </w:r>
          </w:p>
        </w:tc>
        <w:tc>
          <w:tcPr>
            <w:shd w:val="clear" w:color="auto" w:fill="F5F7FB"/>
          </w:tcPr>
          <w:p>
            <w:pPr>
              <w:pStyle w:val="Compact"/>
            </w:pPr>
            <w:r>
              <w:rPr>
                <w:sz w:val="17"/>
              </w:rPr>
              <w:t xml:space="preserve">11, 12, 13, 25</w:t>
            </w:r>
          </w:p>
        </w:tc>
        <w:tc>
          <w:tcPr>
            <w:shd w:val="clear" w:color="auto" w:fill="F5F7FB"/>
          </w:tcPr>
          <w:p>
            <w:pPr>
              <w:pStyle w:val="Compact"/>
            </w:pPr>
            <w:r>
              <w:rPr>
                <w:sz w:val="17"/>
              </w:rPr>
              <w:t xml:space="preserve">Coordination avec le pouvoir central (immatriculation)</w:t>
            </w:r>
          </w:p>
        </w:tc>
      </w:tr>
      <w:tr>
        <w:tc>
          <w:tcPr/>
          <w:p>
            <w:pPr>
              <w:pStyle w:val="Compact"/>
            </w:pPr>
            <w:r>
              <w:rPr>
                <w:sz w:val="17"/>
              </w:rPr>
              <w:t xml:space="preserve">MOSOLO Billetterie RakaPay</w:t>
            </w:r>
          </w:p>
        </w:tc>
        <w:tc>
          <w:tcPr/>
          <w:p>
            <w:pPr>
              <w:pStyle w:val="Compact"/>
            </w:pPr>
            <w:r>
              <w:rPr>
                <w:sz w:val="17"/>
              </w:rPr>
              <w:t xml:space="preserve">76, 70, 71,</w:t>
            </w:r>
            <w:r>
              <w:rPr>
                <w:sz w:val="17"/>
              </w:rPr>
              <w:t xml:space="preserve"> </w:t>
            </w:r>
            <w:r>
              <w:rPr>
                <w:b/>
                <w:bCs/>
                <w:sz w:val="17"/>
              </w:rPr>
              <w:t xml:space="preserve">81 (pass wewa)</w:t>
            </w:r>
          </w:p>
        </w:tc>
        <w:tc>
          <w:tcPr/>
          <w:p>
            <w:pPr>
              <w:pStyle w:val="Compact"/>
            </w:pPr>
            <w:r>
              <w:rPr>
                <w:sz w:val="17"/>
              </w:rPr>
              <w:t xml:space="preserve">Le pass des moto-taxis fait partie de RakaPay : même moteur de tickets, mêmes paiements, mêmes contrôles ; tarif fixé par acte</w:t>
            </w:r>
          </w:p>
        </w:tc>
      </w:tr>
      <w:tr>
        <w:tc>
          <w:tcPr>
            <w:shd w:val="clear" w:color="auto" w:fill="F5F7FB"/>
          </w:tcPr>
          <w:p>
            <w:pPr>
              <w:pStyle w:val="Compact"/>
            </w:pPr>
            <w:r>
              <w:rPr>
                <w:sz w:val="17"/>
              </w:rPr>
              <w:t xml:space="preserve">MOSOLO Parking</w:t>
            </w:r>
          </w:p>
        </w:tc>
        <w:tc>
          <w:tcPr>
            <w:shd w:val="clear" w:color="auto" w:fill="F5F7FB"/>
          </w:tcPr>
          <w:p>
            <w:pPr>
              <w:pStyle w:val="Compact"/>
            </w:pPr>
            <w:r>
              <w:rPr>
                <w:sz w:val="17"/>
              </w:rPr>
              <w:t xml:space="preserve">14, 75</w:t>
            </w:r>
          </w:p>
        </w:tc>
        <w:tc>
          <w:tcPr>
            <w:shd w:val="clear" w:color="auto" w:fill="F5F7FB"/>
          </w:tcPr>
          <w:p>
            <w:pPr>
              <w:pStyle w:val="Compact"/>
            </w:pPr>
            <w:r>
              <w:rPr>
                <w:sz w:val="17"/>
              </w:rPr>
              <w:t xml:space="preserve">Acte de zonage et barème requis</w:t>
            </w:r>
          </w:p>
        </w:tc>
      </w:tr>
      <w:tr>
        <w:tc>
          <w:tcPr/>
          <w:p>
            <w:pPr>
              <w:pStyle w:val="Compact"/>
            </w:pPr>
            <w:r>
              <w:rPr>
                <w:sz w:val="17"/>
              </w:rPr>
              <w:t xml:space="preserve">MOSOLO Advertising</w:t>
            </w:r>
          </w:p>
        </w:tc>
        <w:tc>
          <w:tcPr/>
          <w:p>
            <w:pPr>
              <w:pStyle w:val="Compact"/>
            </w:pPr>
            <w:r>
              <w:rPr>
                <w:sz w:val="17"/>
              </w:rPr>
              <w:t xml:space="preserve">15, 77</w:t>
            </w:r>
          </w:p>
        </w:tc>
        <w:tc>
          <w:tcPr/>
          <w:p>
            <w:pPr>
              <w:pStyle w:val="Compact"/>
            </w:pPr>
            <w:r>
              <w:rPr>
                <w:sz w:val="17"/>
              </w:rPr>
              <w:t xml:space="preserve">Constat humain, pas de sanction automatique</w:t>
            </w:r>
          </w:p>
        </w:tc>
      </w:tr>
      <w:tr>
        <w:tc>
          <w:tcPr>
            <w:shd w:val="clear" w:color="auto" w:fill="F5F7FB"/>
          </w:tcPr>
          <w:p>
            <w:pPr>
              <w:pStyle w:val="Compact"/>
            </w:pPr>
            <w:r>
              <w:rPr>
                <w:sz w:val="17"/>
              </w:rPr>
              <w:t xml:space="preserve">MOSOLO Telecom</w:t>
            </w:r>
          </w:p>
        </w:tc>
        <w:tc>
          <w:tcPr>
            <w:shd w:val="clear" w:color="auto" w:fill="F5F7FB"/>
          </w:tcPr>
          <w:p>
            <w:pPr>
              <w:pStyle w:val="Compact"/>
            </w:pPr>
            <w:r>
              <w:rPr>
                <w:sz w:val="17"/>
              </w:rPr>
              <w:t xml:space="preserve">16</w:t>
            </w:r>
          </w:p>
        </w:tc>
        <w:tc>
          <w:tcPr>
            <w:shd w:val="clear" w:color="auto" w:fill="F5F7FB"/>
          </w:tcPr>
          <w:p>
            <w:pPr>
              <w:pStyle w:val="Compact"/>
            </w:pPr>
            <w:r>
              <w:rPr>
                <w:sz w:val="17"/>
              </w:rPr>
              <w:t xml:space="preserve">Contentieux possible sur l’assiette ; dialogue avec les opérateurs</w:t>
            </w:r>
          </w:p>
        </w:tc>
      </w:tr>
      <w:tr>
        <w:tc>
          <w:tcPr/>
          <w:p>
            <w:pPr>
              <w:pStyle w:val="Compact"/>
            </w:pPr>
            <w:r>
              <w:rPr>
                <w:sz w:val="17"/>
              </w:rPr>
              <w:t xml:space="preserve">MOSOLO Markets &amp; Public Domain</w:t>
            </w:r>
          </w:p>
        </w:tc>
        <w:tc>
          <w:tcPr/>
          <w:p>
            <w:pPr>
              <w:pStyle w:val="Compact"/>
            </w:pPr>
            <w:r>
              <w:rPr>
                <w:sz w:val="17"/>
              </w:rPr>
              <w:t xml:space="preserve">20</w:t>
            </w:r>
          </w:p>
        </w:tc>
        <w:tc>
          <w:tcPr/>
          <w:p>
            <w:pPr>
              <w:pStyle w:val="Compact"/>
            </w:pPr>
            <w:r>
              <w:rPr>
                <w:sz w:val="17"/>
              </w:rPr>
              <w:t xml:space="preserve">Collecte historiquement en espèces : priorité anti-fraude</w:t>
            </w:r>
          </w:p>
        </w:tc>
      </w:tr>
      <w:tr>
        <w:tc>
          <w:tcPr>
            <w:shd w:val="clear" w:color="auto" w:fill="F5F7FB"/>
          </w:tcPr>
          <w:p>
            <w:pPr>
              <w:pStyle w:val="Compact"/>
            </w:pPr>
            <w:r>
              <w:rPr>
                <w:sz w:val="17"/>
              </w:rPr>
              <w:t xml:space="preserve">MOSOLO Environment</w:t>
            </w:r>
          </w:p>
        </w:tc>
        <w:tc>
          <w:tcPr>
            <w:shd w:val="clear" w:color="auto" w:fill="F5F7FB"/>
          </w:tcPr>
          <w:p>
            <w:pPr>
              <w:pStyle w:val="Compact"/>
            </w:pPr>
            <w:r>
              <w:rPr>
                <w:sz w:val="17"/>
              </w:rPr>
              <w:t xml:space="preserve">18, 19</w:t>
            </w:r>
          </w:p>
        </w:tc>
        <w:tc>
          <w:tcPr>
            <w:shd w:val="clear" w:color="auto" w:fill="F5F7FB"/>
          </w:tcPr>
          <w:p>
            <w:pPr>
              <w:pStyle w:val="Compact"/>
            </w:pPr>
            <w:r>
              <w:rPr>
                <w:sz w:val="17"/>
              </w:rPr>
              <w:t xml:space="preserve">Contribution plastique non activable sans acte</w:t>
            </w:r>
          </w:p>
        </w:tc>
      </w:tr>
      <w:tr>
        <w:tc>
          <w:tcPr/>
          <w:p>
            <w:pPr>
              <w:pStyle w:val="Compact"/>
            </w:pPr>
            <w:r>
              <w:rPr>
                <w:sz w:val="17"/>
              </w:rPr>
              <w:t xml:space="preserve">MOSOLO Ports</w:t>
            </w:r>
          </w:p>
        </w:tc>
        <w:tc>
          <w:tcPr/>
          <w:p>
            <w:pPr>
              <w:pStyle w:val="Compact"/>
            </w:pPr>
            <w:r>
              <w:rPr>
                <w:sz w:val="17"/>
              </w:rPr>
              <w:t xml:space="preserve">13, 24</w:t>
            </w:r>
          </w:p>
        </w:tc>
        <w:tc>
          <w:tcPr/>
          <w:p>
            <w:pPr>
              <w:pStyle w:val="Compact"/>
            </w:pPr>
            <w:r>
              <w:rPr>
                <w:sz w:val="17"/>
              </w:rPr>
              <w:t xml:space="preserve">Cadrage sectoriel préalable</w:t>
            </w:r>
          </w:p>
        </w:tc>
      </w:tr>
      <w:tr>
        <w:tc>
          <w:tcPr>
            <w:shd w:val="clear" w:color="auto" w:fill="F5F7FB"/>
          </w:tcPr>
          <w:p>
            <w:pPr>
              <w:pStyle w:val="Compact"/>
            </w:pPr>
            <w:r>
              <w:rPr>
                <w:sz w:val="17"/>
              </w:rPr>
              <w:t xml:space="preserve">MOSOLO Events</w:t>
            </w:r>
          </w:p>
        </w:tc>
        <w:tc>
          <w:tcPr>
            <w:shd w:val="clear" w:color="auto" w:fill="F5F7FB"/>
          </w:tcPr>
          <w:p>
            <w:pPr>
              <w:pStyle w:val="Compact"/>
            </w:pPr>
            <w:r>
              <w:rPr>
                <w:sz w:val="17"/>
              </w:rPr>
              <w:t xml:space="preserve">21</w:t>
            </w:r>
          </w:p>
        </w:tc>
        <w:tc>
          <w:tcPr>
            <w:shd w:val="clear" w:color="auto" w:fill="F5F7FB"/>
          </w:tcPr>
          <w:p>
            <w:pPr>
              <w:pStyle w:val="Compact"/>
            </w:pPr>
            <w:r>
              <w:rPr>
                <w:sz w:val="17"/>
              </w:rPr>
              <w:t xml:space="preserve">Assiette déclarative sur billetterie</w:t>
            </w:r>
          </w:p>
        </w:tc>
      </w:tr>
      <w:tr>
        <w:tc>
          <w:tcPr/>
          <w:p>
            <w:pPr>
              <w:pStyle w:val="Compact"/>
            </w:pPr>
            <w:r>
              <w:rPr>
                <w:sz w:val="17"/>
              </w:rPr>
              <w:t xml:space="preserve">MOSOLO Construction</w:t>
            </w:r>
          </w:p>
        </w:tc>
        <w:tc>
          <w:tcPr/>
          <w:p>
            <w:pPr>
              <w:pStyle w:val="Compact"/>
            </w:pPr>
            <w:r>
              <w:rPr>
                <w:sz w:val="17"/>
              </w:rPr>
              <w:t xml:space="preserve">22, 82</w:t>
            </w:r>
          </w:p>
        </w:tc>
        <w:tc>
          <w:tcPr/>
          <w:p>
            <w:pPr>
              <w:pStyle w:val="Compact"/>
            </w:pPr>
            <w:r>
              <w:rPr>
                <w:sz w:val="17"/>
              </w:rPr>
              <w:t xml:space="preserve">Quitus et droits liés aux chantiers</w:t>
            </w:r>
          </w:p>
        </w:tc>
      </w:tr>
      <w:tr>
        <w:tc>
          <w:tcPr>
            <w:shd w:val="clear" w:color="auto" w:fill="F5F7FB"/>
          </w:tcPr>
          <w:p>
            <w:pPr>
              <w:pStyle w:val="Compact"/>
            </w:pPr>
            <w:r>
              <w:rPr>
                <w:sz w:val="17"/>
              </w:rPr>
              <w:t xml:space="preserve">MOSOLO Assets</w:t>
            </w:r>
          </w:p>
        </w:tc>
        <w:tc>
          <w:tcPr>
            <w:shd w:val="clear" w:color="auto" w:fill="F5F7FB"/>
          </w:tcPr>
          <w:p>
            <w:pPr>
              <w:pStyle w:val="Compact"/>
            </w:pPr>
            <w:r>
              <w:rPr>
                <w:sz w:val="17"/>
              </w:rPr>
              <w:t xml:space="preserve">61, 92</w:t>
            </w:r>
          </w:p>
        </w:tc>
        <w:tc>
          <w:tcPr>
            <w:shd w:val="clear" w:color="auto" w:fill="F5F7FB"/>
          </w:tcPr>
          <w:p>
            <w:pPr>
              <w:pStyle w:val="Compact"/>
            </w:pPr>
            <w:r>
              <w:rPr>
                <w:sz w:val="17"/>
              </w:rPr>
              <w:t xml:space="preserve">Valorisation d’actifs provinciaux par mise en concurrence</w:t>
            </w:r>
          </w:p>
        </w:tc>
      </w:tr>
      <w:tr>
        <w:tc>
          <w:tcPr/>
          <w:p>
            <w:pPr>
              <w:pStyle w:val="Compact"/>
            </w:pPr>
            <w:r>
              <w:rPr>
                <w:sz w:val="17"/>
              </w:rPr>
              <w:t xml:space="preserve">MOSOLO Recovery</w:t>
            </w:r>
          </w:p>
        </w:tc>
        <w:tc>
          <w:tcPr/>
          <w:p>
            <w:pPr>
              <w:pStyle w:val="Compact"/>
            </w:pPr>
            <w:r>
              <w:rPr>
                <w:sz w:val="17"/>
              </w:rPr>
              <w:t xml:space="preserve">32, 33, 36, 83, 90</w:t>
            </w:r>
          </w:p>
        </w:tc>
        <w:tc>
          <w:tcPr/>
          <w:p>
            <w:pPr>
              <w:pStyle w:val="Compact"/>
            </w:pPr>
            <w:r>
              <w:rPr>
                <w:sz w:val="17"/>
              </w:rPr>
              <w:t xml:space="preserve">Proportionnalité et recours</w:t>
            </w:r>
          </w:p>
        </w:tc>
      </w:tr>
      <w:tr>
        <w:tc>
          <w:tcPr>
            <w:shd w:val="clear" w:color="auto" w:fill="F5F7FB"/>
          </w:tcPr>
          <w:p>
            <w:pPr>
              <w:pStyle w:val="Compact"/>
            </w:pPr>
            <w:r>
              <w:rPr>
                <w:sz w:val="17"/>
              </w:rPr>
              <w:t xml:space="preserve">MOSOLO AVIA</w:t>
            </w:r>
          </w:p>
        </w:tc>
        <w:tc>
          <w:tcPr>
            <w:shd w:val="clear" w:color="auto" w:fill="F5F7FB"/>
          </w:tcPr>
          <w:p>
            <w:pPr>
              <w:pStyle w:val="Compact"/>
            </w:pPr>
            <w:r>
              <w:rPr>
                <w:sz w:val="17"/>
              </w:rPr>
              <w:t xml:space="preserve">62, 78</w:t>
            </w:r>
          </w:p>
        </w:tc>
        <w:tc>
          <w:tcPr>
            <w:shd w:val="clear" w:color="auto" w:fill="F5F7FB"/>
          </w:tcPr>
          <w:p>
            <w:pPr>
              <w:pStyle w:val="Compact"/>
            </w:pPr>
            <w:r>
              <w:rPr>
                <w:sz w:val="17"/>
              </w:rPr>
              <w:t xml:space="preserve">Validation juridique et coordination multi-acteurs préalables</w:t>
            </w:r>
          </w:p>
        </w:tc>
      </w:tr>
    </w:tbl>
    <w:bookmarkEnd w:id="108"/>
    <w:bookmarkStart w:id="125" w:name="X9344d47c67a32146ca02c4a8b1f09bc561a2d52"/>
    <w:p>
      <w:pPr>
        <w:pStyle w:val="Heading2"/>
      </w:pPr>
      <w:r>
        <w:t xml:space="preserve">11.4 Architecture des communications événementielles</w:t>
      </w:r>
    </w:p>
    <w:bookmarkStart w:id="112" w:name="Xc94baa672b88c6429cd64f73b8ecb4d7018dc45"/>
    <w:p>
      <w:pPr>
        <w:pStyle w:val="Heading3"/>
      </w:pPr>
      <w:r>
        <w:t xml:space="preserve">11.4.1 Principe : un seul moteur d’événements, tous les canaux</w:t>
      </w:r>
    </w:p>
    <w:p>
      <w:pPr>
        <w:pStyle w:val="FirstParagraph"/>
      </w:pPr>
      <w:r>
        <w:t xml:space="preserve">Toute communication de KINSHASA MOSOLO, qu’elle s’adresse à un contribuable, un agent public ou un partenaire, part d’</w:t>
      </w:r>
      <w:r>
        <w:rPr>
          <w:b/>
          <w:bCs/>
        </w:rPr>
        <w:t xml:space="preserve">un événement métier</w:t>
      </w:r>
      <w:r>
        <w:t xml:space="preserve"> </w:t>
      </w:r>
      <w:r>
        <w:t xml:space="preserve">publié sur le bus d’événements par le domaine qui en est propriétaire (chapitre 10). Un seul moteur de communication (module 39) reçoit l’événement et le diffuse (</w:t>
      </w:r>
      <w:r>
        <w:rPr>
          <w:i/>
          <w:iCs/>
        </w:rPr>
        <w:t xml:space="preserve">fan-out</w:t>
      </w:r>
      <w:r>
        <w:t xml:space="preserve">) sur les canaux prévus : courriel, notification dans l’application, SMS, notification push, WhatsApp sur consentement, boîte de messages USSD, serveur vocal (SVI) et courrier imprimé. Aucun module n’envoie de message directement : c’est la garantie que chaque message est traçable, conforme à son modèle approuvé, traduit, et rattaché à la preuve de délivrance.</w:t>
      </w:r>
    </w:p>
    <w:p>
      <w:pPr>
        <w:pStyle w:val="BodyText"/>
      </w:pPr>
      <w:r>
        <w:drawing>
          <wp:inline>
            <wp:extent cx="6108700" cy="5158111"/>
            <wp:effectExtent b="0" l="0" r="0" t="0"/>
            <wp:docPr descr="" title="" id="110" name="Picture"/>
            <a:graphic>
              <a:graphicData uri="http://schemas.openxmlformats.org/drawingml/2006/picture">
                <pic:pic>
                  <pic:nvPicPr>
                    <pic:cNvPr descr="figures/mermaid/mmd-6e9d5a056208.png" id="111" name="Picture"/>
                    <pic:cNvPicPr>
                      <a:picLocks noChangeArrowheads="1" noChangeAspect="1"/>
                    </pic:cNvPicPr>
                  </pic:nvPicPr>
                  <pic:blipFill>
                    <a:blip r:embed="rId109"/>
                    <a:stretch>
                      <a:fillRect/>
                    </a:stretch>
                  </pic:blipFill>
                  <pic:spPr bwMode="auto">
                    <a:xfrm>
                      <a:off x="0" y="0"/>
                      <a:ext cx="6108700" cy="5158111"/>
                    </a:xfrm>
                    <a:prstGeom prst="rect">
                      <a:avLst/>
                    </a:prstGeom>
                    <a:noFill/>
                    <a:ln w="9525">
                      <a:noFill/>
                      <a:headEnd/>
                      <a:tailEnd/>
                    </a:ln>
                  </pic:spPr>
                </pic:pic>
              </a:graphicData>
            </a:graphic>
          </wp:inline>
        </w:drawing>
      </w:r>
    </w:p>
    <w:bookmarkEnd w:id="112"/>
    <w:bookmarkStart w:id="119" w:name="le-catalogue-dévénements"/>
    <w:p>
      <w:pPr>
        <w:pStyle w:val="Heading3"/>
      </w:pPr>
      <w:r>
        <w:t xml:space="preserve">11.4.2 Le catalogue d’événements</w:t>
      </w:r>
    </w:p>
    <w:p>
      <w:pPr>
        <w:pStyle w:val="FirstParagraph"/>
      </w:pPr>
      <w:r>
        <w:t xml:space="preserve">Le catalogue est une</w:t>
      </w:r>
      <w:r>
        <w:t xml:space="preserve"> </w:t>
      </w:r>
      <w:r>
        <w:rPr>
          <w:b/>
          <w:bCs/>
        </w:rPr>
        <w:t xml:space="preserve">donnée de référence versionnée</w:t>
      </w:r>
      <w:r>
        <w:t xml:space="preserve"> </w:t>
      </w:r>
      <w:r>
        <w:t xml:space="preserve">(</w:t>
      </w:r>
      <w:r>
        <w:rPr>
          <w:rStyle w:val="VerbatimChar"/>
        </w:rPr>
        <w:t xml:space="preserve">specs/evenements-communication.yaml</w:t>
      </w:r>
      <w:r>
        <w:t xml:space="preserve">), et non du code : l’ajout ou la modification d’un événement suit un maker-checker (programme + entité concernée + juriste lorsque l’événement porte un avis légal). Il est reproduit intégralement à l’Annexe G.</w:t>
      </w:r>
    </w:p>
    <w:tbl>
      <w:tblPr>
        <w:tblStyle w:val="Table"/>
        <w:tblW w:type="auto" w:w="0"/>
        <w:tblBorders>
          <w:top w:val="single" w:sz="4" w:color="CFE9E4"/>
          <w:left w:val="single" w:sz="4" w:color="CFE9E4"/>
          <w:bottom w:val="single" w:sz="4" w:color="CFE9E4"/>
          <w:right w:val="single" w:sz="4" w:color="CFE9E4"/>
          <w:insideH w:val="single" w:sz="4" w:color="CFE9E4"/>
          <w:insideV w:val="single" w:sz="4" w:color="CFE9E4"/>
        </w:tblBorders>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Indicateur du catalogue (version 1)</w:t>
            </w:r>
          </w:p>
        </w:tc>
        <w:tc>
          <w:tcPr>
            <w:shd w:val="clear" w:color="auto" w:fill="232C6B"/>
          </w:tcPr>
          <w:p>
            <w:pPr>
              <w:pStyle w:val="Compact"/>
            </w:pPr>
            <w:r>
              <w:rPr>
                <w:b/>
                <w:color w:val="FFFFFF"/>
                <w:sz w:val="17"/>
              </w:rPr>
              <w:t xml:space="preserve">Valeur</w:t>
            </w:r>
          </w:p>
        </w:tc>
      </w:tr>
      <w:tr>
        <w:tc>
          <w:tcPr/>
          <w:p>
            <w:pPr>
              <w:pStyle w:val="Compact"/>
            </w:pPr>
            <w:r>
              <w:rPr>
                <w:sz w:val="17"/>
              </w:rPr>
              <w:t xml:space="preserve">Événements</w:t>
            </w:r>
          </w:p>
        </w:tc>
        <w:tc>
          <w:tcPr/>
          <w:p>
            <w:pPr>
              <w:pStyle w:val="Compact"/>
            </w:pPr>
            <w:r>
              <w:rPr>
                <w:b/>
                <w:bCs/>
                <w:sz w:val="17"/>
              </w:rPr>
              <w:t xml:space="preserve">255</w:t>
            </w:r>
          </w:p>
        </w:tc>
      </w:tr>
      <w:tr>
        <w:tc>
          <w:tcPr>
            <w:shd w:val="clear" w:color="auto" w:fill="F5F7FB"/>
          </w:tcPr>
          <w:p>
            <w:pPr>
              <w:pStyle w:val="Compact"/>
            </w:pPr>
            <w:r>
              <w:rPr>
                <w:sz w:val="17"/>
              </w:rPr>
              <w:t xml:space="preserve">Catégories</w:t>
            </w:r>
          </w:p>
        </w:tc>
        <w:tc>
          <w:tcPr>
            <w:shd w:val="clear" w:color="auto" w:fill="F5F7FB"/>
          </w:tcPr>
          <w:p>
            <w:pPr>
              <w:pStyle w:val="Compact"/>
            </w:pPr>
            <w:r>
              <w:rPr>
                <w:b/>
                <w:bCs/>
                <w:sz w:val="17"/>
              </w:rPr>
              <w:t xml:space="preserve">23</w:t>
            </w:r>
          </w:p>
        </w:tc>
      </w:tr>
      <w:tr>
        <w:tc>
          <w:tcPr/>
          <w:p>
            <w:pPr>
              <w:pStyle w:val="Compact"/>
            </w:pPr>
            <w:r>
              <w:rPr>
                <w:sz w:val="17"/>
              </w:rPr>
              <w:t xml:space="preserve">Avis obligatoires (non désinscriptibles)</w:t>
            </w:r>
          </w:p>
        </w:tc>
        <w:tc>
          <w:tcPr/>
          <w:p>
            <w:pPr>
              <w:pStyle w:val="Compact"/>
            </w:pPr>
            <w:r>
              <w:rPr>
                <w:b/>
                <w:bCs/>
                <w:sz w:val="17"/>
              </w:rPr>
              <w:t xml:space="preserve">135</w:t>
            </w:r>
          </w:p>
        </w:tc>
      </w:tr>
      <w:tr>
        <w:tc>
          <w:tcPr>
            <w:shd w:val="clear" w:color="auto" w:fill="F5F7FB"/>
          </w:tcPr>
          <w:p>
            <w:pPr>
              <w:pStyle w:val="Compact"/>
            </w:pPr>
            <w:r>
              <w:rPr>
                <w:sz w:val="17"/>
              </w:rPr>
              <w:t xml:space="preserve">Événements diffusés par défaut en courriel</w:t>
            </w:r>
          </w:p>
        </w:tc>
        <w:tc>
          <w:tcPr>
            <w:shd w:val="clear" w:color="auto" w:fill="F5F7FB"/>
          </w:tcPr>
          <w:p>
            <w:pPr>
              <w:pStyle w:val="Compact"/>
            </w:pPr>
            <w:r>
              <w:rPr>
                <w:sz w:val="17"/>
              </w:rPr>
              <w:t xml:space="preserve">206</w:t>
            </w:r>
          </w:p>
        </w:tc>
      </w:tr>
      <w:tr>
        <w:tc>
          <w:tcPr/>
          <w:p>
            <w:pPr>
              <w:pStyle w:val="Compact"/>
            </w:pPr>
            <w:r>
              <w:rPr>
                <w:sz w:val="17"/>
              </w:rPr>
              <w:t xml:space="preserve">… dans l’application</w:t>
            </w:r>
          </w:p>
        </w:tc>
        <w:tc>
          <w:tcPr/>
          <w:p>
            <w:pPr>
              <w:pStyle w:val="Compact"/>
            </w:pPr>
            <w:r>
              <w:rPr>
                <w:sz w:val="17"/>
              </w:rPr>
              <w:t xml:space="preserve">248</w:t>
            </w:r>
          </w:p>
        </w:tc>
      </w:tr>
      <w:tr>
        <w:tc>
          <w:tcPr>
            <w:shd w:val="clear" w:color="auto" w:fill="F5F7FB"/>
          </w:tcPr>
          <w:p>
            <w:pPr>
              <w:pStyle w:val="Compact"/>
            </w:pPr>
            <w:r>
              <w:rPr>
                <w:sz w:val="17"/>
              </w:rPr>
              <w:t xml:space="preserve">… par SMS</w:t>
            </w:r>
          </w:p>
        </w:tc>
        <w:tc>
          <w:tcPr>
            <w:shd w:val="clear" w:color="auto" w:fill="F5F7FB"/>
          </w:tcPr>
          <w:p>
            <w:pPr>
              <w:pStyle w:val="Compact"/>
            </w:pPr>
            <w:r>
              <w:rPr>
                <w:sz w:val="17"/>
              </w:rPr>
              <w:t xml:space="preserve">117</w:t>
            </w:r>
          </w:p>
        </w:tc>
      </w:tr>
      <w:tr>
        <w:tc>
          <w:tcPr/>
          <w:p>
            <w:pPr>
              <w:pStyle w:val="Compact"/>
            </w:pPr>
            <w:r>
              <w:rPr>
                <w:sz w:val="17"/>
              </w:rPr>
              <w:t xml:space="preserve">… par notification push</w:t>
            </w:r>
          </w:p>
        </w:tc>
        <w:tc>
          <w:tcPr/>
          <w:p>
            <w:pPr>
              <w:pStyle w:val="Compact"/>
            </w:pPr>
            <w:r>
              <w:rPr>
                <w:sz w:val="17"/>
              </w:rPr>
              <w:t xml:space="preserve">43</w:t>
            </w:r>
          </w:p>
        </w:tc>
      </w:tr>
      <w:tr>
        <w:tc>
          <w:tcPr>
            <w:shd w:val="clear" w:color="auto" w:fill="F5F7FB"/>
          </w:tcPr>
          <w:p>
            <w:pPr>
              <w:pStyle w:val="Compact"/>
            </w:pPr>
            <w:r>
              <w:rPr>
                <w:sz w:val="17"/>
              </w:rPr>
              <w:t xml:space="preserve">… dans la boîte USSD</w:t>
            </w:r>
          </w:p>
        </w:tc>
        <w:tc>
          <w:tcPr>
            <w:shd w:val="clear" w:color="auto" w:fill="F5F7FB"/>
          </w:tcPr>
          <w:p>
            <w:pPr>
              <w:pStyle w:val="Compact"/>
            </w:pPr>
            <w:r>
              <w:rPr>
                <w:sz w:val="17"/>
              </w:rPr>
              <w:t xml:space="preserve">31</w:t>
            </w:r>
          </w:p>
        </w:tc>
      </w:tr>
      <w:tr>
        <w:tc>
          <w:tcPr/>
          <w:p>
            <w:pPr>
              <w:pStyle w:val="Compact"/>
            </w:pPr>
            <w:r>
              <w:rPr>
                <w:sz w:val="17"/>
              </w:rPr>
              <w:t xml:space="preserve">… par SVI vocal</w:t>
            </w:r>
          </w:p>
        </w:tc>
        <w:tc>
          <w:tcPr/>
          <w:p>
            <w:pPr>
              <w:pStyle w:val="Compact"/>
            </w:pPr>
            <w:r>
              <w:rPr>
                <w:sz w:val="17"/>
              </w:rPr>
              <w:t xml:space="preserve">11</w:t>
            </w:r>
          </w:p>
        </w:tc>
      </w:tr>
      <w:tr>
        <w:tc>
          <w:tcPr>
            <w:shd w:val="clear" w:color="auto" w:fill="F5F7FB"/>
          </w:tcPr>
          <w:p>
            <w:pPr>
              <w:pStyle w:val="Compact"/>
            </w:pPr>
            <w:r>
              <w:rPr>
                <w:sz w:val="17"/>
              </w:rPr>
              <w:t xml:space="preserve">… par courrier imprimé</w:t>
            </w:r>
          </w:p>
        </w:tc>
        <w:tc>
          <w:tcPr>
            <w:shd w:val="clear" w:color="auto" w:fill="F5F7FB"/>
          </w:tcPr>
          <w:p>
            <w:pPr>
              <w:pStyle w:val="Compact"/>
            </w:pPr>
            <w:r>
              <w:rPr>
                <w:sz w:val="17"/>
              </w:rPr>
              <w:t xml:space="preserve">26</w:t>
            </w:r>
          </w:p>
        </w:tc>
      </w:tr>
      <w:tr>
        <w:tc>
          <w:tcPr/>
          <w:p>
            <w:pPr>
              <w:pStyle w:val="Compact"/>
            </w:pPr>
            <w:r>
              <w:rPr>
                <w:sz w:val="17"/>
              </w:rPr>
              <w:t xml:space="preserve">… éligibles à WhatsApp sur consentement</w:t>
            </w:r>
          </w:p>
        </w:tc>
        <w:tc>
          <w:tcPr/>
          <w:p>
            <w:pPr>
              <w:pStyle w:val="Compact"/>
            </w:pPr>
            <w:r>
              <w:rPr>
                <w:sz w:val="17"/>
              </w:rPr>
              <w:t xml:space="preserve">64</w:t>
            </w:r>
          </w:p>
        </w:tc>
      </w:tr>
    </w:tbl>
    <w:p>
      <w:pPr>
        <w:pStyle w:val="CaptionedFigure"/>
      </w:pPr>
      <w:r>
        <w:drawing>
          <wp:inline>
            <wp:extent cx="6108700" cy="2659862"/>
            <wp:effectExtent b="0" l="0" r="0" t="0"/>
            <wp:docPr descr="Couverture des canaux" title="" id="114" name="Picture"/>
            <a:graphic>
              <a:graphicData uri="http://schemas.openxmlformats.org/drawingml/2006/picture">
                <pic:pic>
                  <pic:nvPicPr>
                    <pic:cNvPr descr="figures/fig-evenements-canaux.png" id="115" name="Picture"/>
                    <pic:cNvPicPr>
                      <a:picLocks noChangeArrowheads="1" noChangeAspect="1"/>
                    </pic:cNvPicPr>
                  </pic:nvPicPr>
                  <pic:blipFill>
                    <a:blip r:embed="rId113"/>
                    <a:stretch>
                      <a:fillRect/>
                    </a:stretch>
                  </pic:blipFill>
                  <pic:spPr bwMode="auto">
                    <a:xfrm>
                      <a:off x="0" y="0"/>
                      <a:ext cx="6108700" cy="2659862"/>
                    </a:xfrm>
                    <a:prstGeom prst="rect">
                      <a:avLst/>
                    </a:prstGeom>
                    <a:noFill/>
                    <a:ln w="9525">
                      <a:noFill/>
                      <a:headEnd/>
                      <a:tailEnd/>
                    </a:ln>
                  </pic:spPr>
                </pic:pic>
              </a:graphicData>
            </a:graphic>
          </wp:inline>
        </w:drawing>
      </w:r>
    </w:p>
    <w:p>
      <w:pPr>
        <w:pStyle w:val="ImageCaption"/>
      </w:pPr>
      <w:r>
        <w:t xml:space="preserve">Couverture des canaux</w:t>
      </w:r>
    </w:p>
    <w:p>
      <w:pPr>
        <w:pStyle w:val="CaptionedFigure"/>
      </w:pPr>
      <w:r>
        <w:drawing>
          <wp:inline>
            <wp:extent cx="6108700" cy="3960761"/>
            <wp:effectExtent b="0" l="0" r="0" t="0"/>
            <wp:docPr descr="Événements par catégorie" title="" id="117" name="Picture"/>
            <a:graphic>
              <a:graphicData uri="http://schemas.openxmlformats.org/drawingml/2006/picture">
                <pic:pic>
                  <pic:nvPicPr>
                    <pic:cNvPr descr="figures/fig-evenements-categories.png" id="118" name="Picture"/>
                    <pic:cNvPicPr>
                      <a:picLocks noChangeArrowheads="1" noChangeAspect="1"/>
                    </pic:cNvPicPr>
                  </pic:nvPicPr>
                  <pic:blipFill>
                    <a:blip r:embed="rId116"/>
                    <a:stretch>
                      <a:fillRect/>
                    </a:stretch>
                  </pic:blipFill>
                  <pic:spPr bwMode="auto">
                    <a:xfrm>
                      <a:off x="0" y="0"/>
                      <a:ext cx="6108700" cy="3960761"/>
                    </a:xfrm>
                    <a:prstGeom prst="rect">
                      <a:avLst/>
                    </a:prstGeom>
                    <a:noFill/>
                    <a:ln w="9525">
                      <a:noFill/>
                      <a:headEnd/>
                      <a:tailEnd/>
                    </a:ln>
                  </pic:spPr>
                </pic:pic>
              </a:graphicData>
            </a:graphic>
          </wp:inline>
        </w:drawing>
      </w:r>
    </w:p>
    <w:p>
      <w:pPr>
        <w:pStyle w:val="ImageCaption"/>
      </w:pPr>
      <w:r>
        <w:t xml:space="preserve">Événements par catégorie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w:t>
            </w:r>
          </w:p>
        </w:tc>
        <w:tc>
          <w:tcPr>
            <w:shd w:val="clear" w:color="auto" w:fill="232C6B"/>
          </w:tcPr>
          <w:p>
            <w:pPr>
              <w:pStyle w:val="Compact"/>
            </w:pPr>
            <w:r>
              <w:rPr>
                <w:b/>
                <w:color w:val="FFFFFF"/>
                <w:sz w:val="17"/>
              </w:rPr>
              <w:t xml:space="preserve">Catégorie</w:t>
            </w:r>
          </w:p>
        </w:tc>
        <w:tc>
          <w:tcPr>
            <w:shd w:val="clear" w:color="auto" w:fill="232C6B"/>
          </w:tcPr>
          <w:p>
            <w:pPr>
              <w:pStyle w:val="Compact"/>
            </w:pPr>
            <w:r>
              <w:rPr>
                <w:b/>
                <w:color w:val="FFFFFF"/>
                <w:sz w:val="17"/>
              </w:rPr>
              <w:t xml:space="preserve">Exemples d’événements</w:t>
            </w:r>
          </w:p>
        </w:tc>
      </w:tr>
      <w:tr>
        <w:tc>
          <w:tcPr/>
          <w:p>
            <w:pPr>
              <w:pStyle w:val="Compact"/>
            </w:pPr>
            <w:r>
              <w:rPr>
                <w:sz w:val="17"/>
              </w:rPr>
              <w:t xml:space="preserve">1</w:t>
            </w:r>
          </w:p>
        </w:tc>
        <w:tc>
          <w:tcPr/>
          <w:p>
            <w:pPr>
              <w:pStyle w:val="Compact"/>
            </w:pPr>
            <w:r>
              <w:rPr>
                <w:sz w:val="17"/>
              </w:rPr>
              <w:t xml:space="preserve">Identité et compte</w:t>
            </w:r>
          </w:p>
        </w:tc>
        <w:tc>
          <w:tcPr/>
          <w:p>
            <w:pPr>
              <w:pStyle w:val="Compact"/>
            </w:pPr>
            <w:r>
              <w:rPr>
                <w:rStyle w:val="VerbatimChar"/>
                <w:sz w:val="17"/>
              </w:rPr>
              <w:t xml:space="preserve">account.registration.requested</w:t>
            </w:r>
            <w:r>
              <w:rPr>
                <w:sz w:val="17"/>
              </w:rPr>
              <w:t xml:space="preserve">,</w:t>
            </w:r>
            <w:r>
              <w:rPr>
                <w:sz w:val="17"/>
              </w:rPr>
              <w:t xml:space="preserve"> </w:t>
            </w:r>
            <w:r>
              <w:rPr>
                <w:rStyle w:val="VerbatimChar"/>
                <w:sz w:val="17"/>
              </w:rPr>
              <w:t xml:space="preserve">account.verification.level_upgraded</w:t>
            </w:r>
            <w:r>
              <w:rPr>
                <w:sz w:val="17"/>
              </w:rPr>
              <w:t xml:space="preserve">,</w:t>
            </w:r>
            <w:r>
              <w:rPr>
                <w:sz w:val="17"/>
              </w:rPr>
              <w:t xml:space="preserve"> </w:t>
            </w:r>
            <w:r>
              <w:rPr>
                <w:rStyle w:val="VerbatimChar"/>
                <w:sz w:val="17"/>
              </w:rPr>
              <w:t xml:space="preserve">account.merge.proposed</w:t>
            </w:r>
            <w:r>
              <w:rPr>
                <w:sz w:val="17"/>
              </w:rPr>
              <w:t xml:space="preserve">,</w:t>
            </w:r>
            <w:r>
              <w:rPr>
                <w:sz w:val="17"/>
              </w:rPr>
              <w:t xml:space="preserve"> </w:t>
            </w:r>
            <w:r>
              <w:rPr>
                <w:rStyle w:val="VerbatimChar"/>
                <w:sz w:val="17"/>
              </w:rPr>
              <w:t xml:space="preserve">account.mosolo_card.issued</w:t>
            </w:r>
          </w:p>
        </w:tc>
      </w:tr>
      <w:tr>
        <w:tc>
          <w:tcPr>
            <w:shd w:val="clear" w:color="auto" w:fill="F5F7FB"/>
          </w:tcPr>
          <w:p>
            <w:pPr>
              <w:pStyle w:val="Compact"/>
            </w:pPr>
            <w:r>
              <w:rPr>
                <w:sz w:val="17"/>
              </w:rPr>
              <w:t xml:space="preserve">2</w:t>
            </w:r>
          </w:p>
        </w:tc>
        <w:tc>
          <w:tcPr>
            <w:shd w:val="clear" w:color="auto" w:fill="F5F7FB"/>
          </w:tcPr>
          <w:p>
            <w:pPr>
              <w:pStyle w:val="Compact"/>
            </w:pPr>
            <w:r>
              <w:rPr>
                <w:sz w:val="17"/>
              </w:rPr>
              <w:t xml:space="preserve">Connexion et sécurité</w:t>
            </w:r>
          </w:p>
        </w:tc>
        <w:tc>
          <w:tcPr>
            <w:shd w:val="clear" w:color="auto" w:fill="F5F7FB"/>
          </w:tcPr>
          <w:p>
            <w:pPr>
              <w:pStyle w:val="Compact"/>
            </w:pPr>
            <w:r>
              <w:rPr>
                <w:rStyle w:val="VerbatimChar"/>
                <w:sz w:val="17"/>
              </w:rPr>
              <w:t xml:space="preserve">auth.login.suspicious</w:t>
            </w:r>
            <w:r>
              <w:rPr>
                <w:sz w:val="17"/>
              </w:rPr>
              <w:t xml:space="preserve">,</w:t>
            </w:r>
            <w:r>
              <w:rPr>
                <w:sz w:val="17"/>
              </w:rPr>
              <w:t xml:space="preserve"> </w:t>
            </w:r>
            <w:r>
              <w:rPr>
                <w:rStyle w:val="VerbatimChar"/>
                <w:sz w:val="17"/>
              </w:rPr>
              <w:t xml:space="preserve">auth.device.new</w:t>
            </w:r>
            <w:r>
              <w:rPr>
                <w:sz w:val="17"/>
              </w:rPr>
              <w:t xml:space="preserve">,</w:t>
            </w:r>
            <w:r>
              <w:rPr>
                <w:sz w:val="17"/>
              </w:rPr>
              <w:t xml:space="preserve"> </w:t>
            </w:r>
            <w:r>
              <w:rPr>
                <w:rStyle w:val="VerbatimChar"/>
                <w:sz w:val="17"/>
              </w:rPr>
              <w:t xml:space="preserve">auth.otp_code</w:t>
            </w:r>
            <w:r>
              <w:rPr>
                <w:sz w:val="17"/>
              </w:rPr>
              <w:t xml:space="preserve">,</w:t>
            </w:r>
            <w:r>
              <w:rPr>
                <w:sz w:val="17"/>
              </w:rPr>
              <w:t xml:space="preserve"> </w:t>
            </w:r>
            <w:r>
              <w:rPr>
                <w:rStyle w:val="VerbatimChar"/>
                <w:sz w:val="17"/>
              </w:rPr>
              <w:t xml:space="preserve">auth.break_glass.used</w:t>
            </w:r>
          </w:p>
        </w:tc>
      </w:tr>
      <w:tr>
        <w:tc>
          <w:tcPr/>
          <w:p>
            <w:pPr>
              <w:pStyle w:val="Compact"/>
            </w:pPr>
            <w:r>
              <w:rPr>
                <w:sz w:val="17"/>
              </w:rPr>
              <w:t xml:space="preserve">3</w:t>
            </w:r>
          </w:p>
        </w:tc>
        <w:tc>
          <w:tcPr/>
          <w:p>
            <w:pPr>
              <w:pStyle w:val="Compact"/>
            </w:pPr>
            <w:r>
              <w:rPr>
                <w:sz w:val="17"/>
              </w:rPr>
              <w:t xml:space="preserve">Mandats et représentants</w:t>
            </w:r>
          </w:p>
        </w:tc>
        <w:tc>
          <w:tcPr/>
          <w:p>
            <w:pPr>
              <w:pStyle w:val="Compact"/>
            </w:pPr>
            <w:r>
              <w:rPr>
                <w:rStyle w:val="VerbatimChar"/>
                <w:sz w:val="17"/>
              </w:rPr>
              <w:t xml:space="preserve">mandate.requested</w:t>
            </w:r>
            <w:r>
              <w:rPr>
                <w:sz w:val="17"/>
              </w:rPr>
              <w:t xml:space="preserve">,</w:t>
            </w:r>
            <w:r>
              <w:rPr>
                <w:sz w:val="17"/>
              </w:rPr>
              <w:t xml:space="preserve"> </w:t>
            </w:r>
            <w:r>
              <w:rPr>
                <w:rStyle w:val="VerbatimChar"/>
                <w:sz w:val="17"/>
              </w:rPr>
              <w:t xml:space="preserve">mandate.action_performed</w:t>
            </w:r>
          </w:p>
        </w:tc>
      </w:tr>
      <w:tr>
        <w:tc>
          <w:tcPr>
            <w:shd w:val="clear" w:color="auto" w:fill="F5F7FB"/>
          </w:tcPr>
          <w:p>
            <w:pPr>
              <w:pStyle w:val="Compact"/>
            </w:pPr>
            <w:r>
              <w:rPr>
                <w:sz w:val="17"/>
              </w:rPr>
              <w:t xml:space="preserve">4</w:t>
            </w:r>
          </w:p>
        </w:tc>
        <w:tc>
          <w:tcPr>
            <w:shd w:val="clear" w:color="auto" w:fill="F5F7FB"/>
          </w:tcPr>
          <w:p>
            <w:pPr>
              <w:pStyle w:val="Compact"/>
            </w:pPr>
            <w:r>
              <w:rPr>
                <w:sz w:val="17"/>
              </w:rPr>
              <w:t xml:space="preserve">Objets fiscaux et recensement</w:t>
            </w:r>
          </w:p>
        </w:tc>
        <w:tc>
          <w:tcPr>
            <w:shd w:val="clear" w:color="auto" w:fill="F5F7FB"/>
          </w:tcPr>
          <w:p>
            <w:pPr>
              <w:pStyle w:val="Compact"/>
            </w:pPr>
            <w:r>
              <w:rPr>
                <w:rStyle w:val="VerbatimChar"/>
                <w:sz w:val="17"/>
              </w:rPr>
              <w:t xml:space="preserve">object.provisional.created</w:t>
            </w:r>
            <w:r>
              <w:rPr>
                <w:sz w:val="17"/>
              </w:rPr>
              <w:t xml:space="preserve">,</w:t>
            </w:r>
            <w:r>
              <w:rPr>
                <w:sz w:val="17"/>
              </w:rPr>
              <w:t xml:space="preserve"> </w:t>
            </w:r>
            <w:r>
              <w:rPr>
                <w:rStyle w:val="VerbatimChar"/>
                <w:sz w:val="17"/>
              </w:rPr>
              <w:t xml:space="preserve">object.link.approved</w:t>
            </w:r>
            <w:r>
              <w:rPr>
                <w:sz w:val="17"/>
              </w:rPr>
              <w:t xml:space="preserve">,</w:t>
            </w:r>
            <w:r>
              <w:rPr>
                <w:sz w:val="17"/>
              </w:rPr>
              <w:t xml:space="preserve"> </w:t>
            </w:r>
            <w:r>
              <w:rPr>
                <w:rStyle w:val="VerbatimChar"/>
                <w:sz w:val="17"/>
              </w:rPr>
              <w:t xml:space="preserve">object.ownership.conflict</w:t>
            </w:r>
            <w:r>
              <w:rPr>
                <w:sz w:val="17"/>
              </w:rPr>
              <w:t xml:space="preserve">,</w:t>
            </w:r>
            <w:r>
              <w:rPr>
                <w:sz w:val="17"/>
              </w:rPr>
              <w:t xml:space="preserve"> </w:t>
            </w:r>
            <w:r>
              <w:rPr>
                <w:rStyle w:val="VerbatimChar"/>
                <w:sz w:val="17"/>
              </w:rPr>
              <w:t xml:space="preserve">object.field_visit.scheduled</w:t>
            </w:r>
          </w:p>
        </w:tc>
      </w:tr>
      <w:tr>
        <w:tc>
          <w:tcPr/>
          <w:p>
            <w:pPr>
              <w:pStyle w:val="Compact"/>
            </w:pPr>
            <w:r>
              <w:rPr>
                <w:sz w:val="17"/>
              </w:rPr>
              <w:t xml:space="preserve">5</w:t>
            </w:r>
          </w:p>
        </w:tc>
        <w:tc>
          <w:tcPr/>
          <w:p>
            <w:pPr>
              <w:pStyle w:val="Compact"/>
            </w:pPr>
            <w:r>
              <w:rPr>
                <w:sz w:val="17"/>
              </w:rPr>
              <w:t xml:space="preserve">Foncier et locatif</w:t>
            </w:r>
          </w:p>
        </w:tc>
        <w:tc>
          <w:tcPr/>
          <w:p>
            <w:pPr>
              <w:pStyle w:val="Compact"/>
            </w:pPr>
            <w:r>
              <w:rPr>
                <w:rStyle w:val="VerbatimChar"/>
                <w:sz w:val="17"/>
              </w:rPr>
              <w:t xml:space="preserve">lease.declared_by_tenant</w:t>
            </w:r>
            <w:r>
              <w:rPr>
                <w:sz w:val="17"/>
              </w:rPr>
              <w:t xml:space="preserve">,</w:t>
            </w:r>
            <w:r>
              <w:rPr>
                <w:sz w:val="17"/>
              </w:rPr>
              <w:t xml:space="preserve"> </w:t>
            </w:r>
            <w:r>
              <w:rPr>
                <w:rStyle w:val="VerbatimChar"/>
                <w:sz w:val="17"/>
              </w:rPr>
              <w:t xml:space="preserve">rental.withholding.due</w:t>
            </w:r>
            <w:r>
              <w:rPr>
                <w:sz w:val="17"/>
              </w:rPr>
              <w:t xml:space="preserve">,</w:t>
            </w:r>
            <w:r>
              <w:rPr>
                <w:sz w:val="17"/>
              </w:rPr>
              <w:t xml:space="preserve"> </w:t>
            </w:r>
            <w:r>
              <w:rPr>
                <w:rStyle w:val="VerbatimChar"/>
                <w:sz w:val="17"/>
              </w:rPr>
              <w:t xml:space="preserve">property.reclassification.proposed</w:t>
            </w:r>
          </w:p>
        </w:tc>
      </w:tr>
      <w:tr>
        <w:tc>
          <w:tcPr>
            <w:shd w:val="clear" w:color="auto" w:fill="F5F7FB"/>
          </w:tcPr>
          <w:p>
            <w:pPr>
              <w:pStyle w:val="Compact"/>
            </w:pPr>
            <w:r>
              <w:rPr>
                <w:sz w:val="17"/>
              </w:rPr>
              <w:t xml:space="preserve">6</w:t>
            </w:r>
          </w:p>
        </w:tc>
        <w:tc>
          <w:tcPr>
            <w:shd w:val="clear" w:color="auto" w:fill="F5F7FB"/>
          </w:tcPr>
          <w:p>
            <w:pPr>
              <w:pStyle w:val="Compact"/>
            </w:pPr>
            <w:r>
              <w:rPr>
                <w:sz w:val="17"/>
              </w:rPr>
              <w:t xml:space="preserve">Déclarations et liquidation</w:t>
            </w:r>
          </w:p>
        </w:tc>
        <w:tc>
          <w:tcPr>
            <w:shd w:val="clear" w:color="auto" w:fill="F5F7FB"/>
          </w:tcPr>
          <w:p>
            <w:pPr>
              <w:pStyle w:val="Compact"/>
            </w:pPr>
            <w:r>
              <w:rPr>
                <w:rStyle w:val="VerbatimChar"/>
                <w:sz w:val="17"/>
              </w:rPr>
              <w:t xml:space="preserve">declaration.prefilled_ready</w:t>
            </w:r>
            <w:r>
              <w:rPr>
                <w:sz w:val="17"/>
              </w:rPr>
              <w:t xml:space="preserve">,</w:t>
            </w:r>
            <w:r>
              <w:rPr>
                <w:sz w:val="17"/>
              </w:rPr>
              <w:t xml:space="preserve"> </w:t>
            </w:r>
            <w:r>
              <w:rPr>
                <w:rStyle w:val="VerbatimChar"/>
                <w:sz w:val="17"/>
              </w:rPr>
              <w:t xml:space="preserve">assessment.issued</w:t>
            </w:r>
            <w:r>
              <w:rPr>
                <w:sz w:val="17"/>
              </w:rPr>
              <w:t xml:space="preserve">,</w:t>
            </w:r>
            <w:r>
              <w:rPr>
                <w:sz w:val="17"/>
              </w:rPr>
              <w:t xml:space="preserve"> </w:t>
            </w:r>
            <w:r>
              <w:rPr>
                <w:rStyle w:val="VerbatimChar"/>
                <w:sz w:val="17"/>
              </w:rPr>
              <w:t xml:space="preserve">assessment.explained</w:t>
            </w:r>
            <w:r>
              <w:rPr>
                <w:sz w:val="17"/>
              </w:rPr>
              <w:t xml:space="preserve">,</w:t>
            </w:r>
            <w:r>
              <w:rPr>
                <w:sz w:val="17"/>
              </w:rPr>
              <w:t xml:space="preserve"> </w:t>
            </w:r>
            <w:r>
              <w:rPr>
                <w:rStyle w:val="VerbatimChar"/>
                <w:sz w:val="17"/>
              </w:rPr>
              <w:t xml:space="preserve">exemption.granted</w:t>
            </w:r>
            <w:r>
              <w:rPr>
                <w:sz w:val="17"/>
              </w:rPr>
              <w:t xml:space="preserve">,</w:t>
            </w:r>
            <w:r>
              <w:rPr>
                <w:sz w:val="17"/>
              </w:rPr>
              <w:t xml:space="preserve"> </w:t>
            </w:r>
            <w:r>
              <w:rPr>
                <w:rStyle w:val="VerbatimChar"/>
                <w:sz w:val="17"/>
              </w:rPr>
              <w:t xml:space="preserve">installment_plan.defaulted</w:t>
            </w:r>
          </w:p>
        </w:tc>
      </w:tr>
      <w:tr>
        <w:tc>
          <w:tcPr/>
          <w:p>
            <w:pPr>
              <w:pStyle w:val="Compact"/>
            </w:pPr>
            <w:r>
              <w:rPr>
                <w:sz w:val="17"/>
              </w:rPr>
              <w:t xml:space="preserve">7</w:t>
            </w:r>
          </w:p>
        </w:tc>
        <w:tc>
          <w:tcPr/>
          <w:p>
            <w:pPr>
              <w:pStyle w:val="Compact"/>
            </w:pPr>
            <w:r>
              <w:rPr>
                <w:sz w:val="17"/>
              </w:rPr>
              <w:t xml:space="preserve">Paiements</w:t>
            </w:r>
          </w:p>
        </w:tc>
        <w:tc>
          <w:tcPr/>
          <w:p>
            <w:pPr>
              <w:pStyle w:val="Compact"/>
            </w:pPr>
            <w:r>
              <w:rPr>
                <w:rStyle w:val="VerbatimChar"/>
                <w:sz w:val="17"/>
              </w:rPr>
              <w:t xml:space="preserve">payment.reference.issued</w:t>
            </w:r>
            <w:r>
              <w:rPr>
                <w:sz w:val="17"/>
              </w:rPr>
              <w:t xml:space="preserve">,</w:t>
            </w:r>
            <w:r>
              <w:rPr>
                <w:sz w:val="17"/>
              </w:rPr>
              <w:t xml:space="preserve"> </w:t>
            </w:r>
            <w:r>
              <w:rPr>
                <w:rStyle w:val="VerbatimChar"/>
                <w:sz w:val="17"/>
              </w:rPr>
              <w:t xml:space="preserve">payment.confirmed</w:t>
            </w:r>
            <w:r>
              <w:rPr>
                <w:sz w:val="17"/>
              </w:rPr>
              <w:t xml:space="preserve">,</w:t>
            </w:r>
            <w:r>
              <w:rPr>
                <w:sz w:val="17"/>
              </w:rPr>
              <w:t xml:space="preserve"> </w:t>
            </w:r>
            <w:r>
              <w:rPr>
                <w:rStyle w:val="VerbatimChar"/>
                <w:sz w:val="17"/>
              </w:rPr>
              <w:t xml:space="preserve">payment.duplicate_detected</w:t>
            </w:r>
            <w:r>
              <w:rPr>
                <w:sz w:val="17"/>
              </w:rPr>
              <w:t xml:space="preserve">,</w:t>
            </w:r>
            <w:r>
              <w:rPr>
                <w:sz w:val="17"/>
              </w:rPr>
              <w:t xml:space="preserve"> </w:t>
            </w:r>
            <w:r>
              <w:rPr>
                <w:rStyle w:val="VerbatimChar"/>
                <w:sz w:val="17"/>
              </w:rPr>
              <w:t xml:space="preserve">payment.currency_converted</w:t>
            </w:r>
            <w:r>
              <w:rPr>
                <w:sz w:val="17"/>
              </w:rPr>
              <w:t xml:space="preserve">,</w:t>
            </w:r>
            <w:r>
              <w:rPr>
                <w:sz w:val="17"/>
              </w:rPr>
              <w:t xml:space="preserve"> </w:t>
            </w:r>
            <w:r>
              <w:rPr>
                <w:rStyle w:val="VerbatimChar"/>
                <w:sz w:val="17"/>
              </w:rPr>
              <w:t xml:space="preserve">refund.paid</w:t>
            </w:r>
          </w:p>
        </w:tc>
      </w:tr>
      <w:tr>
        <w:tc>
          <w:tcPr>
            <w:shd w:val="clear" w:color="auto" w:fill="F5F7FB"/>
          </w:tcPr>
          <w:p>
            <w:pPr>
              <w:pStyle w:val="Compact"/>
            </w:pPr>
            <w:r>
              <w:rPr>
                <w:sz w:val="17"/>
              </w:rPr>
              <w:t xml:space="preserve">8</w:t>
            </w:r>
          </w:p>
        </w:tc>
        <w:tc>
          <w:tcPr>
            <w:shd w:val="clear" w:color="auto" w:fill="F5F7FB"/>
          </w:tcPr>
          <w:p>
            <w:pPr>
              <w:pStyle w:val="Compact"/>
            </w:pPr>
            <w:r>
              <w:rPr>
                <w:sz w:val="17"/>
              </w:rPr>
              <w:t xml:space="preserve">Quittances et quitus</w:t>
            </w:r>
          </w:p>
        </w:tc>
        <w:tc>
          <w:tcPr>
            <w:shd w:val="clear" w:color="auto" w:fill="F5F7FB"/>
          </w:tcPr>
          <w:p>
            <w:pPr>
              <w:pStyle w:val="Compact"/>
            </w:pPr>
            <w:r>
              <w:rPr>
                <w:rStyle w:val="VerbatimChar"/>
                <w:sz w:val="17"/>
              </w:rPr>
              <w:t xml:space="preserve">receipt.issued_provisional</w:t>
            </w:r>
            <w:r>
              <w:rPr>
                <w:sz w:val="17"/>
              </w:rPr>
              <w:t xml:space="preserve">,</w:t>
            </w:r>
            <w:r>
              <w:rPr>
                <w:sz w:val="17"/>
              </w:rPr>
              <w:t xml:space="preserve"> </w:t>
            </w:r>
            <w:r>
              <w:rPr>
                <w:rStyle w:val="VerbatimChar"/>
                <w:sz w:val="17"/>
              </w:rPr>
              <w:t xml:space="preserve">receipt.finalized</w:t>
            </w:r>
            <w:r>
              <w:rPr>
                <w:sz w:val="17"/>
              </w:rPr>
              <w:t xml:space="preserve">,</w:t>
            </w:r>
            <w:r>
              <w:rPr>
                <w:sz w:val="17"/>
              </w:rPr>
              <w:t xml:space="preserve"> </w:t>
            </w:r>
            <w:r>
              <w:rPr>
                <w:rStyle w:val="VerbatimChar"/>
                <w:sz w:val="17"/>
              </w:rPr>
              <w:t xml:space="preserve">receipt.verification.fraud_suspected</w:t>
            </w:r>
            <w:r>
              <w:rPr>
                <w:sz w:val="17"/>
              </w:rPr>
              <w:t xml:space="preserve">,</w:t>
            </w:r>
            <w:r>
              <w:rPr>
                <w:sz w:val="17"/>
              </w:rPr>
              <w:t xml:space="preserve"> </w:t>
            </w:r>
            <w:r>
              <w:rPr>
                <w:rStyle w:val="VerbatimChar"/>
                <w:sz w:val="17"/>
              </w:rPr>
              <w:t xml:space="preserve">clearance.issued</w:t>
            </w:r>
          </w:p>
        </w:tc>
      </w:tr>
      <w:tr>
        <w:tc>
          <w:tcPr/>
          <w:p>
            <w:pPr>
              <w:pStyle w:val="Compact"/>
            </w:pPr>
            <w:r>
              <w:rPr>
                <w:sz w:val="17"/>
              </w:rPr>
              <w:t xml:space="preserve">9</w:t>
            </w:r>
          </w:p>
        </w:tc>
        <w:tc>
          <w:tcPr/>
          <w:p>
            <w:pPr>
              <w:pStyle w:val="Compact"/>
            </w:pPr>
            <w:r>
              <w:rPr>
                <w:sz w:val="17"/>
              </w:rPr>
              <w:t xml:space="preserve">Titres et autorisations</w:t>
            </w:r>
          </w:p>
        </w:tc>
        <w:tc>
          <w:tcPr/>
          <w:p>
            <w:pPr>
              <w:pStyle w:val="Compact"/>
            </w:pPr>
            <w:r>
              <w:rPr>
                <w:rStyle w:val="VerbatimChar"/>
                <w:sz w:val="17"/>
              </w:rPr>
              <w:t xml:space="preserve">permit.issued</w:t>
            </w:r>
            <w:r>
              <w:rPr>
                <w:sz w:val="17"/>
              </w:rPr>
              <w:t xml:space="preserve">,</w:t>
            </w:r>
            <w:r>
              <w:rPr>
                <w:sz w:val="17"/>
              </w:rPr>
              <w:t xml:space="preserve"> </w:t>
            </w:r>
            <w:r>
              <w:rPr>
                <w:rStyle w:val="VerbatimChar"/>
                <w:sz w:val="17"/>
              </w:rPr>
              <w:t xml:space="preserve">permit.expiring</w:t>
            </w:r>
            <w:r>
              <w:rPr>
                <w:sz w:val="17"/>
              </w:rPr>
              <w:t xml:space="preserve">,</w:t>
            </w:r>
            <w:r>
              <w:rPr>
                <w:sz w:val="17"/>
              </w:rPr>
              <w:t xml:space="preserve"> </w:t>
            </w:r>
            <w:r>
              <w:rPr>
                <w:rStyle w:val="VerbatimChar"/>
                <w:sz w:val="17"/>
              </w:rPr>
              <w:t xml:space="preserve">ticket.expiring</w:t>
            </w:r>
            <w:r>
              <w:rPr>
                <w:sz w:val="17"/>
              </w:rPr>
              <w:t xml:space="preserve">,</w:t>
            </w:r>
            <w:r>
              <w:rPr>
                <w:sz w:val="17"/>
              </w:rPr>
              <w:t xml:space="preserve"> </w:t>
            </w:r>
            <w:r>
              <w:rPr>
                <w:rStyle w:val="VerbatimChar"/>
                <w:sz w:val="17"/>
              </w:rPr>
              <w:t xml:space="preserve">parking.violation.recorded</w:t>
            </w:r>
          </w:p>
        </w:tc>
      </w:tr>
      <w:tr>
        <w:tc>
          <w:tcPr>
            <w:shd w:val="clear" w:color="auto" w:fill="F5F7FB"/>
          </w:tcPr>
          <w:p>
            <w:pPr>
              <w:pStyle w:val="Compact"/>
            </w:pPr>
            <w:r>
              <w:rPr>
                <w:sz w:val="17"/>
              </w:rPr>
              <w:t xml:space="preserve">10</w:t>
            </w:r>
          </w:p>
        </w:tc>
        <w:tc>
          <w:tcPr>
            <w:shd w:val="clear" w:color="auto" w:fill="F5F7FB"/>
          </w:tcPr>
          <w:p>
            <w:pPr>
              <w:pStyle w:val="Compact"/>
            </w:pPr>
            <w:r>
              <w:rPr>
                <w:sz w:val="17"/>
              </w:rPr>
              <w:t xml:space="preserve">Recouvrement et arriérés</w:t>
            </w:r>
          </w:p>
        </w:tc>
        <w:tc>
          <w:tcPr>
            <w:shd w:val="clear" w:color="auto" w:fill="F5F7FB"/>
          </w:tcPr>
          <w:p>
            <w:pPr>
              <w:pStyle w:val="Compact"/>
            </w:pPr>
            <w:r>
              <w:rPr>
                <w:rStyle w:val="VerbatimChar"/>
                <w:sz w:val="17"/>
              </w:rPr>
              <w:t xml:space="preserve">recovery.reminder.1</w:t>
            </w:r>
            <w:r>
              <w:rPr>
                <w:sz w:val="17"/>
              </w:rPr>
              <w:t xml:space="preserve">,</w:t>
            </w:r>
            <w:r>
              <w:rPr>
                <w:sz w:val="17"/>
              </w:rPr>
              <w:t xml:space="preserve"> </w:t>
            </w:r>
            <w:r>
              <w:rPr>
                <w:rStyle w:val="VerbatimChar"/>
                <w:sz w:val="17"/>
              </w:rPr>
              <w:t xml:space="preserve">recovery.formal_notice</w:t>
            </w:r>
            <w:r>
              <w:rPr>
                <w:sz w:val="17"/>
              </w:rPr>
              <w:t xml:space="preserve">,</w:t>
            </w:r>
            <w:r>
              <w:rPr>
                <w:sz w:val="17"/>
              </w:rPr>
              <w:t xml:space="preserve"> </w:t>
            </w:r>
            <w:r>
              <w:rPr>
                <w:rStyle w:val="VerbatimChar"/>
                <w:sz w:val="17"/>
              </w:rPr>
              <w:t xml:space="preserve">recovery.enforcement.proposed</w:t>
            </w:r>
          </w:p>
        </w:tc>
      </w:tr>
      <w:tr>
        <w:tc>
          <w:tcPr/>
          <w:p>
            <w:pPr>
              <w:pStyle w:val="Compact"/>
            </w:pPr>
            <w:r>
              <w:rPr>
                <w:sz w:val="17"/>
              </w:rPr>
              <w:t xml:space="preserve">11</w:t>
            </w:r>
          </w:p>
        </w:tc>
        <w:tc>
          <w:tcPr/>
          <w:p>
            <w:pPr>
              <w:pStyle w:val="Compact"/>
            </w:pPr>
            <w:r>
              <w:rPr>
                <w:sz w:val="17"/>
              </w:rPr>
              <w:t xml:space="preserve">Missions et contrôle terrain</w:t>
            </w:r>
          </w:p>
        </w:tc>
        <w:tc>
          <w:tcPr/>
          <w:p>
            <w:pPr>
              <w:pStyle w:val="Compact"/>
            </w:pPr>
            <w:r>
              <w:rPr>
                <w:rStyle w:val="VerbatimChar"/>
                <w:sz w:val="17"/>
              </w:rPr>
              <w:t xml:space="preserve">mission.assigned</w:t>
            </w:r>
            <w:r>
              <w:rPr>
                <w:sz w:val="17"/>
              </w:rPr>
              <w:t xml:space="preserve">,</w:t>
            </w:r>
            <w:r>
              <w:rPr>
                <w:sz w:val="17"/>
              </w:rPr>
              <w:t xml:space="preserve"> </w:t>
            </w:r>
            <w:r>
              <w:rPr>
                <w:rStyle w:val="VerbatimChar"/>
                <w:sz w:val="17"/>
              </w:rPr>
              <w:t xml:space="preserve">mission.expiring_offline_data</w:t>
            </w:r>
            <w:r>
              <w:rPr>
                <w:sz w:val="17"/>
              </w:rPr>
              <w:t xml:space="preserve">,</w:t>
            </w:r>
            <w:r>
              <w:rPr>
                <w:sz w:val="17"/>
              </w:rPr>
              <w:t xml:space="preserve"> </w:t>
            </w:r>
            <w:r>
              <w:rPr>
                <w:rStyle w:val="VerbatimChar"/>
                <w:sz w:val="17"/>
              </w:rPr>
              <w:t xml:space="preserve">mission.geofence.breach</w:t>
            </w:r>
            <w:r>
              <w:rPr>
                <w:sz w:val="17"/>
              </w:rPr>
              <w:t xml:space="preserve">,</w:t>
            </w:r>
            <w:r>
              <w:rPr>
                <w:sz w:val="17"/>
              </w:rPr>
              <w:t xml:space="preserve"> </w:t>
            </w:r>
            <w:r>
              <w:rPr>
                <w:rStyle w:val="VerbatimChar"/>
                <w:sz w:val="17"/>
              </w:rPr>
              <w:t xml:space="preserve">device.lost_reported</w:t>
            </w:r>
          </w:p>
        </w:tc>
      </w:tr>
      <w:tr>
        <w:tc>
          <w:tcPr>
            <w:shd w:val="clear" w:color="auto" w:fill="F5F7FB"/>
          </w:tcPr>
          <w:p>
            <w:pPr>
              <w:pStyle w:val="Compact"/>
            </w:pPr>
            <w:r>
              <w:rPr>
                <w:sz w:val="17"/>
              </w:rPr>
              <w:t xml:space="preserve">12</w:t>
            </w:r>
          </w:p>
        </w:tc>
        <w:tc>
          <w:tcPr>
            <w:shd w:val="clear" w:color="auto" w:fill="F5F7FB"/>
          </w:tcPr>
          <w:p>
            <w:pPr>
              <w:pStyle w:val="Compact"/>
            </w:pPr>
            <w:r>
              <w:rPr>
                <w:sz w:val="17"/>
              </w:rPr>
              <w:t xml:space="preserve">Réclamations et recours</w:t>
            </w:r>
          </w:p>
        </w:tc>
        <w:tc>
          <w:tcPr>
            <w:shd w:val="clear" w:color="auto" w:fill="F5F7FB"/>
          </w:tcPr>
          <w:p>
            <w:pPr>
              <w:pStyle w:val="Compact"/>
            </w:pPr>
            <w:r>
              <w:rPr>
                <w:rStyle w:val="VerbatimChar"/>
                <w:sz w:val="17"/>
              </w:rPr>
              <w:t xml:space="preserve">appeal.submitted</w:t>
            </w:r>
            <w:r>
              <w:rPr>
                <w:sz w:val="17"/>
              </w:rPr>
              <w:t xml:space="preserve">,</w:t>
            </w:r>
            <w:r>
              <w:rPr>
                <w:sz w:val="17"/>
              </w:rPr>
              <w:t xml:space="preserve"> </w:t>
            </w:r>
            <w:r>
              <w:rPr>
                <w:rStyle w:val="VerbatimChar"/>
                <w:sz w:val="17"/>
              </w:rPr>
              <w:t xml:space="preserve">appeal.decided</w:t>
            </w:r>
            <w:r>
              <w:rPr>
                <w:sz w:val="17"/>
              </w:rPr>
              <w:t xml:space="preserve">,</w:t>
            </w:r>
            <w:r>
              <w:rPr>
                <w:sz w:val="17"/>
              </w:rPr>
              <w:t xml:space="preserve"> </w:t>
            </w:r>
            <w:r>
              <w:rPr>
                <w:rStyle w:val="VerbatimChar"/>
                <w:sz w:val="17"/>
              </w:rPr>
              <w:t xml:space="preserve">appeal.sla_breach</w:t>
            </w:r>
          </w:p>
        </w:tc>
      </w:tr>
      <w:tr>
        <w:tc>
          <w:tcPr/>
          <w:p>
            <w:pPr>
              <w:pStyle w:val="Compact"/>
            </w:pPr>
            <w:r>
              <w:rPr>
                <w:sz w:val="17"/>
              </w:rPr>
              <w:t xml:space="preserve">13</w:t>
            </w:r>
          </w:p>
        </w:tc>
        <w:tc>
          <w:tcPr/>
          <w:p>
            <w:pPr>
              <w:pStyle w:val="Compact"/>
            </w:pPr>
            <w:r>
              <w:rPr>
                <w:sz w:val="17"/>
              </w:rPr>
              <w:t xml:space="preserve">Approbations et workflows</w:t>
            </w:r>
          </w:p>
        </w:tc>
        <w:tc>
          <w:tcPr/>
          <w:p>
            <w:pPr>
              <w:pStyle w:val="Compact"/>
            </w:pPr>
            <w:r>
              <w:rPr>
                <w:rStyle w:val="VerbatimChar"/>
                <w:sz w:val="17"/>
              </w:rPr>
              <w:t xml:space="preserve">approval.requested</w:t>
            </w:r>
            <w:r>
              <w:rPr>
                <w:sz w:val="17"/>
              </w:rPr>
              <w:t xml:space="preserve">,</w:t>
            </w:r>
            <w:r>
              <w:rPr>
                <w:sz w:val="17"/>
              </w:rPr>
              <w:t xml:space="preserve"> </w:t>
            </w:r>
            <w:r>
              <w:rPr>
                <w:rStyle w:val="VerbatimChar"/>
                <w:sz w:val="17"/>
              </w:rPr>
              <w:t xml:space="preserve">approval.self_approval_blocked</w:t>
            </w:r>
            <w:r>
              <w:rPr>
                <w:sz w:val="17"/>
              </w:rPr>
              <w:t xml:space="preserve">,</w:t>
            </w:r>
            <w:r>
              <w:rPr>
                <w:sz w:val="17"/>
              </w:rPr>
              <w:t xml:space="preserve"> </w:t>
            </w:r>
            <w:r>
              <w:rPr>
                <w:rStyle w:val="VerbatimChar"/>
                <w:sz w:val="17"/>
              </w:rPr>
              <w:t xml:space="preserve">beneficiary.change.proposed</w:t>
            </w:r>
            <w:r>
              <w:rPr>
                <w:sz w:val="17"/>
              </w:rPr>
              <w:t xml:space="preserve">,</w:t>
            </w:r>
            <w:r>
              <w:rPr>
                <w:sz w:val="17"/>
              </w:rPr>
              <w:t xml:space="preserve"> </w:t>
            </w:r>
            <w:r>
              <w:rPr>
                <w:rStyle w:val="VerbatimChar"/>
                <w:sz w:val="17"/>
              </w:rPr>
              <w:t xml:space="preserve">beneficiary.change.cooling_off</w:t>
            </w:r>
          </w:p>
        </w:tc>
      </w:tr>
      <w:tr>
        <w:tc>
          <w:tcPr>
            <w:shd w:val="clear" w:color="auto" w:fill="F5F7FB"/>
          </w:tcPr>
          <w:p>
            <w:pPr>
              <w:pStyle w:val="Compact"/>
            </w:pPr>
            <w:r>
              <w:rPr>
                <w:sz w:val="17"/>
              </w:rPr>
              <w:t xml:space="preserve">14</w:t>
            </w:r>
          </w:p>
        </w:tc>
        <w:tc>
          <w:tcPr>
            <w:shd w:val="clear" w:color="auto" w:fill="F5F7FB"/>
          </w:tcPr>
          <w:p>
            <w:pPr>
              <w:pStyle w:val="Compact"/>
            </w:pPr>
            <w:r>
              <w:rPr>
                <w:sz w:val="17"/>
              </w:rPr>
              <w:t xml:space="preserve">Registre juridique et règles</w:t>
            </w:r>
          </w:p>
        </w:tc>
        <w:tc>
          <w:tcPr>
            <w:shd w:val="clear" w:color="auto" w:fill="F5F7FB"/>
          </w:tcPr>
          <w:p>
            <w:pPr>
              <w:pStyle w:val="Compact"/>
            </w:pPr>
            <w:r>
              <w:rPr>
                <w:rStyle w:val="VerbatimChar"/>
                <w:sz w:val="17"/>
              </w:rPr>
              <w:t xml:space="preserve">rule.published</w:t>
            </w:r>
            <w:r>
              <w:rPr>
                <w:sz w:val="17"/>
              </w:rPr>
              <w:t xml:space="preserve">,</w:t>
            </w:r>
            <w:r>
              <w:rPr>
                <w:sz w:val="17"/>
              </w:rPr>
              <w:t xml:space="preserve"> </w:t>
            </w:r>
            <w:r>
              <w:rPr>
                <w:rStyle w:val="VerbatimChar"/>
                <w:sz w:val="17"/>
              </w:rPr>
              <w:t xml:space="preserve">rule.conflict.detected</w:t>
            </w:r>
            <w:r>
              <w:rPr>
                <w:sz w:val="17"/>
              </w:rPr>
              <w:t xml:space="preserve">,</w:t>
            </w:r>
            <w:r>
              <w:rPr>
                <w:sz w:val="17"/>
              </w:rPr>
              <w:t xml:space="preserve"> </w:t>
            </w:r>
            <w:r>
              <w:rPr>
                <w:rStyle w:val="VerbatimChar"/>
                <w:sz w:val="17"/>
              </w:rPr>
              <w:t xml:space="preserve">legal.instrument.abrogated</w:t>
            </w:r>
          </w:p>
        </w:tc>
      </w:tr>
      <w:tr>
        <w:tc>
          <w:tcPr/>
          <w:p>
            <w:pPr>
              <w:pStyle w:val="Compact"/>
            </w:pPr>
            <w:r>
              <w:rPr>
                <w:sz w:val="17"/>
              </w:rPr>
              <w:t xml:space="preserve">15</w:t>
            </w:r>
          </w:p>
        </w:tc>
        <w:tc>
          <w:tcPr/>
          <w:p>
            <w:pPr>
              <w:pStyle w:val="Compact"/>
            </w:pPr>
            <w:r>
              <w:rPr>
                <w:sz w:val="17"/>
              </w:rPr>
              <w:t xml:space="preserve">Trésor et rapprochement</w:t>
            </w:r>
          </w:p>
        </w:tc>
        <w:tc>
          <w:tcPr/>
          <w:p>
            <w:pPr>
              <w:pStyle w:val="Compact"/>
            </w:pPr>
            <w:r>
              <w:rPr>
                <w:rStyle w:val="VerbatimChar"/>
                <w:sz w:val="17"/>
              </w:rPr>
              <w:t xml:space="preserve">settlement.delayed</w:t>
            </w:r>
            <w:r>
              <w:rPr>
                <w:sz w:val="17"/>
              </w:rPr>
              <w:t xml:space="preserve">,</w:t>
            </w:r>
            <w:r>
              <w:rPr>
                <w:sz w:val="17"/>
              </w:rPr>
              <w:t xml:space="preserve"> </w:t>
            </w:r>
            <w:r>
              <w:rPr>
                <w:rStyle w:val="VerbatimChar"/>
                <w:sz w:val="17"/>
              </w:rPr>
              <w:t xml:space="preserve">reconciliation.exception.aged</w:t>
            </w:r>
            <w:r>
              <w:rPr>
                <w:sz w:val="17"/>
              </w:rPr>
              <w:t xml:space="preserve">,</w:t>
            </w:r>
            <w:r>
              <w:rPr>
                <w:sz w:val="17"/>
              </w:rPr>
              <w:t xml:space="preserve"> </w:t>
            </w:r>
            <w:r>
              <w:rPr>
                <w:rStyle w:val="VerbatimChar"/>
                <w:sz w:val="17"/>
              </w:rPr>
              <w:t xml:space="preserve">ledger.imbalance</w:t>
            </w:r>
            <w:r>
              <w:rPr>
                <w:sz w:val="17"/>
              </w:rPr>
              <w:t xml:space="preserve">,</w:t>
            </w:r>
            <w:r>
              <w:rPr>
                <w:sz w:val="17"/>
              </w:rPr>
              <w:t xml:space="preserve"> </w:t>
            </w:r>
            <w:r>
              <w:rPr>
                <w:rStyle w:val="VerbatimChar"/>
                <w:sz w:val="17"/>
              </w:rPr>
              <w:t xml:space="preserve">fx.rate.missing</w:t>
            </w:r>
          </w:p>
        </w:tc>
      </w:tr>
      <w:tr>
        <w:tc>
          <w:tcPr>
            <w:shd w:val="clear" w:color="auto" w:fill="F5F7FB"/>
          </w:tcPr>
          <w:p>
            <w:pPr>
              <w:pStyle w:val="Compact"/>
            </w:pPr>
            <w:r>
              <w:rPr>
                <w:sz w:val="17"/>
              </w:rPr>
              <w:t xml:space="preserve">16</w:t>
            </w:r>
          </w:p>
        </w:tc>
        <w:tc>
          <w:tcPr>
            <w:shd w:val="clear" w:color="auto" w:fill="F5F7FB"/>
          </w:tcPr>
          <w:p>
            <w:pPr>
              <w:pStyle w:val="Compact"/>
            </w:pPr>
            <w:r>
              <w:rPr>
                <w:sz w:val="17"/>
              </w:rPr>
              <w:t xml:space="preserve">Anti-fraude et audit</w:t>
            </w:r>
          </w:p>
        </w:tc>
        <w:tc>
          <w:tcPr>
            <w:shd w:val="clear" w:color="auto" w:fill="F5F7FB"/>
          </w:tcPr>
          <w:p>
            <w:pPr>
              <w:pStyle w:val="Compact"/>
            </w:pPr>
            <w:r>
              <w:rPr>
                <w:rStyle w:val="VerbatimChar"/>
                <w:sz w:val="17"/>
              </w:rPr>
              <w:t xml:space="preserve">fraud.alert.raised</w:t>
            </w:r>
            <w:r>
              <w:rPr>
                <w:sz w:val="17"/>
              </w:rPr>
              <w:t xml:space="preserve">,</w:t>
            </w:r>
            <w:r>
              <w:rPr>
                <w:sz w:val="17"/>
              </w:rPr>
              <w:t xml:space="preserve"> </w:t>
            </w:r>
            <w:r>
              <w:rPr>
                <w:rStyle w:val="VerbatimChar"/>
                <w:sz w:val="17"/>
              </w:rPr>
              <w:t xml:space="preserve">fraud.cash_request_reported</w:t>
            </w:r>
            <w:r>
              <w:rPr>
                <w:sz w:val="17"/>
              </w:rPr>
              <w:t xml:space="preserve">,</w:t>
            </w:r>
            <w:r>
              <w:rPr>
                <w:sz w:val="17"/>
              </w:rPr>
              <w:t xml:space="preserve"> </w:t>
            </w:r>
            <w:r>
              <w:rPr>
                <w:rStyle w:val="VerbatimChar"/>
                <w:sz w:val="17"/>
              </w:rPr>
              <w:t xml:space="preserve">audit.log.integrity_failure</w:t>
            </w:r>
          </w:p>
        </w:tc>
      </w:tr>
      <w:tr>
        <w:tc>
          <w:tcPr/>
          <w:p>
            <w:pPr>
              <w:pStyle w:val="Compact"/>
            </w:pPr>
            <w:r>
              <w:rPr>
                <w:sz w:val="17"/>
              </w:rPr>
              <w:t xml:space="preserve">17</w:t>
            </w:r>
          </w:p>
        </w:tc>
        <w:tc>
          <w:tcPr/>
          <w:p>
            <w:pPr>
              <w:pStyle w:val="Compact"/>
            </w:pPr>
            <w:r>
              <w:rPr>
                <w:sz w:val="17"/>
              </w:rPr>
              <w:t xml:space="preserve">Agents d’IA</w:t>
            </w:r>
          </w:p>
        </w:tc>
        <w:tc>
          <w:tcPr/>
          <w:p>
            <w:pPr>
              <w:pStyle w:val="Compact"/>
            </w:pPr>
            <w:r>
              <w:rPr>
                <w:rStyle w:val="VerbatimChar"/>
                <w:sz w:val="17"/>
              </w:rPr>
              <w:t xml:space="preserve">ai.recommendation_available</w:t>
            </w:r>
            <w:r>
              <w:rPr>
                <w:sz w:val="17"/>
              </w:rPr>
              <w:t xml:space="preserve">,</w:t>
            </w:r>
            <w:r>
              <w:rPr>
                <w:sz w:val="17"/>
              </w:rPr>
              <w:t xml:space="preserve"> </w:t>
            </w:r>
            <w:r>
              <w:rPr>
                <w:rStyle w:val="VerbatimChar"/>
                <w:sz w:val="17"/>
              </w:rPr>
              <w:t xml:space="preserve">ai.human_intervention_required</w:t>
            </w:r>
            <w:r>
              <w:rPr>
                <w:sz w:val="17"/>
              </w:rPr>
              <w:t xml:space="preserve">,</w:t>
            </w:r>
            <w:r>
              <w:rPr>
                <w:sz w:val="17"/>
              </w:rPr>
              <w:t xml:space="preserve"> </w:t>
            </w:r>
            <w:r>
              <w:rPr>
                <w:rStyle w:val="VerbatimChar"/>
                <w:sz w:val="17"/>
              </w:rPr>
              <w:t xml:space="preserve">ai.model.drift_detected</w:t>
            </w:r>
          </w:p>
        </w:tc>
      </w:tr>
      <w:tr>
        <w:tc>
          <w:tcPr>
            <w:shd w:val="clear" w:color="auto" w:fill="F5F7FB"/>
          </w:tcPr>
          <w:p>
            <w:pPr>
              <w:pStyle w:val="Compact"/>
            </w:pPr>
            <w:r>
              <w:rPr>
                <w:sz w:val="17"/>
              </w:rPr>
              <w:t xml:space="preserve">18</w:t>
            </w:r>
          </w:p>
        </w:tc>
        <w:tc>
          <w:tcPr>
            <w:shd w:val="clear" w:color="auto" w:fill="F5F7FB"/>
          </w:tcPr>
          <w:p>
            <w:pPr>
              <w:pStyle w:val="Compact"/>
            </w:pPr>
            <w:r>
              <w:rPr>
                <w:sz w:val="17"/>
              </w:rPr>
              <w:t xml:space="preserve">Pilotage et tableaux de bord</w:t>
            </w:r>
          </w:p>
        </w:tc>
        <w:tc>
          <w:tcPr>
            <w:shd w:val="clear" w:color="auto" w:fill="F5F7FB"/>
          </w:tcPr>
          <w:p>
            <w:pPr>
              <w:pStyle w:val="Compact"/>
            </w:pPr>
            <w:r>
              <w:rPr>
                <w:rStyle w:val="VerbatimChar"/>
                <w:sz w:val="17"/>
              </w:rPr>
              <w:t xml:space="preserve">executive.daily_brief</w:t>
            </w:r>
            <w:r>
              <w:rPr>
                <w:sz w:val="17"/>
              </w:rPr>
              <w:t xml:space="preserve">,</w:t>
            </w:r>
            <w:r>
              <w:rPr>
                <w:sz w:val="17"/>
              </w:rPr>
              <w:t xml:space="preserve"> </w:t>
            </w:r>
            <w:r>
              <w:rPr>
                <w:rStyle w:val="VerbatimChar"/>
                <w:sz w:val="17"/>
              </w:rPr>
              <w:t xml:space="preserve">kpi.threshold_breached</w:t>
            </w:r>
            <w:r>
              <w:rPr>
                <w:sz w:val="17"/>
              </w:rPr>
              <w:t xml:space="preserve">,</w:t>
            </w:r>
            <w:r>
              <w:rPr>
                <w:sz w:val="17"/>
              </w:rPr>
              <w:t xml:space="preserve"> </w:t>
            </w:r>
            <w:r>
              <w:rPr>
                <w:rStyle w:val="VerbatimChar"/>
                <w:sz w:val="17"/>
              </w:rPr>
              <w:t xml:space="preserve">executive.alert</w:t>
            </w:r>
          </w:p>
        </w:tc>
      </w:tr>
      <w:tr>
        <w:tc>
          <w:tcPr/>
          <w:p>
            <w:pPr>
              <w:pStyle w:val="Compact"/>
            </w:pPr>
            <w:r>
              <w:rPr>
                <w:sz w:val="17"/>
              </w:rPr>
              <w:t xml:space="preserve">19</w:t>
            </w:r>
          </w:p>
        </w:tc>
        <w:tc>
          <w:tcPr/>
          <w:p>
            <w:pPr>
              <w:pStyle w:val="Compact"/>
            </w:pPr>
            <w:r>
              <w:rPr>
                <w:sz w:val="17"/>
              </w:rPr>
              <w:t xml:space="preserve">Invitations et accès</w:t>
            </w:r>
          </w:p>
        </w:tc>
        <w:tc>
          <w:tcPr/>
          <w:p>
            <w:pPr>
              <w:pStyle w:val="Compact"/>
            </w:pPr>
            <w:r>
              <w:rPr>
                <w:rStyle w:val="VerbatimChar"/>
                <w:sz w:val="17"/>
              </w:rPr>
              <w:t xml:space="preserve">invitation.sent</w:t>
            </w:r>
            <w:r>
              <w:rPr>
                <w:sz w:val="17"/>
              </w:rPr>
              <w:t xml:space="preserve">,</w:t>
            </w:r>
            <w:r>
              <w:rPr>
                <w:sz w:val="17"/>
              </w:rPr>
              <w:t xml:space="preserve"> </w:t>
            </w:r>
            <w:r>
              <w:rPr>
                <w:rStyle w:val="VerbatimChar"/>
                <w:sz w:val="17"/>
              </w:rPr>
              <w:t xml:space="preserve">delegation.granted</w:t>
            </w:r>
            <w:r>
              <w:rPr>
                <w:sz w:val="17"/>
              </w:rPr>
              <w:t xml:space="preserve">,</w:t>
            </w:r>
            <w:r>
              <w:rPr>
                <w:sz w:val="17"/>
              </w:rPr>
              <w:t xml:space="preserve"> </w:t>
            </w:r>
            <w:r>
              <w:rPr>
                <w:rStyle w:val="VerbatimChar"/>
                <w:sz w:val="17"/>
              </w:rPr>
              <w:t xml:space="preserve">conflict_of_interest.detected</w:t>
            </w:r>
          </w:p>
        </w:tc>
      </w:tr>
      <w:tr>
        <w:tc>
          <w:tcPr>
            <w:shd w:val="clear" w:color="auto" w:fill="F5F7FB"/>
          </w:tcPr>
          <w:p>
            <w:pPr>
              <w:pStyle w:val="Compact"/>
            </w:pPr>
            <w:r>
              <w:rPr>
                <w:sz w:val="17"/>
              </w:rPr>
              <w:t xml:space="preserve">20</w:t>
            </w:r>
          </w:p>
        </w:tc>
        <w:tc>
          <w:tcPr>
            <w:shd w:val="clear" w:color="auto" w:fill="F5F7FB"/>
          </w:tcPr>
          <w:p>
            <w:pPr>
              <w:pStyle w:val="Compact"/>
            </w:pPr>
            <w:r>
              <w:rPr>
                <w:sz w:val="17"/>
              </w:rPr>
              <w:t xml:space="preserve">Apprentissage et certification</w:t>
            </w:r>
          </w:p>
        </w:tc>
        <w:tc>
          <w:tcPr>
            <w:shd w:val="clear" w:color="auto" w:fill="F5F7FB"/>
          </w:tcPr>
          <w:p>
            <w:pPr>
              <w:pStyle w:val="Compact"/>
            </w:pPr>
            <w:r>
              <w:rPr>
                <w:rStyle w:val="VerbatimChar"/>
                <w:sz w:val="17"/>
              </w:rPr>
              <w:t xml:space="preserve">training.assigned</w:t>
            </w:r>
            <w:r>
              <w:rPr>
                <w:sz w:val="17"/>
              </w:rPr>
              <w:t xml:space="preserve">,</w:t>
            </w:r>
            <w:r>
              <w:rPr>
                <w:sz w:val="17"/>
              </w:rPr>
              <w:t xml:space="preserve"> </w:t>
            </w:r>
            <w:r>
              <w:rPr>
                <w:rStyle w:val="VerbatimChar"/>
                <w:sz w:val="17"/>
              </w:rPr>
              <w:t xml:space="preserve">certification.expiring</w:t>
            </w:r>
            <w:r>
              <w:rPr>
                <w:sz w:val="17"/>
              </w:rPr>
              <w:t xml:space="preserve">,</w:t>
            </w:r>
            <w:r>
              <w:rPr>
                <w:sz w:val="17"/>
              </w:rPr>
              <w:t xml:space="preserve"> </w:t>
            </w:r>
            <w:r>
              <w:rPr>
                <w:rStyle w:val="VerbatimChar"/>
                <w:sz w:val="17"/>
              </w:rPr>
              <w:t xml:space="preserve">procedure.changed</w:t>
            </w:r>
          </w:p>
        </w:tc>
      </w:tr>
      <w:tr>
        <w:tc>
          <w:tcPr/>
          <w:p>
            <w:pPr>
              <w:pStyle w:val="Compact"/>
            </w:pPr>
            <w:r>
              <w:rPr>
                <w:sz w:val="17"/>
              </w:rPr>
              <w:t xml:space="preserve">21</w:t>
            </w:r>
          </w:p>
        </w:tc>
        <w:tc>
          <w:tcPr/>
          <w:p>
            <w:pPr>
              <w:pStyle w:val="Compact"/>
            </w:pPr>
            <w:r>
              <w:rPr>
                <w:sz w:val="17"/>
              </w:rPr>
              <w:t xml:space="preserve">Plateforme et continuité</w:t>
            </w:r>
          </w:p>
        </w:tc>
        <w:tc>
          <w:tcPr/>
          <w:p>
            <w:pPr>
              <w:pStyle w:val="Compact"/>
            </w:pPr>
            <w:r>
              <w:rPr>
                <w:rStyle w:val="VerbatimChar"/>
                <w:sz w:val="17"/>
              </w:rPr>
              <w:t xml:space="preserve">system.outage</w:t>
            </w:r>
            <w:r>
              <w:rPr>
                <w:sz w:val="17"/>
              </w:rPr>
              <w:t xml:space="preserve">,</w:t>
            </w:r>
            <w:r>
              <w:rPr>
                <w:sz w:val="17"/>
              </w:rPr>
              <w:t xml:space="preserve"> </w:t>
            </w:r>
            <w:r>
              <w:rPr>
                <w:rStyle w:val="VerbatimChar"/>
                <w:sz w:val="17"/>
              </w:rPr>
              <w:t xml:space="preserve">system.channel_degraded</w:t>
            </w:r>
            <w:r>
              <w:rPr>
                <w:sz w:val="17"/>
              </w:rPr>
              <w:t xml:space="preserve">,</w:t>
            </w:r>
            <w:r>
              <w:rPr>
                <w:sz w:val="17"/>
              </w:rPr>
              <w:t xml:space="preserve"> </w:t>
            </w:r>
            <w:r>
              <w:rPr>
                <w:rStyle w:val="VerbatimChar"/>
                <w:sz w:val="17"/>
              </w:rPr>
              <w:t xml:space="preserve">system.deadline_protection</w:t>
            </w:r>
          </w:p>
        </w:tc>
      </w:tr>
      <w:tr>
        <w:tc>
          <w:tcPr>
            <w:shd w:val="clear" w:color="auto" w:fill="F5F7FB"/>
          </w:tcPr>
          <w:p>
            <w:pPr>
              <w:pStyle w:val="Compact"/>
            </w:pPr>
            <w:r>
              <w:rPr>
                <w:sz w:val="17"/>
              </w:rPr>
              <w:t xml:space="preserve">22</w:t>
            </w:r>
          </w:p>
        </w:tc>
        <w:tc>
          <w:tcPr>
            <w:shd w:val="clear" w:color="auto" w:fill="F5F7FB"/>
          </w:tcPr>
          <w:p>
            <w:pPr>
              <w:pStyle w:val="Compact"/>
            </w:pPr>
            <w:r>
              <w:rPr>
                <w:sz w:val="17"/>
              </w:rPr>
              <w:t xml:space="preserve">Données personnelles et consentement</w:t>
            </w:r>
          </w:p>
        </w:tc>
        <w:tc>
          <w:tcPr>
            <w:shd w:val="clear" w:color="auto" w:fill="F5F7FB"/>
          </w:tcPr>
          <w:p>
            <w:pPr>
              <w:pStyle w:val="Compact"/>
            </w:pPr>
            <w:r>
              <w:rPr>
                <w:rStyle w:val="VerbatimChar"/>
                <w:sz w:val="17"/>
              </w:rPr>
              <w:t xml:space="preserve">privacy.consent_request</w:t>
            </w:r>
            <w:r>
              <w:rPr>
                <w:sz w:val="17"/>
              </w:rPr>
              <w:t xml:space="preserve">,</w:t>
            </w:r>
            <w:r>
              <w:rPr>
                <w:sz w:val="17"/>
              </w:rPr>
              <w:t xml:space="preserve"> </w:t>
            </w:r>
            <w:r>
              <w:rPr>
                <w:rStyle w:val="VerbatimChar"/>
                <w:sz w:val="17"/>
              </w:rPr>
              <w:t xml:space="preserve">privacy.data_shared_with_partner</w:t>
            </w:r>
            <w:r>
              <w:rPr>
                <w:sz w:val="17"/>
              </w:rPr>
              <w:t xml:space="preserve">,</w:t>
            </w:r>
            <w:r>
              <w:rPr>
                <w:sz w:val="17"/>
              </w:rPr>
              <w:t xml:space="preserve"> </w:t>
            </w:r>
            <w:r>
              <w:rPr>
                <w:rStyle w:val="VerbatimChar"/>
                <w:sz w:val="17"/>
              </w:rPr>
              <w:t xml:space="preserve">privacy.breach_notification</w:t>
            </w:r>
          </w:p>
        </w:tc>
      </w:tr>
      <w:tr>
        <w:tc>
          <w:tcPr/>
          <w:p>
            <w:pPr>
              <w:pStyle w:val="Compact"/>
            </w:pPr>
            <w:r>
              <w:rPr>
                <w:sz w:val="17"/>
              </w:rPr>
              <w:t xml:space="preserve">23</w:t>
            </w:r>
          </w:p>
        </w:tc>
        <w:tc>
          <w:tcPr/>
          <w:p>
            <w:pPr>
              <w:pStyle w:val="Compact"/>
            </w:pPr>
            <w:r>
              <w:rPr>
                <w:sz w:val="17"/>
              </w:rPr>
              <w:t xml:space="preserve">Partenaires et points de paiement</w:t>
            </w:r>
          </w:p>
        </w:tc>
        <w:tc>
          <w:tcPr/>
          <w:p>
            <w:pPr>
              <w:pStyle w:val="Compact"/>
            </w:pPr>
            <w:r>
              <w:rPr>
                <w:rStyle w:val="VerbatimChar"/>
                <w:sz w:val="17"/>
              </w:rPr>
              <w:t xml:space="preserve">partner.callback.signature_invalid</w:t>
            </w:r>
            <w:r>
              <w:rPr>
                <w:sz w:val="17"/>
              </w:rPr>
              <w:t xml:space="preserve">,</w:t>
            </w:r>
            <w:r>
              <w:rPr>
                <w:sz w:val="17"/>
              </w:rPr>
              <w:t xml:space="preserve"> </w:t>
            </w:r>
            <w:r>
              <w:rPr>
                <w:rStyle w:val="VerbatimChar"/>
                <w:sz w:val="17"/>
              </w:rPr>
              <w:t xml:space="preserve">payment_point.settlement_overdue</w:t>
            </w:r>
          </w:p>
        </w:tc>
      </w:tr>
    </w:tbl>
    <w:p>
      <w:pPr>
        <w:pStyle w:val="BodyText"/>
      </w:pPr>
      <w:r>
        <w:t xml:space="preserve">Chaque événement porte : code stable, catégorie, libellé, objet du message par langue, gravité (</w:t>
      </w:r>
      <w:r>
        <w:rPr>
          <w:rStyle w:val="VerbatimChar"/>
        </w:rPr>
        <w:t xml:space="preserve">info</w:t>
      </w:r>
      <w:r>
        <w:t xml:space="preserve">,</w:t>
      </w:r>
      <w:r>
        <w:t xml:space="preserve"> </w:t>
      </w:r>
      <w:r>
        <w:rPr>
          <w:rStyle w:val="VerbatimChar"/>
        </w:rPr>
        <w:t xml:space="preserve">success</w:t>
      </w:r>
      <w:r>
        <w:t xml:space="preserve">,</w:t>
      </w:r>
      <w:r>
        <w:t xml:space="preserve"> </w:t>
      </w:r>
      <w:r>
        <w:rPr>
          <w:rStyle w:val="VerbatimChar"/>
        </w:rPr>
        <w:t xml:space="preserve">warning</w:t>
      </w:r>
      <w:r>
        <w:t xml:space="preserve">,</w:t>
      </w:r>
      <w:r>
        <w:t xml:space="preserve"> </w:t>
      </w:r>
      <w:r>
        <w:rPr>
          <w:rStyle w:val="VerbatimChar"/>
        </w:rPr>
        <w:t xml:space="preserve">critical</w:t>
      </w:r>
      <w:r>
        <w:t xml:space="preserve">), canaux par défaut, éligibilité WhatsApp, caractère obligatoire, public (contribuable, agent public, partenaire), variables autorisées (</w:t>
      </w:r>
      <w:r>
        <w:rPr>
          <w:rStyle w:val="VerbatimChar"/>
        </w:rPr>
        <w:t xml:space="preserve">{{montant}}</w:t>
      </w:r>
      <w:r>
        <w:t xml:space="preserve">,</w:t>
      </w:r>
      <w:r>
        <w:t xml:space="preserve"> </w:t>
      </w:r>
      <w:r>
        <w:rPr>
          <w:rStyle w:val="VerbatimChar"/>
        </w:rPr>
        <w:t xml:space="preserve">{{reference}}</w:t>
      </w:r>
      <w:r>
        <w:t xml:space="preserve">,</w:t>
      </w:r>
      <w:r>
        <w:t xml:space="preserve"> </w:t>
      </w:r>
      <w:r>
        <w:rPr>
          <w:rStyle w:val="VerbatimChar"/>
        </w:rPr>
        <w:t xml:space="preserve">{{date}}</w:t>
      </w:r>
      <w:r>
        <w:t xml:space="preserve">…) et, pour les avis légaux, la</w:t>
      </w:r>
      <w:r>
        <w:t xml:space="preserve"> </w:t>
      </w:r>
      <w:r>
        <w:rPr>
          <w:b/>
          <w:bCs/>
        </w:rPr>
        <w:t xml:space="preserve">référence au modèle d’acte approuvé</w:t>
      </w:r>
      <w:r>
        <w:t xml:space="preserve"> </w:t>
      </w:r>
      <w:r>
        <w:t xml:space="preserve">et aux mentions obligatoires (base légale, délai, voie de recours).</w:t>
      </w:r>
    </w:p>
    <w:bookmarkEnd w:id="119"/>
    <w:bookmarkStart w:id="120" w:name="avis-obligatoires"/>
    <w:p>
      <w:pPr>
        <w:pStyle w:val="Heading3"/>
      </w:pPr>
      <w:r>
        <w:t xml:space="preserve">11.4.3 Avis obligatoires</w:t>
      </w:r>
    </w:p>
    <w:p>
      <w:pPr>
        <w:pStyle w:val="FirstParagraph"/>
      </w:pPr>
      <w:r>
        <w:t xml:space="preserve">Un avis est</w:t>
      </w:r>
      <w:r>
        <w:t xml:space="preserve"> </w:t>
      </w:r>
      <w:r>
        <w:rPr>
          <w:b/>
          <w:bCs/>
        </w:rPr>
        <w:t xml:space="preserve">obligatoire</w:t>
      </w:r>
      <w:r>
        <w:t xml:space="preserve"> </w:t>
      </w:r>
      <w:r>
        <w:t xml:space="preserve">lorsqu’il produit un effet de droit ou protège le destinataire : avis d’imposition, rectification, mise en demeure, mesure d’exécution, décision sur réclamation, refus ou retrait d’autorisation, contrepassement de paiement, annulation de quittance, conflit de propriété, alerte de sécurité, changement de coordonnées, partage de données, violation de données, changement de compte bénéficiaire public. Règles :</w:t>
      </w:r>
    </w:p>
    <w:p>
      <w:pPr>
        <w:pStyle w:val="Compact"/>
        <w:numPr>
          <w:ilvl w:val="0"/>
          <w:numId w:val="1012"/>
        </w:numPr>
      </w:pPr>
      <w:r>
        <w:t xml:space="preserve">un avis obligatoire</w:t>
      </w:r>
      <w:r>
        <w:t xml:space="preserve"> </w:t>
      </w:r>
      <w:r>
        <w:rPr>
          <w:b/>
          <w:bCs/>
        </w:rPr>
        <w:t xml:space="preserve">ignore la désinscription</w:t>
      </w:r>
      <w:r>
        <w:t xml:space="preserve"> </w:t>
      </w:r>
      <w:r>
        <w:t xml:space="preserve">des communications facultatives, mais respecte le canal légalement valable (lorsque la notification électronique n’a pas de valeur juridique certaine, l’avis est</w:t>
      </w:r>
      <w:r>
        <w:t xml:space="preserve"> </w:t>
      </w:r>
      <w:r>
        <w:rPr>
          <w:b/>
          <w:bCs/>
        </w:rPr>
        <w:t xml:space="preserve">doublé</w:t>
      </w:r>
      <w:r>
        <w:t xml:space="preserve"> </w:t>
      </w:r>
      <w:r>
        <w:t xml:space="preserve">d’un exemplaire imprimable ou postal — J7, chapitre 6) ;</w:t>
      </w:r>
    </w:p>
    <w:p>
      <w:pPr>
        <w:pStyle w:val="Compact"/>
        <w:numPr>
          <w:ilvl w:val="0"/>
          <w:numId w:val="1012"/>
        </w:numPr>
      </w:pPr>
      <w:r>
        <w:t xml:space="preserve">il est délivré au contribuable</w:t>
      </w:r>
      <w:r>
        <w:t xml:space="preserve"> </w:t>
      </w:r>
      <w:r>
        <w:rPr>
          <w:b/>
          <w:bCs/>
        </w:rPr>
        <w:t xml:space="preserve">et</w:t>
      </w:r>
      <w:r>
        <w:t xml:space="preserve"> </w:t>
      </w:r>
      <w:r>
        <w:t xml:space="preserve">à ses mandataires habilités ;</w:t>
      </w:r>
    </w:p>
    <w:p>
      <w:pPr>
        <w:pStyle w:val="Compact"/>
        <w:numPr>
          <w:ilvl w:val="0"/>
          <w:numId w:val="1012"/>
        </w:numPr>
      </w:pPr>
      <w:r>
        <w:t xml:space="preserve">il n’est jamais envoyé sur WhatsApp ni sur un canal tiers non souverain ;</w:t>
      </w:r>
    </w:p>
    <w:p>
      <w:pPr>
        <w:pStyle w:val="Compact"/>
        <w:numPr>
          <w:ilvl w:val="0"/>
          <w:numId w:val="1012"/>
        </w:numPr>
      </w:pPr>
      <w:r>
        <w:t xml:space="preserve">sa preuve de délivrance (accusé fournisseur, lecture dans l’application, remise en main propre avec signature) est versée au dossier et conditionne le décompte des délais légaux ;</w:t>
      </w:r>
    </w:p>
    <w:p>
      <w:pPr>
        <w:pStyle w:val="Compact"/>
        <w:numPr>
          <w:ilvl w:val="0"/>
          <w:numId w:val="1012"/>
        </w:numPr>
      </w:pPr>
      <w:r>
        <w:t xml:space="preserve">en cas d’échec sur tous les canaux électroniques, une tâche de remise physique est créée automatiquement pour l’équipe terrain.</w:t>
      </w:r>
    </w:p>
    <w:bookmarkEnd w:id="120"/>
    <w:bookmarkStart w:id="121" w:name="canaux-règles-dusage"/>
    <w:p>
      <w:pPr>
        <w:pStyle w:val="Heading3"/>
      </w:pPr>
      <w:r>
        <w:t xml:space="preserve">11.4.4 Canaux : règles d’usage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Canal</w:t>
            </w:r>
          </w:p>
        </w:tc>
        <w:tc>
          <w:tcPr>
            <w:shd w:val="clear" w:color="auto" w:fill="232C6B"/>
          </w:tcPr>
          <w:p>
            <w:pPr>
              <w:pStyle w:val="Compact"/>
            </w:pPr>
            <w:r>
              <w:rPr>
                <w:b/>
                <w:color w:val="FFFFFF"/>
                <w:sz w:val="17"/>
              </w:rPr>
              <w:t xml:space="preserve">Usage</w:t>
            </w:r>
          </w:p>
        </w:tc>
        <w:tc>
          <w:tcPr>
            <w:shd w:val="clear" w:color="auto" w:fill="232C6B"/>
          </w:tcPr>
          <w:p>
            <w:pPr>
              <w:pStyle w:val="Compact"/>
            </w:pPr>
            <w:r>
              <w:rPr>
                <w:b/>
                <w:color w:val="FFFFFF"/>
                <w:sz w:val="17"/>
              </w:rPr>
              <w:t xml:space="preserve">Règles</w:t>
            </w:r>
          </w:p>
        </w:tc>
      </w:tr>
      <w:tr>
        <w:tc>
          <w:tcPr/>
          <w:p>
            <w:pPr>
              <w:pStyle w:val="Compact"/>
            </w:pPr>
            <w:r>
              <w:rPr>
                <w:sz w:val="17"/>
              </w:rPr>
              <w:t xml:space="preserve">Courriel</w:t>
            </w:r>
          </w:p>
        </w:tc>
        <w:tc>
          <w:tcPr/>
          <w:p>
            <w:pPr>
              <w:pStyle w:val="Compact"/>
            </w:pPr>
            <w:r>
              <w:rPr>
                <w:sz w:val="17"/>
              </w:rPr>
              <w:t xml:space="preserve">Avis détaillés, pièces jointes signées</w:t>
            </w:r>
          </w:p>
        </w:tc>
        <w:tc>
          <w:tcPr/>
          <w:p>
            <w:pPr>
              <w:pStyle w:val="Compact"/>
            </w:pPr>
            <w:r>
              <w:rPr>
                <w:sz w:val="17"/>
              </w:rPr>
              <w:t xml:space="preserve">Charte graphique de l’entité émettrice ; SPF, DKIM, DMARC ; aucune donnée sensible en clair dans l’objet</w:t>
            </w:r>
          </w:p>
        </w:tc>
      </w:tr>
      <w:tr>
        <w:tc>
          <w:tcPr>
            <w:shd w:val="clear" w:color="auto" w:fill="F5F7FB"/>
          </w:tcPr>
          <w:p>
            <w:pPr>
              <w:pStyle w:val="Compact"/>
            </w:pPr>
            <w:r>
              <w:rPr>
                <w:sz w:val="17"/>
              </w:rPr>
              <w:t xml:space="preserve">Dans l’application</w:t>
            </w:r>
          </w:p>
        </w:tc>
        <w:tc>
          <w:tcPr>
            <w:shd w:val="clear" w:color="auto" w:fill="F5F7FB"/>
          </w:tcPr>
          <w:p>
            <w:pPr>
              <w:pStyle w:val="Compact"/>
            </w:pPr>
            <w:r>
              <w:rPr>
                <w:sz w:val="17"/>
              </w:rPr>
              <w:t xml:space="preserve">Canal de référence, historique complet</w:t>
            </w:r>
          </w:p>
        </w:tc>
        <w:tc>
          <w:tcPr>
            <w:shd w:val="clear" w:color="auto" w:fill="F5F7FB"/>
          </w:tcPr>
          <w:p>
            <w:pPr>
              <w:pStyle w:val="Compact"/>
            </w:pPr>
            <w:r>
              <w:rPr>
                <w:sz w:val="17"/>
              </w:rPr>
              <w:t xml:space="preserve">Chaque message est consultable à vie dans le compte</w:t>
            </w:r>
          </w:p>
        </w:tc>
      </w:tr>
      <w:tr>
        <w:tc>
          <w:tcPr/>
          <w:p>
            <w:pPr>
              <w:pStyle w:val="Compact"/>
            </w:pPr>
            <w:r>
              <w:rPr>
                <w:sz w:val="17"/>
              </w:rPr>
              <w:t xml:space="preserve">SMS</w:t>
            </w:r>
          </w:p>
        </w:tc>
        <w:tc>
          <w:tcPr/>
          <w:p>
            <w:pPr>
              <w:pStyle w:val="Compact"/>
            </w:pPr>
            <w:r>
              <w:rPr>
                <w:sz w:val="17"/>
              </w:rPr>
              <w:t xml:space="preserve">Rappels, OTP, confirmations, alertes</w:t>
            </w:r>
          </w:p>
        </w:tc>
        <w:tc>
          <w:tcPr/>
          <w:p>
            <w:pPr>
              <w:pStyle w:val="Compact"/>
            </w:pPr>
            <w:r>
              <w:rPr>
                <w:sz w:val="17"/>
              </w:rPr>
              <w:t xml:space="preserve">160 caractères, langue du destinataire ;</w:t>
            </w:r>
            <w:r>
              <w:rPr>
                <w:sz w:val="17"/>
              </w:rPr>
              <w:t xml:space="preserve"> </w:t>
            </w:r>
            <w:r>
              <w:rPr>
                <w:b/>
                <w:bCs/>
                <w:sz w:val="17"/>
              </w:rPr>
              <w:t xml:space="preserve">jamais de lien de paiement</w:t>
            </w:r>
            <w:r>
              <w:rPr>
                <w:sz w:val="17"/>
              </w:rPr>
              <w:t xml:space="preserve"> </w:t>
            </w:r>
            <w:r>
              <w:rPr>
                <w:sz w:val="17"/>
              </w:rPr>
              <w:t xml:space="preserve">(lutte contre l’hameçonnage) — le contribuable est invité à composer le code USSD officiel</w:t>
            </w:r>
          </w:p>
        </w:tc>
      </w:tr>
      <w:tr>
        <w:tc>
          <w:tcPr>
            <w:shd w:val="clear" w:color="auto" w:fill="F5F7FB"/>
          </w:tcPr>
          <w:p>
            <w:pPr>
              <w:pStyle w:val="Compact"/>
            </w:pPr>
            <w:r>
              <w:rPr>
                <w:sz w:val="17"/>
              </w:rPr>
              <w:t xml:space="preserve">Push</w:t>
            </w:r>
          </w:p>
        </w:tc>
        <w:tc>
          <w:tcPr>
            <w:shd w:val="clear" w:color="auto" w:fill="F5F7FB"/>
          </w:tcPr>
          <w:p>
            <w:pPr>
              <w:pStyle w:val="Compact"/>
            </w:pPr>
            <w:r>
              <w:rPr>
                <w:sz w:val="17"/>
              </w:rPr>
              <w:t xml:space="preserve">Agents terrain, contribuables avec application</w:t>
            </w:r>
          </w:p>
        </w:tc>
        <w:tc>
          <w:tcPr>
            <w:shd w:val="clear" w:color="auto" w:fill="F5F7FB"/>
          </w:tcPr>
          <w:p>
            <w:pPr>
              <w:pStyle w:val="Compact"/>
            </w:pPr>
            <w:r>
              <w:rPr>
                <w:sz w:val="17"/>
              </w:rPr>
              <w:t xml:space="preserve">Contenu minimal, détail dans l’application</w:t>
            </w:r>
          </w:p>
        </w:tc>
      </w:tr>
      <w:tr>
        <w:tc>
          <w:tcPr/>
          <w:p>
            <w:pPr>
              <w:pStyle w:val="Compact"/>
            </w:pPr>
            <w:r>
              <w:rPr>
                <w:sz w:val="17"/>
              </w:rPr>
              <w:t xml:space="preserve">WhatsApp</w:t>
            </w:r>
          </w:p>
        </w:tc>
        <w:tc>
          <w:tcPr/>
          <w:p>
            <w:pPr>
              <w:pStyle w:val="Compact"/>
            </w:pPr>
            <w:r>
              <w:rPr>
                <w:sz w:val="17"/>
              </w:rPr>
              <w:t xml:space="preserve">Rappels et informations non sensibles</w:t>
            </w:r>
          </w:p>
        </w:tc>
        <w:tc>
          <w:tcPr/>
          <w:p>
            <w:pPr>
              <w:pStyle w:val="Compact"/>
            </w:pPr>
            <w:r>
              <w:rPr>
                <w:b/>
                <w:bCs/>
                <w:sz w:val="17"/>
              </w:rPr>
              <w:t xml:space="preserve">Consentement préalable explicite</w:t>
            </w:r>
            <w:r>
              <w:rPr>
                <w:sz w:val="17"/>
              </w:rPr>
              <w:t xml:space="preserve">, pas d’avis obligatoire, pas de montant nominatif, via un fournisseur contractualisé ; désactivable par l’autorité de protection des données</w:t>
            </w:r>
          </w:p>
        </w:tc>
      </w:tr>
      <w:tr>
        <w:tc>
          <w:tcPr>
            <w:shd w:val="clear" w:color="auto" w:fill="F5F7FB"/>
          </w:tcPr>
          <w:p>
            <w:pPr>
              <w:pStyle w:val="Compact"/>
            </w:pPr>
            <w:r>
              <w:rPr>
                <w:sz w:val="17"/>
              </w:rPr>
              <w:t xml:space="preserve">Boîte USSD</w:t>
            </w:r>
          </w:p>
        </w:tc>
        <w:tc>
          <w:tcPr>
            <w:shd w:val="clear" w:color="auto" w:fill="F5F7FB"/>
          </w:tcPr>
          <w:p>
            <w:pPr>
              <w:pStyle w:val="Compact"/>
            </w:pPr>
            <w:r>
              <w:rPr>
                <w:sz w:val="17"/>
              </w:rPr>
              <w:t xml:space="preserve">Contribuables sans smartphone</w:t>
            </w:r>
          </w:p>
        </w:tc>
        <w:tc>
          <w:tcPr>
            <w:shd w:val="clear" w:color="auto" w:fill="F5F7FB"/>
          </w:tcPr>
          <w:p>
            <w:pPr>
              <w:pStyle w:val="Compact"/>
            </w:pPr>
            <w:r>
              <w:rPr>
                <w:sz w:val="17"/>
              </w:rPr>
              <w:t xml:space="preserve">Messages en attente consultables via le code court</w:t>
            </w:r>
          </w:p>
        </w:tc>
      </w:tr>
      <w:tr>
        <w:tc>
          <w:tcPr/>
          <w:p>
            <w:pPr>
              <w:pStyle w:val="Compact"/>
            </w:pPr>
            <w:r>
              <w:rPr>
                <w:sz w:val="17"/>
              </w:rPr>
              <w:t xml:space="preserve">SVI vocal</w:t>
            </w:r>
          </w:p>
        </w:tc>
        <w:tc>
          <w:tcPr/>
          <w:p>
            <w:pPr>
              <w:pStyle w:val="Compact"/>
            </w:pPr>
            <w:r>
              <w:rPr>
                <w:sz w:val="17"/>
              </w:rPr>
              <w:t xml:space="preserve">Personnes peu alphabétisées</w:t>
            </w:r>
          </w:p>
        </w:tc>
        <w:tc>
          <w:tcPr/>
          <w:p>
            <w:pPr>
              <w:pStyle w:val="Compact"/>
            </w:pPr>
            <w:r>
              <w:rPr>
                <w:sz w:val="17"/>
              </w:rPr>
              <w:t xml:space="preserve">Messages enregistrés dans les cinq langues nationales et en français</w:t>
            </w:r>
          </w:p>
        </w:tc>
      </w:tr>
      <w:tr>
        <w:tc>
          <w:tcPr>
            <w:shd w:val="clear" w:color="auto" w:fill="F5F7FB"/>
          </w:tcPr>
          <w:p>
            <w:pPr>
              <w:pStyle w:val="Compact"/>
            </w:pPr>
            <w:r>
              <w:rPr>
                <w:sz w:val="17"/>
              </w:rPr>
              <w:t xml:space="preserve">Courrier imprimé</w:t>
            </w:r>
          </w:p>
        </w:tc>
        <w:tc>
          <w:tcPr>
            <w:shd w:val="clear" w:color="auto" w:fill="F5F7FB"/>
          </w:tcPr>
          <w:p>
            <w:pPr>
              <w:pStyle w:val="Compact"/>
            </w:pPr>
            <w:r>
              <w:rPr>
                <w:sz w:val="17"/>
              </w:rPr>
              <w:t xml:space="preserve">Avis légaux, échec des canaux électroniques</w:t>
            </w:r>
          </w:p>
        </w:tc>
        <w:tc>
          <w:tcPr>
            <w:shd w:val="clear" w:color="auto" w:fill="F5F7FB"/>
          </w:tcPr>
          <w:p>
            <w:pPr>
              <w:pStyle w:val="Compact"/>
            </w:pPr>
            <w:r>
              <w:rPr>
                <w:sz w:val="17"/>
              </w:rPr>
              <w:t xml:space="preserve">Généré avec QR de vérification ; remise tracée</w:t>
            </w:r>
          </w:p>
        </w:tc>
      </w:tr>
    </w:tbl>
    <w:p>
      <w:pPr>
        <w:pStyle w:val="BodyText"/>
      </w:pPr>
      <w:r>
        <w:rPr>
          <w:b/>
          <w:bCs/>
        </w:rPr>
        <w:t xml:space="preserve">Anti-usurpation.</w:t>
      </w:r>
      <w:r>
        <w:t xml:space="preserve"> </w:t>
      </w:r>
      <w:r>
        <w:t xml:space="preserve">Les expéditeurs (nom SMS, domaine de courriel, compte WhatsApp certifié, numéro SVI) sont</w:t>
      </w:r>
      <w:r>
        <w:t xml:space="preserve"> </w:t>
      </w:r>
      <w:r>
        <w:rPr>
          <w:b/>
          <w:bCs/>
        </w:rPr>
        <w:t xml:space="preserve">uniques et publiés</w:t>
      </w:r>
      <w:r>
        <w:t xml:space="preserve">. Tout message peut être vérifié par le destinataire (code court de vérification, module 68). Les campagnes de sensibilisation rappellent qu’un agent MOSOLO ne demande jamais d’espèces ni de code OTP.</w:t>
      </w:r>
    </w:p>
    <w:bookmarkEnd w:id="121"/>
    <w:bookmarkStart w:id="122" w:name="Xe23414bea29a8f93832b9c443986c8cfa17157c"/>
    <w:p>
      <w:pPr>
        <w:pStyle w:val="Heading3"/>
      </w:pPr>
      <w:r>
        <w:t xml:space="preserve">11.4.5 Préférences, fréquence et heures de silence</w:t>
      </w:r>
    </w:p>
    <w:p>
      <w:pPr>
        <w:pStyle w:val="FirstParagraph"/>
      </w:pPr>
      <w:r>
        <w:t xml:space="preserve">Le contribuable choisit ses canaux et sa langue pour les communications facultatives. Le moteur applique un</w:t>
      </w:r>
      <w:r>
        <w:t xml:space="preserve"> </w:t>
      </w:r>
      <w:r>
        <w:rPr>
          <w:b/>
          <w:bCs/>
        </w:rPr>
        <w:t xml:space="preserve">plafond de fréquence</w:t>
      </w:r>
      <w:r>
        <w:t xml:space="preserve"> </w:t>
      </w:r>
      <w:r>
        <w:t xml:space="preserve">(par exemple : pas plus de deux rappels facultatifs par semaine et par obligation) et des</w:t>
      </w:r>
      <w:r>
        <w:t xml:space="preserve"> </w:t>
      </w:r>
      <w:r>
        <w:rPr>
          <w:b/>
          <w:bCs/>
        </w:rPr>
        <w:t xml:space="preserve">heures de silence</w:t>
      </w:r>
      <w:r>
        <w:t xml:space="preserve"> </w:t>
      </w:r>
      <w:r>
        <w:t xml:space="preserve">(pas de SMS ni de push facultatif entre 21 h et 7 h), sauf alertes de sécurité. Les agents publics ne peuvent pas désactiver les notifications de mission, d’approbation ou de sécurité pendant leur service.</w:t>
      </w:r>
    </w:p>
    <w:bookmarkEnd w:id="122"/>
    <w:bookmarkStart w:id="123" w:name="modèles-et-assurance-qualité"/>
    <w:p>
      <w:pPr>
        <w:pStyle w:val="Heading3"/>
      </w:pPr>
      <w:r>
        <w:t xml:space="preserve">11.4.6 Modèles et assurance qualité</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Fonction</w:t>
            </w:r>
          </w:p>
        </w:tc>
        <w:tc>
          <w:tcPr>
            <w:shd w:val="clear" w:color="auto" w:fill="232C6B"/>
          </w:tcPr>
          <w:p>
            <w:pPr>
              <w:pStyle w:val="Compact"/>
            </w:pPr>
            <w:r>
              <w:rPr>
                <w:b/>
                <w:color w:val="FFFFFF"/>
                <w:sz w:val="17"/>
              </w:rPr>
              <w:t xml:space="preserve">Description</w:t>
            </w:r>
          </w:p>
        </w:tc>
      </w:tr>
      <w:tr>
        <w:tc>
          <w:tcPr/>
          <w:p>
            <w:pPr>
              <w:pStyle w:val="Compact"/>
            </w:pPr>
            <w:r>
              <w:rPr>
                <w:sz w:val="17"/>
              </w:rPr>
              <w:t xml:space="preserve">Modèles versionnés</w:t>
            </w:r>
          </w:p>
        </w:tc>
        <w:tc>
          <w:tcPr/>
          <w:p>
            <w:pPr>
              <w:pStyle w:val="Compact"/>
            </w:pPr>
            <w:r>
              <w:rPr>
                <w:sz w:val="17"/>
              </w:rPr>
              <w:t xml:space="preserve">Un modèle par événement × canal × langue ; maker-checker (rédacteur, relecteur linguistique, juriste pour les avis légaux)</w:t>
            </w:r>
          </w:p>
        </w:tc>
      </w:tr>
      <w:tr>
        <w:tc>
          <w:tcPr>
            <w:shd w:val="clear" w:color="auto" w:fill="F5F7FB"/>
          </w:tcPr>
          <w:p>
            <w:pPr>
              <w:pStyle w:val="Compact"/>
            </w:pPr>
            <w:r>
              <w:rPr>
                <w:sz w:val="17"/>
              </w:rPr>
              <w:t xml:space="preserve">Charte par entité</w:t>
            </w:r>
          </w:p>
        </w:tc>
        <w:tc>
          <w:tcPr>
            <w:shd w:val="clear" w:color="auto" w:fill="F5F7FB"/>
          </w:tcPr>
          <w:p>
            <w:pPr>
              <w:pStyle w:val="Compact"/>
            </w:pPr>
            <w:r>
              <w:rPr>
                <w:sz w:val="17"/>
              </w:rPr>
              <w:t xml:space="preserve">Logo, couleurs, coordonnées et mentions de l’entité émettrice (DGIPK, DGTK, ministère, commune) appliqués automatiquement, pour que le citoyen sache toujours qui lui écrit</w:t>
            </w:r>
          </w:p>
        </w:tc>
      </w:tr>
      <w:tr>
        <w:tc>
          <w:tcPr/>
          <w:p>
            <w:pPr>
              <w:pStyle w:val="Compact"/>
            </w:pPr>
            <w:r>
              <w:rPr>
                <w:sz w:val="17"/>
              </w:rPr>
              <w:t xml:space="preserve">Aperçu</w:t>
            </w:r>
          </w:p>
        </w:tc>
        <w:tc>
          <w:tcPr/>
          <w:p>
            <w:pPr>
              <w:pStyle w:val="Compact"/>
            </w:pPr>
            <w:r>
              <w:rPr>
                <w:sz w:val="17"/>
              </w:rPr>
              <w:t xml:space="preserve">Rendu exact de ce que reçoit le destinataire, par canal et par langue, avec données fictives</w:t>
            </w:r>
          </w:p>
        </w:tc>
      </w:tr>
      <w:tr>
        <w:tc>
          <w:tcPr>
            <w:shd w:val="clear" w:color="auto" w:fill="F5F7FB"/>
          </w:tcPr>
          <w:p>
            <w:pPr>
              <w:pStyle w:val="Compact"/>
            </w:pPr>
            <w:r>
              <w:rPr>
                <w:sz w:val="17"/>
              </w:rPr>
              <w:t xml:space="preserve">Envoi de test à soi-même</w:t>
            </w:r>
          </w:p>
        </w:tc>
        <w:tc>
          <w:tcPr>
            <w:shd w:val="clear" w:color="auto" w:fill="F5F7FB"/>
          </w:tcPr>
          <w:p>
            <w:pPr>
              <w:pStyle w:val="Compact"/>
            </w:pPr>
            <w:r>
              <w:rPr>
                <w:sz w:val="17"/>
              </w:rPr>
              <w:t xml:space="preserve">Déclenche l’événement réel vers l’utilisateur qui teste, sur tous ses canaux</w:t>
            </w:r>
          </w:p>
        </w:tc>
      </w:tr>
      <w:tr>
        <w:tc>
          <w:tcPr/>
          <w:p>
            <w:pPr>
              <w:pStyle w:val="Compact"/>
            </w:pPr>
            <w:r>
              <w:rPr>
                <w:sz w:val="17"/>
              </w:rPr>
              <w:t xml:space="preserve">Mode bac à sable</w:t>
            </w:r>
          </w:p>
        </w:tc>
        <w:tc>
          <w:tcPr/>
          <w:p>
            <w:pPr>
              <w:pStyle w:val="Compact"/>
            </w:pPr>
            <w:r>
              <w:rPr>
                <w:sz w:val="17"/>
              </w:rPr>
              <w:t xml:space="preserve">Si la clé d’un fournisseur n’est pas configurée (environnement de recette), l’envoi est</w:t>
            </w:r>
            <w:r>
              <w:rPr>
                <w:sz w:val="17"/>
              </w:rPr>
              <w:t xml:space="preserve"> </w:t>
            </w:r>
            <w:r>
              <w:rPr>
                <w:b/>
                <w:bCs/>
                <w:sz w:val="17"/>
              </w:rPr>
              <w:t xml:space="preserve">enregistré</w:t>
            </w:r>
            <w:r>
              <w:rPr>
                <w:sz w:val="17"/>
              </w:rPr>
              <w:t xml:space="preserve"> </w:t>
            </w:r>
            <w:r>
              <w:rPr>
                <w:sz w:val="17"/>
              </w:rPr>
              <w:t xml:space="preserve">comme « journalisé » sans être transmis : le parcours est toujours testable</w:t>
            </w:r>
          </w:p>
        </w:tc>
      </w:tr>
      <w:tr>
        <w:tc>
          <w:tcPr>
            <w:shd w:val="clear" w:color="auto" w:fill="F5F7FB"/>
          </w:tcPr>
          <w:p>
            <w:pPr>
              <w:pStyle w:val="Compact"/>
            </w:pPr>
            <w:r>
              <w:rPr>
                <w:sz w:val="17"/>
              </w:rPr>
              <w:t xml:space="preserve">Contrôles automatiques</w:t>
            </w:r>
          </w:p>
        </w:tc>
        <w:tc>
          <w:tcPr>
            <w:shd w:val="clear" w:color="auto" w:fill="F5F7FB"/>
          </w:tcPr>
          <w:p>
            <w:pPr>
              <w:pStyle w:val="Compact"/>
            </w:pPr>
            <w:r>
              <w:rPr>
                <w:sz w:val="17"/>
              </w:rPr>
              <w:t xml:space="preserve">Variables manquantes, longueur SMS, présence des mentions légales obligatoires, cohérence des montants et devises, traduction complète dans les langues actives</w:t>
            </w:r>
          </w:p>
        </w:tc>
      </w:tr>
    </w:tbl>
    <w:bookmarkEnd w:id="123"/>
    <w:bookmarkStart w:id="124" w:name="journal-de-délivrance"/>
    <w:p>
      <w:pPr>
        <w:pStyle w:val="Heading3"/>
      </w:pPr>
      <w:r>
        <w:t xml:space="preserve">11.4.7 Journal de délivrance</w:t>
      </w:r>
    </w:p>
    <w:p>
      <w:pPr>
        <w:pStyle w:val="FirstParagraph"/>
      </w:pPr>
      <w:r>
        <w:t xml:space="preserve">Chaque combinaison</w:t>
      </w:r>
      <w:r>
        <w:t xml:space="preserve"> </w:t>
      </w:r>
      <w:r>
        <w:rPr>
          <w:b/>
          <w:bCs/>
        </w:rPr>
        <w:t xml:space="preserve">événement × canal × destinataire</w:t>
      </w:r>
      <w:r>
        <w:t xml:space="preserve"> </w:t>
      </w:r>
      <w:r>
        <w:t xml:space="preserve">crée une ligne de délivrance : identifiant d’événement, canal, fournisseur, statut (</w:t>
      </w:r>
      <w:r>
        <w:rPr>
          <w:rStyle w:val="VerbatimChar"/>
        </w:rPr>
        <w:t xml:space="preserve">en_file</w:t>
      </w:r>
      <w:r>
        <w:t xml:space="preserve">,</w:t>
      </w:r>
      <w:r>
        <w:t xml:space="preserve"> </w:t>
      </w:r>
      <w:r>
        <w:rPr>
          <w:rStyle w:val="VerbatimChar"/>
        </w:rPr>
        <w:t xml:space="preserve">envoyé</w:t>
      </w:r>
      <w:r>
        <w:t xml:space="preserve">,</w:t>
      </w:r>
      <w:r>
        <w:t xml:space="preserve"> </w:t>
      </w:r>
      <w:r>
        <w:rPr>
          <w:rStyle w:val="VerbatimChar"/>
        </w:rPr>
        <w:t xml:space="preserve">délivré</w:t>
      </w:r>
      <w:r>
        <w:t xml:space="preserve">,</w:t>
      </w:r>
      <w:r>
        <w:t xml:space="preserve"> </w:t>
      </w:r>
      <w:r>
        <w:rPr>
          <w:rStyle w:val="VerbatimChar"/>
        </w:rPr>
        <w:t xml:space="preserve">lu</w:t>
      </w:r>
      <w:r>
        <w:t xml:space="preserve">,</w:t>
      </w:r>
      <w:r>
        <w:t xml:space="preserve"> </w:t>
      </w:r>
      <w:r>
        <w:rPr>
          <w:rStyle w:val="VerbatimChar"/>
        </w:rPr>
        <w:t xml:space="preserve">échoué</w:t>
      </w:r>
      <w:r>
        <w:t xml:space="preserve">,</w:t>
      </w:r>
      <w:r>
        <w:t xml:space="preserve"> </w:t>
      </w:r>
      <w:r>
        <w:rPr>
          <w:rStyle w:val="VerbatimChar"/>
        </w:rPr>
        <w:t xml:space="preserve">journalisé</w:t>
      </w:r>
      <w:r>
        <w:t xml:space="preserve"> </w:t>
      </w:r>
      <w:r>
        <w:t xml:space="preserve">en bac à sable,</w:t>
      </w:r>
      <w:r>
        <w:t xml:space="preserve"> </w:t>
      </w:r>
      <w:r>
        <w:rPr>
          <w:rStyle w:val="VerbatimChar"/>
        </w:rPr>
        <w:t xml:space="preserve">supprimé_par_préférence</w:t>
      </w:r>
      <w:r>
        <w:t xml:space="preserve">), horodatages, nombre de tentatives, coût unitaire, empreinte du contenu. Le journal alimente : la preuve de notification des avis légaux ; le tableau de bord des communications (taux de délivrance par canal et par opérateur, coût, échecs) ; la détection d’anomalies (numéro recevant les avis de nombreux contribuables sans lien de mandat).</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Écran « Communications » (administration du module 39)</w:t>
            </w:r>
          </w:p>
        </w:tc>
        <w:tc>
          <w:tcPr>
            <w:shd w:val="clear" w:color="auto" w:fill="232C6B"/>
          </w:tcPr>
          <w:p>
            <w:pPr>
              <w:pStyle w:val="Compact"/>
            </w:pPr>
            <w:r>
              <w:rPr>
                <w:b/>
                <w:color w:val="FFFFFF"/>
                <w:sz w:val="17"/>
              </w:rPr>
              <w:t xml:space="preserve">Contenu</w:t>
            </w:r>
          </w:p>
        </w:tc>
      </w:tr>
      <w:tr>
        <w:tc>
          <w:tcPr/>
          <w:p>
            <w:pPr>
              <w:pStyle w:val="Compact"/>
            </w:pPr>
            <w:r>
              <w:rPr>
                <w:sz w:val="17"/>
              </w:rPr>
              <w:t xml:space="preserve">Cartes de synthèse</w:t>
            </w:r>
          </w:p>
        </w:tc>
        <w:tc>
          <w:tcPr/>
          <w:p>
            <w:pPr>
              <w:pStyle w:val="Compact"/>
            </w:pPr>
            <w:r>
              <w:rPr>
                <w:sz w:val="17"/>
              </w:rPr>
              <w:t xml:space="preserve">Événements au catalogue ; catégories ; avis obligatoires ; messages délivrés / tentés ; canaux raccordés</w:t>
            </w:r>
          </w:p>
        </w:tc>
      </w:tr>
      <w:tr>
        <w:tc>
          <w:tcPr>
            <w:shd w:val="clear" w:color="auto" w:fill="F5F7FB"/>
          </w:tcPr>
          <w:p>
            <w:pPr>
              <w:pStyle w:val="Compact"/>
            </w:pPr>
            <w:r>
              <w:rPr>
                <w:sz w:val="17"/>
              </w:rPr>
              <w:t xml:space="preserve">Couverture par canal</w:t>
            </w:r>
          </w:p>
        </w:tc>
        <w:tc>
          <w:tcPr>
            <w:shd w:val="clear" w:color="auto" w:fill="F5F7FB"/>
          </w:tcPr>
          <w:p>
            <w:pPr>
              <w:pStyle w:val="Compact"/>
            </w:pPr>
            <w:r>
              <w:rPr>
                <w:sz w:val="17"/>
              </w:rPr>
              <w:t xml:space="preserve">Nombre d’événements diffusés par défaut sur chaque canal et nombre de messages envoyés sur la période</w:t>
            </w:r>
          </w:p>
        </w:tc>
      </w:tr>
      <w:tr>
        <w:tc>
          <w:tcPr/>
          <w:p>
            <w:pPr>
              <w:pStyle w:val="Compact"/>
            </w:pPr>
            <w:r>
              <w:rPr>
                <w:sz w:val="17"/>
              </w:rPr>
              <w:t xml:space="preserve">Assurance qualité des modèles</w:t>
            </w:r>
          </w:p>
        </w:tc>
        <w:tc>
          <w:tcPr/>
          <w:p>
            <w:pPr>
              <w:pStyle w:val="Compact"/>
            </w:pPr>
            <w:r>
              <w:rPr>
                <w:sz w:val="17"/>
              </w:rPr>
              <w:t xml:space="preserve">Sélecteur d’événement et d’entité, aperçu, envoi de test</w:t>
            </w:r>
          </w:p>
        </w:tc>
      </w:tr>
      <w:tr>
        <w:tc>
          <w:tcPr>
            <w:shd w:val="clear" w:color="auto" w:fill="F5F7FB"/>
          </w:tcPr>
          <w:p>
            <w:pPr>
              <w:pStyle w:val="Compact"/>
            </w:pPr>
            <w:r>
              <w:rPr>
                <w:sz w:val="17"/>
              </w:rPr>
              <w:t xml:space="preserve">Dernières délivrances</w:t>
            </w:r>
          </w:p>
        </w:tc>
        <w:tc>
          <w:tcPr>
            <w:shd w:val="clear" w:color="auto" w:fill="F5F7FB"/>
          </w:tcPr>
          <w:p>
            <w:pPr>
              <w:pStyle w:val="Compact"/>
            </w:pPr>
            <w:r>
              <w:rPr>
                <w:sz w:val="17"/>
              </w:rPr>
              <w:t xml:space="preserve">Flux temps réel événement × canal × destinataire (masqué selon les droits) et statut</w:t>
            </w:r>
          </w:p>
        </w:tc>
      </w:tr>
      <w:tr>
        <w:tc>
          <w:tcPr/>
          <w:p>
            <w:pPr>
              <w:pStyle w:val="Compact"/>
            </w:pPr>
            <w:r>
              <w:rPr>
                <w:sz w:val="17"/>
              </w:rPr>
              <w:t xml:space="preserve">Catalogue</w:t>
            </w:r>
          </w:p>
        </w:tc>
        <w:tc>
          <w:tcPr/>
          <w:p>
            <w:pPr>
              <w:pStyle w:val="Compact"/>
            </w:pPr>
            <w:r>
              <w:rPr>
                <w:sz w:val="17"/>
              </w:rPr>
              <w:t xml:space="preserve">Événements par catégorie, gravité, canaux, caractère obligatoire</w:t>
            </w:r>
          </w:p>
        </w:tc>
      </w:tr>
    </w:tbl>
    <w:bookmarkEnd w:id="124"/>
    <w:bookmarkEnd w:id="125"/>
    <w:bookmarkStart w:id="126" w:name="plateforme-multilingue"/>
    <w:p>
      <w:pPr>
        <w:pStyle w:val="Heading2"/>
      </w:pPr>
      <w:r>
        <w:t xml:space="preserve">11.5 Plateforme multilingue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Langue</w:t>
            </w:r>
          </w:p>
        </w:tc>
        <w:tc>
          <w:tcPr>
            <w:shd w:val="clear" w:color="auto" w:fill="232C6B"/>
          </w:tcPr>
          <w:p>
            <w:pPr>
              <w:pStyle w:val="Compact"/>
            </w:pPr>
            <w:r>
              <w:rPr>
                <w:b/>
                <w:color w:val="FFFFFF"/>
                <w:sz w:val="17"/>
              </w:rPr>
              <w:t xml:space="preserve">Code</w:t>
            </w:r>
          </w:p>
        </w:tc>
        <w:tc>
          <w:tcPr>
            <w:shd w:val="clear" w:color="auto" w:fill="232C6B"/>
          </w:tcPr>
          <w:p>
            <w:pPr>
              <w:pStyle w:val="Compact"/>
            </w:pPr>
            <w:r>
              <w:rPr>
                <w:b/>
                <w:color w:val="FFFFFF"/>
                <w:sz w:val="17"/>
              </w:rPr>
              <w:t xml:space="preserve">Rôle</w:t>
            </w:r>
          </w:p>
        </w:tc>
      </w:tr>
      <w:tr>
        <w:tc>
          <w:tcPr/>
          <w:p>
            <w:pPr>
              <w:pStyle w:val="Compact"/>
            </w:pPr>
            <w:r>
              <w:rPr>
                <w:sz w:val="17"/>
              </w:rPr>
              <w:t xml:space="preserve">Français</w:t>
            </w:r>
          </w:p>
        </w:tc>
        <w:tc>
          <w:tcPr/>
          <w:p>
            <w:pPr>
              <w:pStyle w:val="Compact"/>
            </w:pPr>
            <w:r>
              <w:rPr>
                <w:rStyle w:val="VerbatimChar"/>
                <w:sz w:val="17"/>
              </w:rPr>
              <w:t xml:space="preserve">fr</w:t>
            </w:r>
          </w:p>
        </w:tc>
        <w:tc>
          <w:tcPr/>
          <w:p>
            <w:pPr>
              <w:pStyle w:val="Compact"/>
            </w:pPr>
            <w:r>
              <w:rPr>
                <w:b/>
                <w:bCs/>
                <w:sz w:val="17"/>
              </w:rPr>
              <w:t xml:space="preserve">Langue de référence</w:t>
            </w:r>
            <w:r>
              <w:rPr>
                <w:sz w:val="17"/>
              </w:rPr>
              <w:t xml:space="preserve"> </w:t>
            </w:r>
            <w:r>
              <w:rPr>
                <w:sz w:val="17"/>
              </w:rPr>
              <w:t xml:space="preserve">: seule version juridiquement opposable des avis et décisions</w:t>
            </w:r>
          </w:p>
        </w:tc>
      </w:tr>
      <w:tr>
        <w:tc>
          <w:tcPr>
            <w:shd w:val="clear" w:color="auto" w:fill="F5F7FB"/>
          </w:tcPr>
          <w:p>
            <w:pPr>
              <w:pStyle w:val="Compact"/>
            </w:pPr>
            <w:r>
              <w:rPr>
                <w:sz w:val="17"/>
              </w:rPr>
              <w:t xml:space="preserve">Lingala</w:t>
            </w:r>
          </w:p>
        </w:tc>
        <w:tc>
          <w:tcPr>
            <w:shd w:val="clear" w:color="auto" w:fill="F5F7FB"/>
          </w:tcPr>
          <w:p>
            <w:pPr>
              <w:pStyle w:val="Compact"/>
            </w:pPr>
            <w:r>
              <w:rPr>
                <w:rStyle w:val="VerbatimChar"/>
                <w:sz w:val="17"/>
              </w:rPr>
              <w:t xml:space="preserve">ln</w:t>
            </w:r>
          </w:p>
        </w:tc>
        <w:tc>
          <w:tcPr>
            <w:shd w:val="clear" w:color="auto" w:fill="F5F7FB"/>
          </w:tcPr>
          <w:p>
            <w:pPr>
              <w:pStyle w:val="Compact"/>
            </w:pPr>
            <w:r>
              <w:rPr>
                <w:sz w:val="17"/>
              </w:rPr>
              <w:t xml:space="preserve">Langue nationale ; langue d’usage majoritaire à Kinshasa</w:t>
            </w:r>
          </w:p>
        </w:tc>
      </w:tr>
      <w:tr>
        <w:tc>
          <w:tcPr/>
          <w:p>
            <w:pPr>
              <w:pStyle w:val="Compact"/>
            </w:pPr>
            <w:r>
              <w:rPr>
                <w:sz w:val="17"/>
              </w:rPr>
              <w:t xml:space="preserve">Kiswahili</w:t>
            </w:r>
          </w:p>
        </w:tc>
        <w:tc>
          <w:tcPr/>
          <w:p>
            <w:pPr>
              <w:pStyle w:val="Compact"/>
            </w:pPr>
            <w:r>
              <w:rPr>
                <w:rStyle w:val="VerbatimChar"/>
                <w:sz w:val="17"/>
              </w:rPr>
              <w:t xml:space="preserve">sw</w:t>
            </w:r>
          </w:p>
        </w:tc>
        <w:tc>
          <w:tcPr/>
          <w:p>
            <w:pPr>
              <w:pStyle w:val="Compact"/>
            </w:pPr>
            <w:r>
              <w:rPr>
                <w:sz w:val="17"/>
              </w:rPr>
              <w:t xml:space="preserve">Langue nationale</w:t>
            </w:r>
          </w:p>
        </w:tc>
      </w:tr>
      <w:tr>
        <w:tc>
          <w:tcPr>
            <w:shd w:val="clear" w:color="auto" w:fill="F5F7FB"/>
          </w:tcPr>
          <w:p>
            <w:pPr>
              <w:pStyle w:val="Compact"/>
            </w:pPr>
            <w:r>
              <w:rPr>
                <w:sz w:val="17"/>
              </w:rPr>
              <w:t xml:space="preserve">Kikongo</w:t>
            </w:r>
          </w:p>
        </w:tc>
        <w:tc>
          <w:tcPr>
            <w:shd w:val="clear" w:color="auto" w:fill="F5F7FB"/>
          </w:tcPr>
          <w:p>
            <w:pPr>
              <w:pStyle w:val="Compact"/>
            </w:pPr>
            <w:r>
              <w:rPr>
                <w:rStyle w:val="VerbatimChar"/>
                <w:sz w:val="17"/>
              </w:rPr>
              <w:t xml:space="preserve">kg</w:t>
            </w:r>
          </w:p>
        </w:tc>
        <w:tc>
          <w:tcPr>
            <w:shd w:val="clear" w:color="auto" w:fill="F5F7FB"/>
          </w:tcPr>
          <w:p>
            <w:pPr>
              <w:pStyle w:val="Compact"/>
            </w:pPr>
            <w:r>
              <w:rPr>
                <w:sz w:val="17"/>
              </w:rPr>
              <w:t xml:space="preserve">Langue nationale</w:t>
            </w:r>
          </w:p>
        </w:tc>
      </w:tr>
      <w:tr>
        <w:tc>
          <w:tcPr/>
          <w:p>
            <w:pPr>
              <w:pStyle w:val="Compact"/>
            </w:pPr>
            <w:r>
              <w:rPr>
                <w:sz w:val="17"/>
              </w:rPr>
              <w:t xml:space="preserve">Tshiluba</w:t>
            </w:r>
          </w:p>
        </w:tc>
        <w:tc>
          <w:tcPr/>
          <w:p>
            <w:pPr>
              <w:pStyle w:val="Compact"/>
            </w:pPr>
            <w:r>
              <w:rPr>
                <w:rStyle w:val="VerbatimChar"/>
                <w:sz w:val="17"/>
              </w:rPr>
              <w:t xml:space="preserve">lua</w:t>
            </w:r>
          </w:p>
        </w:tc>
        <w:tc>
          <w:tcPr/>
          <w:p>
            <w:pPr>
              <w:pStyle w:val="Compact"/>
            </w:pPr>
            <w:r>
              <w:rPr>
                <w:sz w:val="17"/>
              </w:rPr>
              <w:t xml:space="preserve">Langue nationale</w:t>
            </w:r>
          </w:p>
        </w:tc>
      </w:tr>
      <w:tr>
        <w:tc>
          <w:tcPr>
            <w:shd w:val="clear" w:color="auto" w:fill="F5F7FB"/>
          </w:tcPr>
          <w:p>
            <w:pPr>
              <w:pStyle w:val="Compact"/>
            </w:pPr>
            <w:r>
              <w:rPr>
                <w:sz w:val="17"/>
              </w:rPr>
              <w:t xml:space="preserve">Anglais</w:t>
            </w:r>
          </w:p>
        </w:tc>
        <w:tc>
          <w:tcPr>
            <w:shd w:val="clear" w:color="auto" w:fill="F5F7FB"/>
          </w:tcPr>
          <w:p>
            <w:pPr>
              <w:pStyle w:val="Compact"/>
            </w:pPr>
            <w:r>
              <w:rPr>
                <w:rStyle w:val="VerbatimChar"/>
                <w:sz w:val="17"/>
              </w:rPr>
              <w:t xml:space="preserve">en</w:t>
            </w:r>
          </w:p>
        </w:tc>
        <w:tc>
          <w:tcPr>
            <w:shd w:val="clear" w:color="auto" w:fill="F5F7FB"/>
          </w:tcPr>
          <w:p>
            <w:pPr>
              <w:pStyle w:val="Compact"/>
            </w:pPr>
            <w:r>
              <w:rPr>
                <w:sz w:val="17"/>
              </w:rPr>
              <w:t xml:space="preserve">Diaspora, investisseurs, partenaires</w:t>
            </w:r>
          </w:p>
        </w:tc>
      </w:tr>
    </w:tbl>
    <w:p>
      <w:pPr>
        <w:pStyle w:val="BodyText"/>
      </w:pPr>
      <w:r>
        <w:t xml:space="preserve">Règles : toutes les chaînes d’interface, tous les modèles de messages, tous les contenus d’apprentissage et tous les messages SVI sont externalisés dans des fichiers de ressources (format ICU MessageFormat, gestion des pluriels et du genre) ; la langue est un attribut du compte, modifiable à tout moment ; les avis légaux en langue nationale portent la mention « traduction d’information — la version française fait foi » et un lien vers la version française ; les traductions sont validées par des relecteurs natifs rémunérés, avec glossaire fiscal commun ; un indicateur « complétude de traduction » bloque l’activation d’une langue incomplète pour un parcours donné.</w:t>
      </w:r>
      <w:r>
        <w:t xml:space="preserve"> </w:t>
      </w:r>
      <w:r>
        <w:rPr>
          <w:b/>
          <w:bCs/>
        </w:rPr>
        <w:t xml:space="preserve">Les langues sont désignées par leur nom natif, jamais par un drapeau</w:t>
      </w:r>
      <w:r>
        <w:t xml:space="preserve"> </w:t>
      </w:r>
      <w:r>
        <w:t xml:space="preserve">(une langue n’est pas un pays).</w:t>
      </w:r>
    </w:p>
    <w:bookmarkEnd w:id="126"/>
    <w:bookmarkStart w:id="130" w:name="Xb09f7e8a02a05bca22d8bdc461daf50cfc2b175"/>
    <w:p>
      <w:pPr>
        <w:pStyle w:val="Heading2"/>
      </w:pPr>
      <w:r>
        <w:t xml:space="preserve">11.6 Plateforme multidevise : le franc congolais comme devise principale</w:t>
      </w:r>
    </w:p>
    <w:bookmarkStart w:id="127" w:name="principes"/>
    <w:p>
      <w:pPr>
        <w:pStyle w:val="Heading3"/>
      </w:pPr>
      <w:r>
        <w:t xml:space="preserve">11.6.1 Principes</w:t>
      </w:r>
    </w:p>
    <w:p>
      <w:pPr>
        <w:pStyle w:val="Compact"/>
        <w:numPr>
          <w:ilvl w:val="0"/>
          <w:numId w:val="1013"/>
        </w:numPr>
      </w:pPr>
      <w:r>
        <w:rPr>
          <w:b/>
          <w:bCs/>
        </w:rPr>
        <w:t xml:space="preserve">Le franc congolais (🇨🇩 CDF) est la devise principale</w:t>
      </w:r>
      <w:r>
        <w:t xml:space="preserve"> </w:t>
      </w:r>
      <w:r>
        <w:t xml:space="preserve">de la plateforme : devise de consolidation de tous les tableaux de bord, du grand livre de synthèse, des prévisions et du tableau de transparence.</w:t>
      </w:r>
    </w:p>
    <w:p>
      <w:pPr>
        <w:pStyle w:val="Compact"/>
        <w:numPr>
          <w:ilvl w:val="0"/>
          <w:numId w:val="1013"/>
        </w:numPr>
      </w:pPr>
      <w:r>
        <w:rPr>
          <w:b/>
          <w:bCs/>
        </w:rPr>
        <w:t xml:space="preserve">La devise de l’obligation est celle fixée par la règle légale.</w:t>
      </w:r>
      <w:r>
        <w:t xml:space="preserve"> </w:t>
      </w:r>
      <w:r>
        <w:t xml:space="preserve">Lorsqu’un arrêté fixe un tarif en dollars américains (cas rapporté de l’impôt foncier 2026), l’obligation est libellée en 🇺🇸 USD et affichée avec sa contre-valeur indicative en 🇨🇩 CDF ; la plateforme ne convertit jamais d’elle-même une obligation légalement libellée dans une devise en une autre.</w:t>
      </w:r>
    </w:p>
    <w:p>
      <w:pPr>
        <w:pStyle w:val="Compact"/>
        <w:numPr>
          <w:ilvl w:val="0"/>
          <w:numId w:val="1013"/>
        </w:numPr>
      </w:pPr>
      <w:r>
        <w:rPr>
          <w:b/>
          <w:bCs/>
        </w:rPr>
        <w:t xml:space="preserve">Chaque devise est représentée par le drapeau de son pays émetteur</w:t>
      </w:r>
      <w:r>
        <w:t xml:space="preserve">, placé devant le code ISO 4217 et le montant : 🇨🇩 CDF 1 250 000,00 · 🇺🇸 USD 450,00 · 🇪🇺 EUR 410,00. Pour une devise commune à plusieurs pays, le drapeau de l’union monétaire (🇪🇺 pour l’euro) ou un drapeau de référence configurable est utilisé.</w:t>
      </w:r>
    </w:p>
    <w:p>
      <w:pPr>
        <w:pStyle w:val="Compact"/>
        <w:numPr>
          <w:ilvl w:val="0"/>
          <w:numId w:val="1013"/>
        </w:numPr>
      </w:pPr>
      <w:r>
        <w:rPr>
          <w:b/>
          <w:bCs/>
        </w:rPr>
        <w:t xml:space="preserve">Les taux de change sont ceux de la source officielle</w:t>
      </w:r>
      <w:r>
        <w:t xml:space="preserve"> </w:t>
      </w:r>
      <w:r>
        <w:t xml:space="preserve">désignée par le texte (en principe le cours indicatif de la Banque Centrale du Congo), importés quotidiennement, signés, horodatés et jamais saisis à la main. La règle précisant</w:t>
      </w:r>
      <w:r>
        <w:t xml:space="preserve"> </w:t>
      </w:r>
      <w:r>
        <w:rPr>
          <w:b/>
          <w:bCs/>
        </w:rPr>
        <w:t xml:space="preserve">quel taux s’applique à quelle date</w:t>
      </w:r>
      <w:r>
        <w:t xml:space="preserve"> </w:t>
      </w:r>
      <w:r>
        <w:t xml:space="preserve">(fait générateur, émission de l’avis, paiement) est une règle juridique certifiée [À VÉRIFIER J3].</w:t>
      </w:r>
    </w:p>
    <w:p>
      <w:pPr>
        <w:pStyle w:val="Compact"/>
        <w:numPr>
          <w:ilvl w:val="0"/>
          <w:numId w:val="1013"/>
        </w:numPr>
      </w:pPr>
      <w:r>
        <w:rPr>
          <w:b/>
          <w:bCs/>
        </w:rPr>
        <w:t xml:space="preserve">Le montant payé dans une devise étrangère</w:t>
      </w:r>
      <w:r>
        <w:t xml:space="preserve"> </w:t>
      </w:r>
      <w:r>
        <w:t xml:space="preserve">(carte de la diaspora, par exemple) est converti par le prestataire selon le contrat, puis rapproché dans la devise de l’obligation ; l’écart de change éventuel est traité par règle (tolérance, reliquat, trop-perçu) et visible du contribuable (</w:t>
      </w:r>
      <w:r>
        <w:rPr>
          <w:rStyle w:val="VerbatimChar"/>
        </w:rPr>
        <w:t xml:space="preserve">payment.currency_converted</w:t>
      </w:r>
      <w:r>
        <w:t xml:space="preserve">).</w:t>
      </w:r>
    </w:p>
    <w:p>
      <w:pPr>
        <w:pStyle w:val="Compact"/>
        <w:numPr>
          <w:ilvl w:val="0"/>
          <w:numId w:val="1013"/>
        </w:numPr>
      </w:pPr>
      <w:r>
        <w:rPr>
          <w:b/>
          <w:bCs/>
        </w:rPr>
        <w:t xml:space="preserve">Aucune écriture comptable n’est convertie rétroactivement</w:t>
      </w:r>
      <w:r>
        <w:t xml:space="preserve"> </w:t>
      </w:r>
      <w:r>
        <w:t xml:space="preserve">: chaque écriture conserve sa devise d’origine, le taux appliqué et sa contre-valeur en CDF.</w:t>
      </w:r>
    </w:p>
    <w:bookmarkEnd w:id="127"/>
    <w:bookmarkStart w:id="128" w:name="référentiel-des-devises"/>
    <w:p>
      <w:pPr>
        <w:pStyle w:val="Heading3"/>
      </w:pPr>
      <w:r>
        <w:t xml:space="preserve">11.6.2 Référentiel des devises</w:t>
      </w:r>
    </w:p>
    <w:p>
      <w:pPr>
        <w:pStyle w:val="FirstParagraph"/>
      </w:pPr>
      <w:r>
        <w:t xml:space="preserve">Le référentiel (</w:t>
      </w:r>
      <w:r>
        <w:rPr>
          <w:rStyle w:val="VerbatimChar"/>
        </w:rPr>
        <w:t xml:space="preserve">specs/devises.yaml</w:t>
      </w:r>
      <w:r>
        <w:t xml:space="preserve">, module 89) distingue le rôle de chaque devise :</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320"/>
        <w:gridCol w:w="1320"/>
        <w:gridCol w:w="1320"/>
        <w:gridCol w:w="1320"/>
        <w:gridCol w:w="1320"/>
        <w:gridCol w:w="1320"/>
      </w:tblGrid>
      <w:tr>
        <w:trPr>
          <w:tblHeader w:val="on"/>
        </w:trPr>
        <w:tc>
          <w:tcPr>
            <w:shd w:val="clear" w:color="auto" w:fill="232C6B"/>
          </w:tcPr>
          <w:p>
            <w:pPr>
              <w:pStyle w:val="Compact"/>
            </w:pPr>
            <w:r>
              <w:rPr>
                <w:b/>
                <w:color w:val="FFFFFF"/>
                <w:sz w:val="17"/>
              </w:rPr>
              <w:t xml:space="preserve">Drapeau</w:t>
            </w:r>
          </w:p>
        </w:tc>
        <w:tc>
          <w:tcPr>
            <w:shd w:val="clear" w:color="auto" w:fill="232C6B"/>
          </w:tcPr>
          <w:p>
            <w:pPr>
              <w:pStyle w:val="Compact"/>
            </w:pPr>
            <w:r>
              <w:rPr>
                <w:b/>
                <w:color w:val="FFFFFF"/>
                <w:sz w:val="17"/>
              </w:rPr>
              <w:t xml:space="preserve">Code</w:t>
            </w:r>
          </w:p>
        </w:tc>
        <w:tc>
          <w:tcPr>
            <w:shd w:val="clear" w:color="auto" w:fill="232C6B"/>
          </w:tcPr>
          <w:p>
            <w:pPr>
              <w:pStyle w:val="Compact"/>
            </w:pPr>
            <w:r>
              <w:rPr>
                <w:b/>
                <w:color w:val="FFFFFF"/>
                <w:sz w:val="17"/>
              </w:rPr>
              <w:t xml:space="preserve">Devise</w:t>
            </w:r>
          </w:p>
        </w:tc>
        <w:tc>
          <w:tcPr>
            <w:shd w:val="clear" w:color="auto" w:fill="232C6B"/>
          </w:tcPr>
          <w:p>
            <w:pPr>
              <w:pStyle w:val="Compact"/>
            </w:pPr>
            <w:r>
              <w:rPr>
                <w:b/>
                <w:color w:val="FFFFFF"/>
                <w:sz w:val="17"/>
              </w:rPr>
              <w:t xml:space="preserve">Rôle</w:t>
            </w:r>
          </w:p>
        </w:tc>
        <w:tc>
          <w:tcPr>
            <w:shd w:val="clear" w:color="auto" w:fill="232C6B"/>
          </w:tcPr>
          <w:p>
            <w:pPr>
              <w:pStyle w:val="Compact"/>
            </w:pPr>
            <w:r>
              <w:rPr>
                <w:b/>
                <w:color w:val="FFFFFF"/>
                <w:sz w:val="17"/>
              </w:rPr>
              <w:t xml:space="preserve">Liquidation</w:t>
            </w:r>
          </w:p>
        </w:tc>
        <w:tc>
          <w:tcPr>
            <w:shd w:val="clear" w:color="auto" w:fill="232C6B"/>
          </w:tcPr>
          <w:p>
            <w:pPr>
              <w:pStyle w:val="Compact"/>
            </w:pPr>
            <w:r>
              <w:rPr>
                <w:b/>
                <w:color w:val="FFFFFF"/>
                <w:sz w:val="17"/>
              </w:rPr>
              <w:t xml:space="preserve">Paiement</w:t>
            </w:r>
          </w:p>
        </w:tc>
      </w:tr>
      <w:tr>
        <w:tc>
          <w:tcPr/>
          <w:p>
            <w:pPr>
              <w:pStyle w:val="Compact"/>
            </w:pPr>
            <w:r>
              <w:rPr>
                <w:sz w:val="17"/>
              </w:rPr>
              <w:t xml:space="preserve">🇨🇩</w:t>
            </w:r>
          </w:p>
        </w:tc>
        <w:tc>
          <w:tcPr/>
          <w:p>
            <w:pPr>
              <w:pStyle w:val="Compact"/>
            </w:pPr>
            <w:r>
              <w:rPr>
                <w:sz w:val="17"/>
              </w:rPr>
              <w:t xml:space="preserve">CDF</w:t>
            </w:r>
          </w:p>
        </w:tc>
        <w:tc>
          <w:tcPr/>
          <w:p>
            <w:pPr>
              <w:pStyle w:val="Compact"/>
            </w:pPr>
            <w:r>
              <w:rPr>
                <w:sz w:val="17"/>
              </w:rPr>
              <w:t xml:space="preserve">Franc congolais</w:t>
            </w:r>
          </w:p>
        </w:tc>
        <w:tc>
          <w:tcPr/>
          <w:p>
            <w:pPr>
              <w:pStyle w:val="Compact"/>
            </w:pPr>
            <w:r>
              <w:rPr>
                <w:b/>
                <w:bCs/>
                <w:sz w:val="17"/>
              </w:rPr>
              <w:t xml:space="preserve">Principale</w:t>
            </w:r>
          </w:p>
        </w:tc>
        <w:tc>
          <w:tcPr/>
          <w:p>
            <w:pPr>
              <w:pStyle w:val="Compact"/>
            </w:pPr>
            <w:r>
              <w:rPr>
                <w:sz w:val="17"/>
              </w:rPr>
              <w:t xml:space="preserve">Oui</w:t>
            </w:r>
          </w:p>
        </w:tc>
        <w:tc>
          <w:tcPr/>
          <w:p>
            <w:pPr>
              <w:pStyle w:val="Compact"/>
            </w:pPr>
            <w:r>
              <w:rPr>
                <w:sz w:val="17"/>
              </w:rPr>
              <w:t xml:space="preserve">Oui</w:t>
            </w:r>
          </w:p>
        </w:tc>
      </w:tr>
      <w:tr>
        <w:tc>
          <w:tcPr>
            <w:shd w:val="clear" w:color="auto" w:fill="F5F7FB"/>
          </w:tcPr>
          <w:p>
            <w:pPr>
              <w:pStyle w:val="Compact"/>
            </w:pPr>
            <w:r>
              <w:rPr>
                <w:sz w:val="17"/>
              </w:rPr>
              <w:t xml:space="preserve">🇺🇸</w:t>
            </w:r>
          </w:p>
        </w:tc>
        <w:tc>
          <w:tcPr>
            <w:shd w:val="clear" w:color="auto" w:fill="F5F7FB"/>
          </w:tcPr>
          <w:p>
            <w:pPr>
              <w:pStyle w:val="Compact"/>
            </w:pPr>
            <w:r>
              <w:rPr>
                <w:sz w:val="17"/>
              </w:rPr>
              <w:t xml:space="preserve">USD</w:t>
            </w:r>
          </w:p>
        </w:tc>
        <w:tc>
          <w:tcPr>
            <w:shd w:val="clear" w:color="auto" w:fill="F5F7FB"/>
          </w:tcPr>
          <w:p>
            <w:pPr>
              <w:pStyle w:val="Compact"/>
            </w:pPr>
            <w:r>
              <w:rPr>
                <w:sz w:val="17"/>
              </w:rPr>
              <w:t xml:space="preserve">Dollar américain</w:t>
            </w:r>
          </w:p>
        </w:tc>
        <w:tc>
          <w:tcPr>
            <w:shd w:val="clear" w:color="auto" w:fill="F5F7FB"/>
          </w:tcPr>
          <w:p>
            <w:pPr>
              <w:pStyle w:val="Compact"/>
            </w:pPr>
            <w:r>
              <w:rPr>
                <w:sz w:val="17"/>
              </w:rPr>
              <w:t xml:space="preserve">Légale secondaire (si la règle l’exige)</w:t>
            </w:r>
          </w:p>
        </w:tc>
        <w:tc>
          <w:tcPr>
            <w:shd w:val="clear" w:color="auto" w:fill="F5F7FB"/>
          </w:tcPr>
          <w:p>
            <w:pPr>
              <w:pStyle w:val="Compact"/>
            </w:pPr>
            <w:r>
              <w:rPr>
                <w:sz w:val="17"/>
              </w:rPr>
              <w:t xml:space="preserve">Si la règle l’exige</w:t>
            </w:r>
          </w:p>
        </w:tc>
        <w:tc>
          <w:tcPr>
            <w:shd w:val="clear" w:color="auto" w:fill="F5F7FB"/>
          </w:tcPr>
          <w:p>
            <w:pPr>
              <w:pStyle w:val="Compact"/>
            </w:pPr>
            <w:r>
              <w:rPr>
                <w:sz w:val="17"/>
              </w:rPr>
              <w:t xml:space="preserve">Oui</w:t>
            </w:r>
          </w:p>
        </w:tc>
      </w:tr>
      <w:tr>
        <w:tc>
          <w:tcPr/>
          <w:p>
            <w:pPr>
              <w:pStyle w:val="Compact"/>
            </w:pPr>
            <w:r>
              <w:rPr>
                <w:sz w:val="17"/>
              </w:rPr>
              <w:t xml:space="preserve">🇪🇺</w:t>
            </w:r>
          </w:p>
        </w:tc>
        <w:tc>
          <w:tcPr/>
          <w:p>
            <w:pPr>
              <w:pStyle w:val="Compact"/>
            </w:pPr>
            <w:r>
              <w:rPr>
                <w:sz w:val="17"/>
              </w:rPr>
              <w:t xml:space="preserve">EUR</w:t>
            </w:r>
          </w:p>
        </w:tc>
        <w:tc>
          <w:tcPr/>
          <w:p>
            <w:pPr>
              <w:pStyle w:val="Compact"/>
            </w:pPr>
            <w:r>
              <w:rPr>
                <w:sz w:val="17"/>
              </w:rPr>
              <w:t xml:space="preserve">Euro</w:t>
            </w:r>
          </w:p>
        </w:tc>
        <w:tc>
          <w:tcPr/>
          <w:p>
            <w:pPr>
              <w:pStyle w:val="Compact"/>
            </w:pPr>
            <w:r>
              <w:rPr>
                <w:sz w:val="17"/>
              </w:rPr>
              <w:t xml:space="preserve">Paiement diaspora</w:t>
            </w:r>
          </w:p>
        </w:tc>
        <w:tc>
          <w:tcPr/>
          <w:p>
            <w:pPr>
              <w:pStyle w:val="Compact"/>
            </w:pPr>
            <w:r>
              <w:rPr>
                <w:sz w:val="17"/>
              </w:rPr>
              <w:t xml:space="preserve">Non</w:t>
            </w:r>
          </w:p>
        </w:tc>
        <w:tc>
          <w:tcPr/>
          <w:p>
            <w:pPr>
              <w:pStyle w:val="Compact"/>
            </w:pPr>
            <w:r>
              <w:rPr>
                <w:sz w:val="17"/>
              </w:rPr>
              <w:t xml:space="preserve">Carte ou virement, converti</w:t>
            </w:r>
          </w:p>
        </w:tc>
      </w:tr>
      <w:tr>
        <w:tc>
          <w:tcPr>
            <w:shd w:val="clear" w:color="auto" w:fill="F5F7FB"/>
          </w:tcPr>
          <w:p>
            <w:pPr>
              <w:pStyle w:val="Compact"/>
            </w:pPr>
            <w:r>
              <w:rPr>
                <w:sz w:val="17"/>
              </w:rPr>
              <w:t xml:space="preserve">🇬🇧</w:t>
            </w:r>
          </w:p>
        </w:tc>
        <w:tc>
          <w:tcPr>
            <w:shd w:val="clear" w:color="auto" w:fill="F5F7FB"/>
          </w:tcPr>
          <w:p>
            <w:pPr>
              <w:pStyle w:val="Compact"/>
            </w:pPr>
            <w:r>
              <w:rPr>
                <w:sz w:val="17"/>
              </w:rPr>
              <w:t xml:space="preserve">GBP</w:t>
            </w:r>
          </w:p>
        </w:tc>
        <w:tc>
          <w:tcPr>
            <w:shd w:val="clear" w:color="auto" w:fill="F5F7FB"/>
          </w:tcPr>
          <w:p>
            <w:pPr>
              <w:pStyle w:val="Compact"/>
            </w:pPr>
            <w:r>
              <w:rPr>
                <w:sz w:val="17"/>
              </w:rPr>
              <w:t xml:space="preserve">Livre sterling</w:t>
            </w:r>
          </w:p>
        </w:tc>
        <w:tc>
          <w:tcPr>
            <w:shd w:val="clear" w:color="auto" w:fill="F5F7FB"/>
          </w:tcPr>
          <w:p>
            <w:pPr>
              <w:pStyle w:val="Compact"/>
            </w:pPr>
            <w:r>
              <w:rPr>
                <w:sz w:val="17"/>
              </w:rPr>
              <w:t xml:space="preserve">Paiement diaspora</w:t>
            </w:r>
          </w:p>
        </w:tc>
        <w:tc>
          <w:tcPr>
            <w:shd w:val="clear" w:color="auto" w:fill="F5F7FB"/>
          </w:tcPr>
          <w:p>
            <w:pPr>
              <w:pStyle w:val="Compact"/>
            </w:pPr>
            <w:r>
              <w:rPr>
                <w:sz w:val="17"/>
              </w:rPr>
              <w:t xml:space="preserve">Non</w:t>
            </w:r>
          </w:p>
        </w:tc>
        <w:tc>
          <w:tcPr>
            <w:shd w:val="clear" w:color="auto" w:fill="F5F7FB"/>
          </w:tcPr>
          <w:p>
            <w:pPr>
              <w:pStyle w:val="Compact"/>
            </w:pPr>
            <w:r>
              <w:rPr>
                <w:sz w:val="17"/>
              </w:rPr>
              <w:t xml:space="preserve">Carte, converti</w:t>
            </w:r>
          </w:p>
        </w:tc>
      </w:tr>
      <w:tr>
        <w:tc>
          <w:tcPr/>
          <w:p>
            <w:pPr>
              <w:pStyle w:val="Compact"/>
            </w:pPr>
            <w:r>
              <w:rPr>
                <w:sz w:val="17"/>
              </w:rPr>
              <w:t xml:space="preserve">🇨🇦</w:t>
            </w:r>
          </w:p>
        </w:tc>
        <w:tc>
          <w:tcPr/>
          <w:p>
            <w:pPr>
              <w:pStyle w:val="Compact"/>
            </w:pPr>
            <w:r>
              <w:rPr>
                <w:sz w:val="17"/>
              </w:rPr>
              <w:t xml:space="preserve">CAD</w:t>
            </w:r>
          </w:p>
        </w:tc>
        <w:tc>
          <w:tcPr/>
          <w:p>
            <w:pPr>
              <w:pStyle w:val="Compact"/>
            </w:pPr>
            <w:r>
              <w:rPr>
                <w:sz w:val="17"/>
              </w:rPr>
              <w:t xml:space="preserve">Dollar canadien</w:t>
            </w:r>
          </w:p>
        </w:tc>
        <w:tc>
          <w:tcPr/>
          <w:p>
            <w:pPr>
              <w:pStyle w:val="Compact"/>
            </w:pPr>
            <w:r>
              <w:rPr>
                <w:sz w:val="17"/>
              </w:rPr>
              <w:t xml:space="preserve">Paiement diaspora</w:t>
            </w:r>
          </w:p>
        </w:tc>
        <w:tc>
          <w:tcPr/>
          <w:p>
            <w:pPr>
              <w:pStyle w:val="Compact"/>
            </w:pPr>
            <w:r>
              <w:rPr>
                <w:sz w:val="17"/>
              </w:rPr>
              <w:t xml:space="preserve">Non</w:t>
            </w:r>
          </w:p>
        </w:tc>
        <w:tc>
          <w:tcPr/>
          <w:p>
            <w:pPr>
              <w:pStyle w:val="Compact"/>
            </w:pPr>
            <w:r>
              <w:rPr>
                <w:sz w:val="17"/>
              </w:rPr>
              <w:t xml:space="preserve">Carte, converti</w:t>
            </w:r>
          </w:p>
        </w:tc>
      </w:tr>
      <w:tr>
        <w:tc>
          <w:tcPr>
            <w:shd w:val="clear" w:color="auto" w:fill="F5F7FB"/>
          </w:tcPr>
          <w:p>
            <w:pPr>
              <w:pStyle w:val="Compact"/>
            </w:pPr>
            <w:r>
              <w:rPr>
                <w:sz w:val="17"/>
              </w:rPr>
              <w:t xml:space="preserve">🇨🇭</w:t>
            </w:r>
          </w:p>
        </w:tc>
        <w:tc>
          <w:tcPr>
            <w:shd w:val="clear" w:color="auto" w:fill="F5F7FB"/>
          </w:tcPr>
          <w:p>
            <w:pPr>
              <w:pStyle w:val="Compact"/>
            </w:pPr>
            <w:r>
              <w:rPr>
                <w:sz w:val="17"/>
              </w:rPr>
              <w:t xml:space="preserve">CHF</w:t>
            </w:r>
          </w:p>
        </w:tc>
        <w:tc>
          <w:tcPr>
            <w:shd w:val="clear" w:color="auto" w:fill="F5F7FB"/>
          </w:tcPr>
          <w:p>
            <w:pPr>
              <w:pStyle w:val="Compact"/>
            </w:pPr>
            <w:r>
              <w:rPr>
                <w:sz w:val="17"/>
              </w:rPr>
              <w:t xml:space="preserve">Franc suisse</w:t>
            </w:r>
          </w:p>
        </w:tc>
        <w:tc>
          <w:tcPr>
            <w:shd w:val="clear" w:color="auto" w:fill="F5F7FB"/>
          </w:tcPr>
          <w:p>
            <w:pPr>
              <w:pStyle w:val="Compact"/>
            </w:pPr>
            <w:r>
              <w:rPr>
                <w:sz w:val="17"/>
              </w:rPr>
              <w:t xml:space="preserve">Paiement diaspora</w:t>
            </w:r>
          </w:p>
        </w:tc>
        <w:tc>
          <w:tcPr>
            <w:shd w:val="clear" w:color="auto" w:fill="F5F7FB"/>
          </w:tcPr>
          <w:p>
            <w:pPr>
              <w:pStyle w:val="Compact"/>
            </w:pPr>
            <w:r>
              <w:rPr>
                <w:sz w:val="17"/>
              </w:rPr>
              <w:t xml:space="preserve">Non</w:t>
            </w:r>
          </w:p>
        </w:tc>
        <w:tc>
          <w:tcPr>
            <w:shd w:val="clear" w:color="auto" w:fill="F5F7FB"/>
          </w:tcPr>
          <w:p>
            <w:pPr>
              <w:pStyle w:val="Compact"/>
            </w:pPr>
            <w:r>
              <w:rPr>
                <w:sz w:val="17"/>
              </w:rPr>
              <w:t xml:space="preserve">Carte, converti</w:t>
            </w:r>
          </w:p>
        </w:tc>
      </w:tr>
      <w:tr>
        <w:tc>
          <w:tcPr/>
          <w:p>
            <w:pPr>
              <w:pStyle w:val="Compact"/>
            </w:pPr>
            <w:r>
              <w:rPr>
                <w:sz w:val="17"/>
              </w:rPr>
              <w:t xml:space="preserve">🇿🇦</w:t>
            </w:r>
          </w:p>
        </w:tc>
        <w:tc>
          <w:tcPr/>
          <w:p>
            <w:pPr>
              <w:pStyle w:val="Compact"/>
            </w:pPr>
            <w:r>
              <w:rPr>
                <w:sz w:val="17"/>
              </w:rPr>
              <w:t xml:space="preserve">ZAR</w:t>
            </w:r>
          </w:p>
        </w:tc>
        <w:tc>
          <w:tcPr/>
          <w:p>
            <w:pPr>
              <w:pStyle w:val="Compact"/>
            </w:pPr>
            <w:r>
              <w:rPr>
                <w:sz w:val="17"/>
              </w:rPr>
              <w:t xml:space="preserve">Rand sud-africain</w:t>
            </w:r>
          </w:p>
        </w:tc>
        <w:tc>
          <w:tcPr/>
          <w:p>
            <w:pPr>
              <w:pStyle w:val="Compact"/>
            </w:pPr>
            <w:r>
              <w:rPr>
                <w:sz w:val="17"/>
              </w:rPr>
              <w:t xml:space="preserve">Paiement diaspora</w:t>
            </w:r>
          </w:p>
        </w:tc>
        <w:tc>
          <w:tcPr/>
          <w:p>
            <w:pPr>
              <w:pStyle w:val="Compact"/>
            </w:pPr>
            <w:r>
              <w:rPr>
                <w:sz w:val="17"/>
              </w:rPr>
              <w:t xml:space="preserve">Non</w:t>
            </w:r>
          </w:p>
        </w:tc>
        <w:tc>
          <w:tcPr/>
          <w:p>
            <w:pPr>
              <w:pStyle w:val="Compact"/>
            </w:pPr>
            <w:r>
              <w:rPr>
                <w:sz w:val="17"/>
              </w:rPr>
              <w:t xml:space="preserve">Carte, converti</w:t>
            </w:r>
          </w:p>
        </w:tc>
      </w:tr>
      <w:tr>
        <w:tc>
          <w:tcPr>
            <w:shd w:val="clear" w:color="auto" w:fill="F5F7FB"/>
          </w:tcPr>
          <w:p>
            <w:pPr>
              <w:pStyle w:val="Compact"/>
            </w:pPr>
            <w:r>
              <w:rPr>
                <w:sz w:val="17"/>
              </w:rPr>
              <w:t xml:space="preserve">🇨🇬</w:t>
            </w:r>
          </w:p>
        </w:tc>
        <w:tc>
          <w:tcPr>
            <w:shd w:val="clear" w:color="auto" w:fill="F5F7FB"/>
          </w:tcPr>
          <w:p>
            <w:pPr>
              <w:pStyle w:val="Compact"/>
            </w:pPr>
            <w:r>
              <w:rPr>
                <w:sz w:val="17"/>
              </w:rPr>
              <w:t xml:space="preserve">XAF</w:t>
            </w:r>
          </w:p>
        </w:tc>
        <w:tc>
          <w:tcPr>
            <w:shd w:val="clear" w:color="auto" w:fill="F5F7FB"/>
          </w:tcPr>
          <w:p>
            <w:pPr>
              <w:pStyle w:val="Compact"/>
            </w:pPr>
            <w:r>
              <w:rPr>
                <w:sz w:val="17"/>
              </w:rPr>
              <w:t xml:space="preserve">Franc CFA (CEMAC)</w:t>
            </w:r>
          </w:p>
        </w:tc>
        <w:tc>
          <w:tcPr>
            <w:shd w:val="clear" w:color="auto" w:fill="F5F7FB"/>
          </w:tcPr>
          <w:p>
            <w:pPr>
              <w:pStyle w:val="Compact"/>
            </w:pPr>
            <w:r>
              <w:rPr>
                <w:sz w:val="17"/>
              </w:rPr>
              <w:t xml:space="preserve">Affichage</w:t>
            </w:r>
          </w:p>
        </w:tc>
        <w:tc>
          <w:tcPr>
            <w:shd w:val="clear" w:color="auto" w:fill="F5F7FB"/>
          </w:tcPr>
          <w:p>
            <w:pPr>
              <w:pStyle w:val="Compact"/>
            </w:pPr>
            <w:r>
              <w:rPr>
                <w:sz w:val="17"/>
              </w:rPr>
              <w:t xml:space="preserve">Non</w:t>
            </w:r>
          </w:p>
        </w:tc>
        <w:tc>
          <w:tcPr>
            <w:shd w:val="clear" w:color="auto" w:fill="F5F7FB"/>
          </w:tcPr>
          <w:p>
            <w:pPr>
              <w:pStyle w:val="Compact"/>
            </w:pPr>
            <w:r>
              <w:rPr>
                <w:sz w:val="17"/>
              </w:rPr>
              <w:t xml:space="preserve">Non</w:t>
            </w:r>
          </w:p>
        </w:tc>
      </w:tr>
      <w:tr>
        <w:tc>
          <w:tcPr/>
          <w:p>
            <w:pPr>
              <w:pStyle w:val="Compact"/>
            </w:pPr>
            <w:r>
              <w:rPr>
                <w:sz w:val="17"/>
              </w:rPr>
              <w:t xml:space="preserve">🇦🇴</w:t>
            </w:r>
          </w:p>
        </w:tc>
        <w:tc>
          <w:tcPr/>
          <w:p>
            <w:pPr>
              <w:pStyle w:val="Compact"/>
            </w:pPr>
            <w:r>
              <w:rPr>
                <w:sz w:val="17"/>
              </w:rPr>
              <w:t xml:space="preserve">AOA</w:t>
            </w:r>
          </w:p>
        </w:tc>
        <w:tc>
          <w:tcPr/>
          <w:p>
            <w:pPr>
              <w:pStyle w:val="Compact"/>
            </w:pPr>
            <w:r>
              <w:rPr>
                <w:sz w:val="17"/>
              </w:rPr>
              <w:t xml:space="preserve">Kwanza</w:t>
            </w:r>
          </w:p>
        </w:tc>
        <w:tc>
          <w:tcPr/>
          <w:p>
            <w:pPr>
              <w:pStyle w:val="Compact"/>
            </w:pPr>
            <w:r>
              <w:rPr>
                <w:sz w:val="17"/>
              </w:rPr>
              <w:t xml:space="preserve">Affichage</w:t>
            </w:r>
          </w:p>
        </w:tc>
        <w:tc>
          <w:tcPr/>
          <w:p>
            <w:pPr>
              <w:pStyle w:val="Compact"/>
            </w:pPr>
            <w:r>
              <w:rPr>
                <w:sz w:val="17"/>
              </w:rPr>
              <w:t xml:space="preserve">Non</w:t>
            </w:r>
          </w:p>
        </w:tc>
        <w:tc>
          <w:tcPr/>
          <w:p>
            <w:pPr>
              <w:pStyle w:val="Compact"/>
            </w:pPr>
            <w:r>
              <w:rPr>
                <w:sz w:val="17"/>
              </w:rPr>
              <w:t xml:space="preserve">Non</w:t>
            </w:r>
          </w:p>
        </w:tc>
      </w:tr>
      <w:tr>
        <w:tc>
          <w:tcPr>
            <w:shd w:val="clear" w:color="auto" w:fill="F5F7FB"/>
          </w:tcPr>
          <w:p>
            <w:pPr>
              <w:pStyle w:val="Compact"/>
            </w:pPr>
            <w:r>
              <w:rPr>
                <w:sz w:val="17"/>
              </w:rPr>
              <w:t xml:space="preserve">🇿🇲</w:t>
            </w:r>
          </w:p>
        </w:tc>
        <w:tc>
          <w:tcPr>
            <w:shd w:val="clear" w:color="auto" w:fill="F5F7FB"/>
          </w:tcPr>
          <w:p>
            <w:pPr>
              <w:pStyle w:val="Compact"/>
            </w:pPr>
            <w:r>
              <w:rPr>
                <w:sz w:val="17"/>
              </w:rPr>
              <w:t xml:space="preserve">ZMW</w:t>
            </w:r>
          </w:p>
        </w:tc>
        <w:tc>
          <w:tcPr>
            <w:shd w:val="clear" w:color="auto" w:fill="F5F7FB"/>
          </w:tcPr>
          <w:p>
            <w:pPr>
              <w:pStyle w:val="Compact"/>
            </w:pPr>
            <w:r>
              <w:rPr>
                <w:sz w:val="17"/>
              </w:rPr>
              <w:t xml:space="preserve">Kwacha zambien</w:t>
            </w:r>
          </w:p>
        </w:tc>
        <w:tc>
          <w:tcPr>
            <w:shd w:val="clear" w:color="auto" w:fill="F5F7FB"/>
          </w:tcPr>
          <w:p>
            <w:pPr>
              <w:pStyle w:val="Compact"/>
            </w:pPr>
            <w:r>
              <w:rPr>
                <w:sz w:val="17"/>
              </w:rPr>
              <w:t xml:space="preserve">Affichage</w:t>
            </w:r>
          </w:p>
        </w:tc>
        <w:tc>
          <w:tcPr>
            <w:shd w:val="clear" w:color="auto" w:fill="F5F7FB"/>
          </w:tcPr>
          <w:p>
            <w:pPr>
              <w:pStyle w:val="Compact"/>
            </w:pPr>
            <w:r>
              <w:rPr>
                <w:sz w:val="17"/>
              </w:rPr>
              <w:t xml:space="preserve">Non</w:t>
            </w:r>
          </w:p>
        </w:tc>
        <w:tc>
          <w:tcPr>
            <w:shd w:val="clear" w:color="auto" w:fill="F5F7FB"/>
          </w:tcPr>
          <w:p>
            <w:pPr>
              <w:pStyle w:val="Compact"/>
            </w:pPr>
            <w:r>
              <w:rPr>
                <w:sz w:val="17"/>
              </w:rPr>
              <w:t xml:space="preserve">Non</w:t>
            </w:r>
          </w:p>
        </w:tc>
      </w:tr>
      <w:tr>
        <w:tc>
          <w:tcPr/>
          <w:p>
            <w:pPr>
              <w:pStyle w:val="Compact"/>
            </w:pPr>
            <w:r>
              <w:rPr>
                <w:sz w:val="17"/>
              </w:rPr>
              <w:t xml:space="preserve">🇷🇼</w:t>
            </w:r>
          </w:p>
        </w:tc>
        <w:tc>
          <w:tcPr/>
          <w:p>
            <w:pPr>
              <w:pStyle w:val="Compact"/>
            </w:pPr>
            <w:r>
              <w:rPr>
                <w:sz w:val="17"/>
              </w:rPr>
              <w:t xml:space="preserve">RWF</w:t>
            </w:r>
          </w:p>
        </w:tc>
        <w:tc>
          <w:tcPr/>
          <w:p>
            <w:pPr>
              <w:pStyle w:val="Compact"/>
            </w:pPr>
            <w:r>
              <w:rPr>
                <w:sz w:val="17"/>
              </w:rPr>
              <w:t xml:space="preserve">Franc rwandais</w:t>
            </w:r>
          </w:p>
        </w:tc>
        <w:tc>
          <w:tcPr/>
          <w:p>
            <w:pPr>
              <w:pStyle w:val="Compact"/>
            </w:pPr>
            <w:r>
              <w:rPr>
                <w:sz w:val="17"/>
              </w:rPr>
              <w:t xml:space="preserve">Affichage</w:t>
            </w:r>
          </w:p>
        </w:tc>
        <w:tc>
          <w:tcPr/>
          <w:p>
            <w:pPr>
              <w:pStyle w:val="Compact"/>
            </w:pPr>
            <w:r>
              <w:rPr>
                <w:sz w:val="17"/>
              </w:rPr>
              <w:t xml:space="preserve">Non</w:t>
            </w:r>
          </w:p>
        </w:tc>
        <w:tc>
          <w:tcPr/>
          <w:p>
            <w:pPr>
              <w:pStyle w:val="Compact"/>
            </w:pPr>
            <w:r>
              <w:rPr>
                <w:sz w:val="17"/>
              </w:rPr>
              <w:t xml:space="preserve">Non</w:t>
            </w:r>
          </w:p>
        </w:tc>
      </w:tr>
      <w:tr>
        <w:tc>
          <w:tcPr>
            <w:shd w:val="clear" w:color="auto" w:fill="F5F7FB"/>
          </w:tcPr>
          <w:p>
            <w:pPr>
              <w:pStyle w:val="Compact"/>
            </w:pPr>
            <w:r>
              <w:rPr>
                <w:sz w:val="17"/>
              </w:rPr>
              <w:t xml:space="preserve">🇺🇬</w:t>
            </w:r>
          </w:p>
        </w:tc>
        <w:tc>
          <w:tcPr>
            <w:shd w:val="clear" w:color="auto" w:fill="F5F7FB"/>
          </w:tcPr>
          <w:p>
            <w:pPr>
              <w:pStyle w:val="Compact"/>
            </w:pPr>
            <w:r>
              <w:rPr>
                <w:sz w:val="17"/>
              </w:rPr>
              <w:t xml:space="preserve">UGX</w:t>
            </w:r>
          </w:p>
        </w:tc>
        <w:tc>
          <w:tcPr>
            <w:shd w:val="clear" w:color="auto" w:fill="F5F7FB"/>
          </w:tcPr>
          <w:p>
            <w:pPr>
              <w:pStyle w:val="Compact"/>
            </w:pPr>
            <w:r>
              <w:rPr>
                <w:sz w:val="17"/>
              </w:rPr>
              <w:t xml:space="preserve">Shilling ougandais</w:t>
            </w:r>
          </w:p>
        </w:tc>
        <w:tc>
          <w:tcPr>
            <w:shd w:val="clear" w:color="auto" w:fill="F5F7FB"/>
          </w:tcPr>
          <w:p>
            <w:pPr>
              <w:pStyle w:val="Compact"/>
            </w:pPr>
            <w:r>
              <w:rPr>
                <w:sz w:val="17"/>
              </w:rPr>
              <w:t xml:space="preserve">Affichage</w:t>
            </w:r>
          </w:p>
        </w:tc>
        <w:tc>
          <w:tcPr>
            <w:shd w:val="clear" w:color="auto" w:fill="F5F7FB"/>
          </w:tcPr>
          <w:p>
            <w:pPr>
              <w:pStyle w:val="Compact"/>
            </w:pPr>
            <w:r>
              <w:rPr>
                <w:sz w:val="17"/>
              </w:rPr>
              <w:t xml:space="preserve">Non</w:t>
            </w:r>
          </w:p>
        </w:tc>
        <w:tc>
          <w:tcPr>
            <w:shd w:val="clear" w:color="auto" w:fill="F5F7FB"/>
          </w:tcPr>
          <w:p>
            <w:pPr>
              <w:pStyle w:val="Compact"/>
            </w:pPr>
            <w:r>
              <w:rPr>
                <w:sz w:val="17"/>
              </w:rPr>
              <w:t xml:space="preserve">Non</w:t>
            </w:r>
          </w:p>
        </w:tc>
      </w:tr>
      <w:tr>
        <w:tc>
          <w:tcPr/>
          <w:p>
            <w:pPr>
              <w:pStyle w:val="Compact"/>
            </w:pPr>
            <w:r>
              <w:rPr>
                <w:sz w:val="17"/>
              </w:rPr>
              <w:t xml:space="preserve">🇰🇪</w:t>
            </w:r>
          </w:p>
        </w:tc>
        <w:tc>
          <w:tcPr/>
          <w:p>
            <w:pPr>
              <w:pStyle w:val="Compact"/>
            </w:pPr>
            <w:r>
              <w:rPr>
                <w:sz w:val="17"/>
              </w:rPr>
              <w:t xml:space="preserve">KES</w:t>
            </w:r>
          </w:p>
        </w:tc>
        <w:tc>
          <w:tcPr/>
          <w:p>
            <w:pPr>
              <w:pStyle w:val="Compact"/>
            </w:pPr>
            <w:r>
              <w:rPr>
                <w:sz w:val="17"/>
              </w:rPr>
              <w:t xml:space="preserve">Shilling kényan</w:t>
            </w:r>
          </w:p>
        </w:tc>
        <w:tc>
          <w:tcPr/>
          <w:p>
            <w:pPr>
              <w:pStyle w:val="Compact"/>
            </w:pPr>
            <w:r>
              <w:rPr>
                <w:sz w:val="17"/>
              </w:rPr>
              <w:t xml:space="preserve">Affichage</w:t>
            </w:r>
          </w:p>
        </w:tc>
        <w:tc>
          <w:tcPr/>
          <w:p>
            <w:pPr>
              <w:pStyle w:val="Compact"/>
            </w:pPr>
            <w:r>
              <w:rPr>
                <w:sz w:val="17"/>
              </w:rPr>
              <w:t xml:space="preserve">Non</w:t>
            </w:r>
          </w:p>
        </w:tc>
        <w:tc>
          <w:tcPr/>
          <w:p>
            <w:pPr>
              <w:pStyle w:val="Compact"/>
            </w:pPr>
            <w:r>
              <w:rPr>
                <w:sz w:val="17"/>
              </w:rPr>
              <w:t xml:space="preserve">Non</w:t>
            </w:r>
          </w:p>
        </w:tc>
      </w:tr>
      <w:tr>
        <w:tc>
          <w:tcPr>
            <w:shd w:val="clear" w:color="auto" w:fill="F5F7FB"/>
          </w:tcPr>
          <w:p>
            <w:pPr>
              <w:pStyle w:val="Compact"/>
            </w:pPr>
            <w:r>
              <w:rPr>
                <w:sz w:val="17"/>
              </w:rPr>
              <w:t xml:space="preserve">🇹🇿</w:t>
            </w:r>
          </w:p>
        </w:tc>
        <w:tc>
          <w:tcPr>
            <w:shd w:val="clear" w:color="auto" w:fill="F5F7FB"/>
          </w:tcPr>
          <w:p>
            <w:pPr>
              <w:pStyle w:val="Compact"/>
            </w:pPr>
            <w:r>
              <w:rPr>
                <w:sz w:val="17"/>
              </w:rPr>
              <w:t xml:space="preserve">TZS</w:t>
            </w:r>
          </w:p>
        </w:tc>
        <w:tc>
          <w:tcPr>
            <w:shd w:val="clear" w:color="auto" w:fill="F5F7FB"/>
          </w:tcPr>
          <w:p>
            <w:pPr>
              <w:pStyle w:val="Compact"/>
            </w:pPr>
            <w:r>
              <w:rPr>
                <w:sz w:val="17"/>
              </w:rPr>
              <w:t xml:space="preserve">Shilling tanzanien</w:t>
            </w:r>
          </w:p>
        </w:tc>
        <w:tc>
          <w:tcPr>
            <w:shd w:val="clear" w:color="auto" w:fill="F5F7FB"/>
          </w:tcPr>
          <w:p>
            <w:pPr>
              <w:pStyle w:val="Compact"/>
            </w:pPr>
            <w:r>
              <w:rPr>
                <w:sz w:val="17"/>
              </w:rPr>
              <w:t xml:space="preserve">Affichage</w:t>
            </w:r>
          </w:p>
        </w:tc>
        <w:tc>
          <w:tcPr>
            <w:shd w:val="clear" w:color="auto" w:fill="F5F7FB"/>
          </w:tcPr>
          <w:p>
            <w:pPr>
              <w:pStyle w:val="Compact"/>
            </w:pPr>
            <w:r>
              <w:rPr>
                <w:sz w:val="17"/>
              </w:rPr>
              <w:t xml:space="preserve">Non</w:t>
            </w:r>
          </w:p>
        </w:tc>
        <w:tc>
          <w:tcPr>
            <w:shd w:val="clear" w:color="auto" w:fill="F5F7FB"/>
          </w:tcPr>
          <w:p>
            <w:pPr>
              <w:pStyle w:val="Compact"/>
            </w:pPr>
            <w:r>
              <w:rPr>
                <w:sz w:val="17"/>
              </w:rPr>
              <w:t xml:space="preserve">Non</w:t>
            </w:r>
          </w:p>
        </w:tc>
      </w:tr>
      <w:tr>
        <w:tc>
          <w:tcPr/>
          <w:p>
            <w:pPr>
              <w:pStyle w:val="Compact"/>
            </w:pPr>
            <w:r>
              <w:rPr>
                <w:sz w:val="17"/>
              </w:rPr>
              <w:t xml:space="preserve">🇧🇮</w:t>
            </w:r>
          </w:p>
        </w:tc>
        <w:tc>
          <w:tcPr/>
          <w:p>
            <w:pPr>
              <w:pStyle w:val="Compact"/>
            </w:pPr>
            <w:r>
              <w:rPr>
                <w:sz w:val="17"/>
              </w:rPr>
              <w:t xml:space="preserve">BIF</w:t>
            </w:r>
          </w:p>
        </w:tc>
        <w:tc>
          <w:tcPr/>
          <w:p>
            <w:pPr>
              <w:pStyle w:val="Compact"/>
            </w:pPr>
            <w:r>
              <w:rPr>
                <w:sz w:val="17"/>
              </w:rPr>
              <w:t xml:space="preserve">Franc burundais</w:t>
            </w:r>
          </w:p>
        </w:tc>
        <w:tc>
          <w:tcPr/>
          <w:p>
            <w:pPr>
              <w:pStyle w:val="Compact"/>
            </w:pPr>
            <w:r>
              <w:rPr>
                <w:sz w:val="17"/>
              </w:rPr>
              <w:t xml:space="preserve">Affichage</w:t>
            </w:r>
          </w:p>
        </w:tc>
        <w:tc>
          <w:tcPr/>
          <w:p>
            <w:pPr>
              <w:pStyle w:val="Compact"/>
            </w:pPr>
            <w:r>
              <w:rPr>
                <w:sz w:val="17"/>
              </w:rPr>
              <w:t xml:space="preserve">Non</w:t>
            </w:r>
          </w:p>
        </w:tc>
        <w:tc>
          <w:tcPr/>
          <w:p>
            <w:pPr>
              <w:pStyle w:val="Compact"/>
            </w:pPr>
            <w:r>
              <w:rPr>
                <w:sz w:val="17"/>
              </w:rPr>
              <w:t xml:space="preserve">Non</w:t>
            </w:r>
          </w:p>
        </w:tc>
      </w:tr>
      <w:tr>
        <w:tc>
          <w:tcPr>
            <w:shd w:val="clear" w:color="auto" w:fill="F5F7FB"/>
          </w:tcPr>
          <w:p>
            <w:pPr>
              <w:pStyle w:val="Compact"/>
            </w:pPr>
            <w:r>
              <w:rPr>
                <w:sz w:val="17"/>
              </w:rPr>
              <w:t xml:space="preserve">🇨🇳</w:t>
            </w:r>
          </w:p>
        </w:tc>
        <w:tc>
          <w:tcPr>
            <w:shd w:val="clear" w:color="auto" w:fill="F5F7FB"/>
          </w:tcPr>
          <w:p>
            <w:pPr>
              <w:pStyle w:val="Compact"/>
            </w:pPr>
            <w:r>
              <w:rPr>
                <w:sz w:val="17"/>
              </w:rPr>
              <w:t xml:space="preserve">CNY</w:t>
            </w:r>
          </w:p>
        </w:tc>
        <w:tc>
          <w:tcPr>
            <w:shd w:val="clear" w:color="auto" w:fill="F5F7FB"/>
          </w:tcPr>
          <w:p>
            <w:pPr>
              <w:pStyle w:val="Compact"/>
            </w:pPr>
            <w:r>
              <w:rPr>
                <w:sz w:val="17"/>
              </w:rPr>
              <w:t xml:space="preserve">Yuan renminbi</w:t>
            </w:r>
          </w:p>
        </w:tc>
        <w:tc>
          <w:tcPr>
            <w:shd w:val="clear" w:color="auto" w:fill="F5F7FB"/>
          </w:tcPr>
          <w:p>
            <w:pPr>
              <w:pStyle w:val="Compact"/>
            </w:pPr>
            <w:r>
              <w:rPr>
                <w:sz w:val="17"/>
              </w:rPr>
              <w:t xml:space="preserve">Affichage</w:t>
            </w:r>
          </w:p>
        </w:tc>
        <w:tc>
          <w:tcPr>
            <w:shd w:val="clear" w:color="auto" w:fill="F5F7FB"/>
          </w:tcPr>
          <w:p>
            <w:pPr>
              <w:pStyle w:val="Compact"/>
            </w:pPr>
            <w:r>
              <w:rPr>
                <w:sz w:val="17"/>
              </w:rPr>
              <w:t xml:space="preserve">Non</w:t>
            </w:r>
          </w:p>
        </w:tc>
        <w:tc>
          <w:tcPr>
            <w:shd w:val="clear" w:color="auto" w:fill="F5F7FB"/>
          </w:tcPr>
          <w:p>
            <w:pPr>
              <w:pStyle w:val="Compact"/>
            </w:pPr>
            <w:r>
              <w:rPr>
                <w:sz w:val="17"/>
              </w:rPr>
              <w:t xml:space="preserve">Non</w:t>
            </w:r>
          </w:p>
        </w:tc>
      </w:tr>
      <w:tr>
        <w:tc>
          <w:tcPr/>
          <w:p>
            <w:pPr>
              <w:pStyle w:val="Compact"/>
            </w:pPr>
            <w:r>
              <w:rPr>
                <w:sz w:val="17"/>
              </w:rPr>
              <w:t xml:space="preserve">🇦🇪</w:t>
            </w:r>
          </w:p>
        </w:tc>
        <w:tc>
          <w:tcPr/>
          <w:p>
            <w:pPr>
              <w:pStyle w:val="Compact"/>
            </w:pPr>
            <w:r>
              <w:rPr>
                <w:sz w:val="17"/>
              </w:rPr>
              <w:t xml:space="preserve">AED</w:t>
            </w:r>
          </w:p>
        </w:tc>
        <w:tc>
          <w:tcPr/>
          <w:p>
            <w:pPr>
              <w:pStyle w:val="Compact"/>
            </w:pPr>
            <w:r>
              <w:rPr>
                <w:sz w:val="17"/>
              </w:rPr>
              <w:t xml:space="preserve">Dirham des Émirats</w:t>
            </w:r>
          </w:p>
        </w:tc>
        <w:tc>
          <w:tcPr/>
          <w:p>
            <w:pPr>
              <w:pStyle w:val="Compact"/>
            </w:pPr>
            <w:r>
              <w:rPr>
                <w:sz w:val="17"/>
              </w:rPr>
              <w:t xml:space="preserve">Affichage</w:t>
            </w:r>
          </w:p>
        </w:tc>
        <w:tc>
          <w:tcPr/>
          <w:p>
            <w:pPr>
              <w:pStyle w:val="Compact"/>
            </w:pPr>
            <w:r>
              <w:rPr>
                <w:sz w:val="17"/>
              </w:rPr>
              <w:t xml:space="preserve">Non</w:t>
            </w:r>
          </w:p>
        </w:tc>
        <w:tc>
          <w:tcPr/>
          <w:p>
            <w:pPr>
              <w:pStyle w:val="Compact"/>
            </w:pPr>
            <w:r>
              <w:rPr>
                <w:sz w:val="17"/>
              </w:rPr>
              <w:t xml:space="preserve">Non</w:t>
            </w:r>
          </w:p>
        </w:tc>
      </w:tr>
    </w:tbl>
    <w:p>
      <w:pPr>
        <w:pStyle w:val="BodyText"/>
      </w:pPr>
      <w:r>
        <w:t xml:space="preserve">L’activation d’une devise pour le</w:t>
      </w:r>
      <w:r>
        <w:t xml:space="preserve"> </w:t>
      </w:r>
      <w:r>
        <w:rPr>
          <w:b/>
          <w:bCs/>
        </w:rPr>
        <w:t xml:space="preserve">paiement</w:t>
      </w:r>
      <w:r>
        <w:t xml:space="preserve"> </w:t>
      </w:r>
      <w:r>
        <w:t xml:space="preserve">exige un contrat avec un prestataire habilité et la conformité à la réglementation des changes [À VÉRIFIER : règles de la BCC sur l’encaissement de recettes publiques en devises].</w:t>
      </w:r>
    </w:p>
    <w:bookmarkEnd w:id="128"/>
    <w:bookmarkStart w:id="129" w:name="règles-daffichage-et-de-calcul"/>
    <w:p>
      <w:pPr>
        <w:pStyle w:val="Heading3"/>
      </w:pPr>
      <w:r>
        <w:t xml:space="preserve">11.6.3 Règles d’affichage et de calcul</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Règle</w:t>
            </w:r>
          </w:p>
        </w:tc>
        <w:tc>
          <w:tcPr>
            <w:shd w:val="clear" w:color="auto" w:fill="232C6B"/>
          </w:tcPr>
          <w:p>
            <w:pPr>
              <w:pStyle w:val="Compact"/>
            </w:pPr>
            <w:r>
              <w:rPr>
                <w:b/>
                <w:color w:val="FFFFFF"/>
                <w:sz w:val="17"/>
              </w:rPr>
              <w:t xml:space="preserve">Détail</w:t>
            </w:r>
          </w:p>
        </w:tc>
      </w:tr>
      <w:tr>
        <w:tc>
          <w:tcPr/>
          <w:p>
            <w:pPr>
              <w:pStyle w:val="Compact"/>
            </w:pPr>
            <w:r>
              <w:rPr>
                <w:sz w:val="17"/>
              </w:rPr>
              <w:t xml:space="preserve">Format</w:t>
            </w:r>
          </w:p>
        </w:tc>
        <w:tc>
          <w:tcPr/>
          <w:p>
            <w:pPr>
              <w:pStyle w:val="Compact"/>
            </w:pPr>
            <w:r>
              <w:rPr>
                <w:sz w:val="17"/>
              </w:rPr>
              <w:t xml:space="preserve">Drapeau + code ISO + montant selon la langue :</w:t>
            </w:r>
            <w:r>
              <w:rPr>
                <w:sz w:val="17"/>
              </w:rPr>
              <w:t xml:space="preserve"> </w:t>
            </w:r>
            <w:r>
              <w:rPr>
                <w:rStyle w:val="VerbatimChar"/>
                <w:sz w:val="17"/>
              </w:rPr>
              <w:t xml:space="preserve">🇨🇩 CDF 1 250 000,00</w:t>
            </w:r>
            <w:r>
              <w:rPr>
                <w:sz w:val="17"/>
              </w:rPr>
              <w:t xml:space="preserve"> </w:t>
            </w:r>
            <w:r>
              <w:rPr>
                <w:sz w:val="17"/>
              </w:rPr>
              <w:t xml:space="preserve">(fr), séparateurs selon la locale ; le code ISO est toujours présent, car les drapeaux ne s’affichent pas sur tous les terminaux ni dans les SMS</w:t>
            </w:r>
          </w:p>
        </w:tc>
      </w:tr>
      <w:tr>
        <w:tc>
          <w:tcPr>
            <w:shd w:val="clear" w:color="auto" w:fill="F5F7FB"/>
          </w:tcPr>
          <w:p>
            <w:pPr>
              <w:pStyle w:val="Compact"/>
            </w:pPr>
            <w:r>
              <w:rPr>
                <w:sz w:val="17"/>
              </w:rPr>
              <w:t xml:space="preserve">SMS et USSD</w:t>
            </w:r>
          </w:p>
        </w:tc>
        <w:tc>
          <w:tcPr>
            <w:shd w:val="clear" w:color="auto" w:fill="F5F7FB"/>
          </w:tcPr>
          <w:p>
            <w:pPr>
              <w:pStyle w:val="Compact"/>
            </w:pPr>
            <w:r>
              <w:rPr>
                <w:sz w:val="17"/>
              </w:rPr>
              <w:t xml:space="preserve">Code ISO seul (</w:t>
            </w:r>
            <w:r>
              <w:rPr>
                <w:rStyle w:val="VerbatimChar"/>
                <w:sz w:val="17"/>
              </w:rPr>
              <w:t xml:space="preserve">CDF 1250000</w:t>
            </w:r>
            <w:r>
              <w:rPr>
                <w:sz w:val="17"/>
              </w:rPr>
              <w:t xml:space="preserve">), sans drapeau (jeu de caractères limité)</w:t>
            </w:r>
          </w:p>
        </w:tc>
      </w:tr>
      <w:tr>
        <w:tc>
          <w:tcPr/>
          <w:p>
            <w:pPr>
              <w:pStyle w:val="Compact"/>
            </w:pPr>
            <w:r>
              <w:rPr>
                <w:sz w:val="17"/>
              </w:rPr>
              <w:t xml:space="preserve">SVI</w:t>
            </w:r>
          </w:p>
        </w:tc>
        <w:tc>
          <w:tcPr/>
          <w:p>
            <w:pPr>
              <w:pStyle w:val="Compact"/>
            </w:pPr>
            <w:r>
              <w:rPr>
                <w:sz w:val="17"/>
              </w:rPr>
              <w:t xml:space="preserve">Montant énoncé dans la langue avec le nom de la devise (« un million deux cent cinquante mille francs congolais »)</w:t>
            </w:r>
          </w:p>
        </w:tc>
      </w:tr>
      <w:tr>
        <w:tc>
          <w:tcPr>
            <w:shd w:val="clear" w:color="auto" w:fill="F5F7FB"/>
          </w:tcPr>
          <w:p>
            <w:pPr>
              <w:pStyle w:val="Compact"/>
            </w:pPr>
            <w:r>
              <w:rPr>
                <w:sz w:val="17"/>
              </w:rPr>
              <w:t xml:space="preserve">Précision</w:t>
            </w:r>
          </w:p>
        </w:tc>
        <w:tc>
          <w:tcPr>
            <w:shd w:val="clear" w:color="auto" w:fill="F5F7FB"/>
          </w:tcPr>
          <w:p>
            <w:pPr>
              <w:pStyle w:val="Compact"/>
            </w:pPr>
            <w:r>
              <w:rPr>
                <w:sz w:val="17"/>
              </w:rPr>
              <w:t xml:space="preserve">Calcul en décimal exact (jamais en virgule flottante) ; arrondi défini par la règle (</w:t>
            </w:r>
            <w:r>
              <w:rPr>
                <w:rStyle w:val="VerbatimChar"/>
                <w:sz w:val="17"/>
              </w:rPr>
              <w:t xml:space="preserve">rounding</w:t>
            </w:r>
            <w:r>
              <w:rPr>
                <w:sz w:val="17"/>
              </w:rPr>
              <w:t xml:space="preserve">) ; décimales selon la devise</w:t>
            </w:r>
          </w:p>
        </w:tc>
      </w:tr>
      <w:tr>
        <w:tc>
          <w:tcPr/>
          <w:p>
            <w:pPr>
              <w:pStyle w:val="Compact"/>
            </w:pPr>
            <w:r>
              <w:rPr>
                <w:sz w:val="17"/>
              </w:rPr>
              <w:t xml:space="preserve">Double affichage</w:t>
            </w:r>
          </w:p>
        </w:tc>
        <w:tc>
          <w:tcPr/>
          <w:p>
            <w:pPr>
              <w:pStyle w:val="Compact"/>
            </w:pPr>
            <w:r>
              <w:rPr>
                <w:sz w:val="17"/>
              </w:rPr>
              <w:t xml:space="preserve">Obligation en USD : montant légal en USD + contre-valeur CDF « à titre indicatif au taux officiel du JJ/MM/AAAA »</w:t>
            </w:r>
          </w:p>
        </w:tc>
      </w:tr>
      <w:tr>
        <w:tc>
          <w:tcPr>
            <w:shd w:val="clear" w:color="auto" w:fill="F5F7FB"/>
          </w:tcPr>
          <w:p>
            <w:pPr>
              <w:pStyle w:val="Compact"/>
            </w:pPr>
            <w:r>
              <w:rPr>
                <w:sz w:val="17"/>
              </w:rPr>
              <w:t xml:space="preserve">Tableaux de bord</w:t>
            </w:r>
          </w:p>
        </w:tc>
        <w:tc>
          <w:tcPr>
            <w:shd w:val="clear" w:color="auto" w:fill="F5F7FB"/>
          </w:tcPr>
          <w:p>
            <w:pPr>
              <w:pStyle w:val="Compact"/>
            </w:pPr>
            <w:r>
              <w:rPr>
                <w:sz w:val="17"/>
              </w:rPr>
              <w:t xml:space="preserve">Consolidation en CDF ; bascule d’affichage en USD pour comparaison, avec le taux et la date utilisés</w:t>
            </w:r>
          </w:p>
        </w:tc>
      </w:tr>
      <w:tr>
        <w:tc>
          <w:tcPr/>
          <w:p>
            <w:pPr>
              <w:pStyle w:val="Compact"/>
            </w:pPr>
            <w:r>
              <w:rPr>
                <w:sz w:val="17"/>
              </w:rPr>
              <w:t xml:space="preserve">Données</w:t>
            </w:r>
          </w:p>
        </w:tc>
        <w:tc>
          <w:tcPr/>
          <w:p>
            <w:pPr>
              <w:pStyle w:val="Compact"/>
            </w:pPr>
            <w:r>
              <w:rPr>
                <w:rStyle w:val="VerbatimChar"/>
                <w:sz w:val="17"/>
              </w:rPr>
              <w:t xml:space="preserve">Money { amount: decimal, currency: ISO4217 }</w:t>
            </w:r>
            <w:r>
              <w:rPr>
                <w:sz w:val="17"/>
              </w:rPr>
              <w:t xml:space="preserve"> </w:t>
            </w:r>
            <w:r>
              <w:rPr>
                <w:sz w:val="17"/>
              </w:rPr>
              <w:t xml:space="preserve">; toute opération entre devises différentes sans conversion explicite est rejetée par le type</w:t>
            </w:r>
          </w:p>
        </w:tc>
      </w:tr>
    </w:tbl>
    <w:p>
      <w:pPr>
        <w:pStyle w:val="BodyText"/>
      </w:pPr>
      <w:r>
        <w:t xml:space="preserve">Critère d’acceptation :</w:t>
      </w:r>
      <w:r>
        <w:t xml:space="preserve"> </w:t>
      </w:r>
      <w:r>
        <w:rPr>
          <w:b/>
          <w:bCs/>
        </w:rPr>
        <w:t xml:space="preserve">Étant donné</w:t>
      </w:r>
      <w:r>
        <w:t xml:space="preserve"> </w:t>
      </w:r>
      <w:r>
        <w:t xml:space="preserve">une obligation légalement libellée en USD et un paiement en EUR par carte,</w:t>
      </w:r>
      <w:r>
        <w:t xml:space="preserve"> </w:t>
      </w:r>
      <w:r>
        <w:rPr>
          <w:b/>
          <w:bCs/>
        </w:rPr>
        <w:t xml:space="preserve">lorsque</w:t>
      </w:r>
      <w:r>
        <w:t xml:space="preserve"> </w:t>
      </w:r>
      <w:r>
        <w:t xml:space="preserve">le paiement est confirmé,</w:t>
      </w:r>
      <w:r>
        <w:t xml:space="preserve"> </w:t>
      </w:r>
      <w:r>
        <w:rPr>
          <w:b/>
          <w:bCs/>
        </w:rPr>
        <w:t xml:space="preserve">alors</w:t>
      </w:r>
      <w:r>
        <w:t xml:space="preserve"> </w:t>
      </w:r>
      <w:r>
        <w:t xml:space="preserve">la quittance mentionne le montant de l’obligation en 🇺🇸 USD, le montant payé en 🇪🇺 EUR, le taux et sa source, la contre-valeur en 🇨🇩 CDF, et tout écart est traité par la règle de tolérance sans intervention manuelle.</w:t>
      </w:r>
    </w:p>
    <w:bookmarkEnd w:id="129"/>
    <w:bookmarkEnd w:id="130"/>
    <w:bookmarkEnd w:id="131"/>
    <w:bookmarkStart w:id="139" w:name="rôles-et-matrice-dhabilitations"/>
    <w:p>
      <w:pPr>
        <w:pStyle w:val="Heading1"/>
      </w:pPr>
      <w:r>
        <w:t xml:space="preserve">12. Rôles et matrice d’habilitations</w:t>
      </w:r>
    </w:p>
    <w:bookmarkStart w:id="132" w:name="modèle-dautorisation-rbac-abac"/>
    <w:p>
      <w:pPr>
        <w:pStyle w:val="Heading2"/>
      </w:pPr>
      <w:r>
        <w:t xml:space="preserve">12.1 Modèle d’autorisation : RBAC + ABAC</w:t>
      </w:r>
    </w:p>
    <w:p>
      <w:pPr>
        <w:pStyle w:val="FirstParagraph"/>
      </w:pPr>
      <w:r>
        <w:t xml:space="preserve">L’autorisation combine des</w:t>
      </w:r>
      <w:r>
        <w:t xml:space="preserve"> </w:t>
      </w:r>
      <w:r>
        <w:rPr>
          <w:b/>
          <w:bCs/>
        </w:rPr>
        <w:t xml:space="preserve">rôles</w:t>
      </w:r>
      <w:r>
        <w:t xml:space="preserve"> </w:t>
      </w:r>
      <w:r>
        <w:t xml:space="preserve">(ce qu’une fonction peut faire) et des</w:t>
      </w:r>
      <w:r>
        <w:t xml:space="preserve"> </w:t>
      </w:r>
      <w:r>
        <w:rPr>
          <w:b/>
          <w:bCs/>
        </w:rPr>
        <w:t xml:space="preserve">attributs</w:t>
      </w:r>
      <w:r>
        <w:t xml:space="preserve"> </w:t>
      </w:r>
      <w:r>
        <w:t xml:space="preserve">(dans quel périmètre, à quel moment, sur quel appareil, pour quelle finalité). Une décision d’accès est évaluée par un moteur de politiques centralisé (policy decision point) à chaque requête, jamais dans l’interface.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Attribut</w:t>
            </w:r>
          </w:p>
        </w:tc>
        <w:tc>
          <w:tcPr>
            <w:shd w:val="clear" w:color="auto" w:fill="232C6B"/>
          </w:tcPr>
          <w:p>
            <w:pPr>
              <w:pStyle w:val="Compact"/>
            </w:pPr>
            <w:r>
              <w:rPr>
                <w:b/>
                <w:color w:val="FFFFFF"/>
                <w:sz w:val="17"/>
              </w:rPr>
              <w:t xml:space="preserve">Exemples</w:t>
            </w:r>
          </w:p>
        </w:tc>
        <w:tc>
          <w:tcPr>
            <w:shd w:val="clear" w:color="auto" w:fill="232C6B"/>
          </w:tcPr>
          <w:p>
            <w:pPr>
              <w:pStyle w:val="Compact"/>
            </w:pPr>
            <w:r>
              <w:rPr>
                <w:b/>
                <w:color w:val="FFFFFF"/>
                <w:sz w:val="17"/>
              </w:rPr>
              <w:t xml:space="preserve">Effet</w:t>
            </w:r>
          </w:p>
        </w:tc>
      </w:tr>
      <w:tr>
        <w:tc>
          <w:tcPr/>
          <w:p>
            <w:pPr>
              <w:pStyle w:val="Compact"/>
            </w:pPr>
            <w:r>
              <w:rPr>
                <w:sz w:val="17"/>
              </w:rPr>
              <w:t xml:space="preserve">Entité</w:t>
            </w:r>
          </w:p>
        </w:tc>
        <w:tc>
          <w:tcPr/>
          <w:p>
            <w:pPr>
              <w:pStyle w:val="Compact"/>
            </w:pPr>
            <w:r>
              <w:rPr>
                <w:sz w:val="17"/>
              </w:rPr>
              <w:t xml:space="preserve">DGIPK, DGTK, ministère X, commune Y</w:t>
            </w:r>
          </w:p>
        </w:tc>
        <w:tc>
          <w:tcPr/>
          <w:p>
            <w:pPr>
              <w:pStyle w:val="Compact"/>
            </w:pPr>
            <w:r>
              <w:rPr>
                <w:sz w:val="17"/>
              </w:rPr>
              <w:t xml:space="preserve">Cloisonnement par entité</w:t>
            </w:r>
          </w:p>
        </w:tc>
      </w:tr>
      <w:tr>
        <w:tc>
          <w:tcPr>
            <w:shd w:val="clear" w:color="auto" w:fill="F5F7FB"/>
          </w:tcPr>
          <w:p>
            <w:pPr>
              <w:pStyle w:val="Compact"/>
            </w:pPr>
            <w:r>
              <w:rPr>
                <w:sz w:val="17"/>
              </w:rPr>
              <w:t xml:space="preserve">Territoire</w:t>
            </w:r>
          </w:p>
        </w:tc>
        <w:tc>
          <w:tcPr>
            <w:shd w:val="clear" w:color="auto" w:fill="F5F7FB"/>
          </w:tcPr>
          <w:p>
            <w:pPr>
              <w:pStyle w:val="Compact"/>
            </w:pPr>
            <w:r>
              <w:rPr>
                <w:sz w:val="17"/>
              </w:rPr>
              <w:t xml:space="preserve">Commune, quartier, polygone de mission</w:t>
            </w:r>
          </w:p>
        </w:tc>
        <w:tc>
          <w:tcPr>
            <w:shd w:val="clear" w:color="auto" w:fill="F5F7FB"/>
          </w:tcPr>
          <w:p>
            <w:pPr>
              <w:pStyle w:val="Compact"/>
            </w:pPr>
            <w:r>
              <w:rPr>
                <w:sz w:val="17"/>
              </w:rPr>
              <w:t xml:space="preserve">Agent limité à sa zone</w:t>
            </w:r>
          </w:p>
        </w:tc>
      </w:tr>
      <w:tr>
        <w:tc>
          <w:tcPr/>
          <w:p>
            <w:pPr>
              <w:pStyle w:val="Compact"/>
            </w:pPr>
            <w:r>
              <w:rPr>
                <w:sz w:val="17"/>
              </w:rPr>
              <w:t xml:space="preserve">Dossier assigné</w:t>
            </w:r>
          </w:p>
        </w:tc>
        <w:tc>
          <w:tcPr/>
          <w:p>
            <w:pPr>
              <w:pStyle w:val="Compact"/>
            </w:pPr>
            <w:r>
              <w:rPr>
                <w:sz w:val="17"/>
              </w:rPr>
              <w:t xml:space="preserve">Mission, dossier de contrôle, recours</w:t>
            </w:r>
          </w:p>
        </w:tc>
        <w:tc>
          <w:tcPr/>
          <w:p>
            <w:pPr>
              <w:pStyle w:val="Compact"/>
            </w:pPr>
            <w:r>
              <w:rPr>
                <w:sz w:val="17"/>
              </w:rPr>
              <w:t xml:space="preserve">Accès limité aux objets du dossier</w:t>
            </w:r>
          </w:p>
        </w:tc>
      </w:tr>
      <w:tr>
        <w:tc>
          <w:tcPr>
            <w:shd w:val="clear" w:color="auto" w:fill="F5F7FB"/>
          </w:tcPr>
          <w:p>
            <w:pPr>
              <w:pStyle w:val="Compact"/>
            </w:pPr>
            <w:r>
              <w:rPr>
                <w:sz w:val="17"/>
              </w:rPr>
              <w:t xml:space="preserve">Plage horaire</w:t>
            </w:r>
          </w:p>
        </w:tc>
        <w:tc>
          <w:tcPr>
            <w:shd w:val="clear" w:color="auto" w:fill="F5F7FB"/>
          </w:tcPr>
          <w:p>
            <w:pPr>
              <w:pStyle w:val="Compact"/>
            </w:pPr>
            <w:r>
              <w:rPr>
                <w:sz w:val="17"/>
              </w:rPr>
              <w:t xml:space="preserve">Horaires de service, durée de mission</w:t>
            </w:r>
          </w:p>
        </w:tc>
        <w:tc>
          <w:tcPr>
            <w:shd w:val="clear" w:color="auto" w:fill="F5F7FB"/>
          </w:tcPr>
          <w:p>
            <w:pPr>
              <w:pStyle w:val="Compact"/>
            </w:pPr>
            <w:r>
              <w:rPr>
                <w:sz w:val="17"/>
              </w:rPr>
              <w:t xml:space="preserve">Refus hors plage, sauf astreinte déclarée</w:t>
            </w:r>
          </w:p>
        </w:tc>
      </w:tr>
      <w:tr>
        <w:tc>
          <w:tcPr/>
          <w:p>
            <w:pPr>
              <w:pStyle w:val="Compact"/>
            </w:pPr>
            <w:r>
              <w:rPr>
                <w:sz w:val="17"/>
              </w:rPr>
              <w:t xml:space="preserve">Appareil</w:t>
            </w:r>
          </w:p>
        </w:tc>
        <w:tc>
          <w:tcPr/>
          <w:p>
            <w:pPr>
              <w:pStyle w:val="Compact"/>
            </w:pPr>
            <w:r>
              <w:rPr>
                <w:sz w:val="17"/>
              </w:rPr>
              <w:t xml:space="preserve">Terminal enrôlé et conforme (MDM)</w:t>
            </w:r>
          </w:p>
        </w:tc>
        <w:tc>
          <w:tcPr/>
          <w:p>
            <w:pPr>
              <w:pStyle w:val="Compact"/>
            </w:pPr>
            <w:r>
              <w:rPr>
                <w:sz w:val="17"/>
              </w:rPr>
              <w:t xml:space="preserve">Refus depuis un appareil non enrôlé</w:t>
            </w:r>
          </w:p>
        </w:tc>
      </w:tr>
      <w:tr>
        <w:tc>
          <w:tcPr>
            <w:shd w:val="clear" w:color="auto" w:fill="F5F7FB"/>
          </w:tcPr>
          <w:p>
            <w:pPr>
              <w:pStyle w:val="Compact"/>
            </w:pPr>
            <w:r>
              <w:rPr>
                <w:sz w:val="17"/>
              </w:rPr>
              <w:t xml:space="preserve">Niveau d’authentification</w:t>
            </w:r>
          </w:p>
        </w:tc>
        <w:tc>
          <w:tcPr>
            <w:shd w:val="clear" w:color="auto" w:fill="F5F7FB"/>
          </w:tcPr>
          <w:p>
            <w:pPr>
              <w:pStyle w:val="Compact"/>
            </w:pPr>
            <w:r>
              <w:rPr>
                <w:sz w:val="17"/>
              </w:rPr>
              <w:t xml:space="preserve">Mot de passe + OTP, clé d’accès (passkey), clé matérielle</w:t>
            </w:r>
          </w:p>
        </w:tc>
        <w:tc>
          <w:tcPr>
            <w:shd w:val="clear" w:color="auto" w:fill="F5F7FB"/>
          </w:tcPr>
          <w:p>
            <w:pPr>
              <w:pStyle w:val="Compact"/>
            </w:pPr>
            <w:r>
              <w:rPr>
                <w:sz w:val="17"/>
              </w:rPr>
              <w:t xml:space="preserve">Actions sensibles réservées aux facteurs résistants à l’hameçonnage</w:t>
            </w:r>
          </w:p>
        </w:tc>
      </w:tr>
      <w:tr>
        <w:tc>
          <w:tcPr/>
          <w:p>
            <w:pPr>
              <w:pStyle w:val="Compact"/>
            </w:pPr>
            <w:r>
              <w:rPr>
                <w:sz w:val="17"/>
              </w:rPr>
              <w:t xml:space="preserve">Sensibilité de la donnée</w:t>
            </w:r>
          </w:p>
        </w:tc>
        <w:tc>
          <w:tcPr/>
          <w:p>
            <w:pPr>
              <w:pStyle w:val="Compact"/>
            </w:pPr>
            <w:r>
              <w:rPr>
                <w:sz w:val="17"/>
              </w:rPr>
              <w:t xml:space="preserve">C1 à C5 (ch. 32)</w:t>
            </w:r>
          </w:p>
        </w:tc>
        <w:tc>
          <w:tcPr/>
          <w:p>
            <w:pPr>
              <w:pStyle w:val="Compact"/>
            </w:pPr>
            <w:r>
              <w:rPr>
                <w:sz w:val="17"/>
              </w:rPr>
              <w:t xml:space="preserve">Masquage, champ par champ</w:t>
            </w:r>
          </w:p>
        </w:tc>
      </w:tr>
      <w:tr>
        <w:tc>
          <w:tcPr>
            <w:shd w:val="clear" w:color="auto" w:fill="F5F7FB"/>
          </w:tcPr>
          <w:p>
            <w:pPr>
              <w:pStyle w:val="Compact"/>
            </w:pPr>
            <w:r>
              <w:rPr>
                <w:sz w:val="17"/>
              </w:rPr>
              <w:t xml:space="preserve">Finalité déclarée</w:t>
            </w:r>
          </w:p>
        </w:tc>
        <w:tc>
          <w:tcPr>
            <w:shd w:val="clear" w:color="auto" w:fill="F5F7FB"/>
          </w:tcPr>
          <w:p>
            <w:pPr>
              <w:pStyle w:val="Compact"/>
            </w:pPr>
            <w:r>
              <w:rPr>
                <w:sz w:val="17"/>
              </w:rPr>
              <w:t xml:space="preserve">Contrôle, recours, audit, enquête</w:t>
            </w:r>
          </w:p>
        </w:tc>
        <w:tc>
          <w:tcPr>
            <w:shd w:val="clear" w:color="auto" w:fill="F5F7FB"/>
          </w:tcPr>
          <w:p>
            <w:pPr>
              <w:pStyle w:val="Compact"/>
            </w:pPr>
            <w:r>
              <w:rPr>
                <w:sz w:val="17"/>
              </w:rPr>
              <w:t xml:space="preserve">Finalité journalisée ; accès « bris de glace » motivé et revu</w:t>
            </w:r>
          </w:p>
        </w:tc>
      </w:tr>
      <w:tr>
        <w:tc>
          <w:tcPr/>
          <w:p>
            <w:pPr>
              <w:pStyle w:val="Compact"/>
            </w:pPr>
            <w:r>
              <w:rPr>
                <w:sz w:val="17"/>
              </w:rPr>
              <w:t xml:space="preserve">Conflit d’intérêts</w:t>
            </w:r>
          </w:p>
        </w:tc>
        <w:tc>
          <w:tcPr/>
          <w:p>
            <w:pPr>
              <w:pStyle w:val="Compact"/>
            </w:pPr>
            <w:r>
              <w:rPr>
                <w:sz w:val="17"/>
              </w:rPr>
              <w:t xml:space="preserve">Lien déclaré ou détecté avec le contribuable</w:t>
            </w:r>
          </w:p>
        </w:tc>
        <w:tc>
          <w:tcPr/>
          <w:p>
            <w:pPr>
              <w:pStyle w:val="Compact"/>
            </w:pPr>
            <w:r>
              <w:rPr>
                <w:sz w:val="17"/>
              </w:rPr>
              <w:t xml:space="preserve">Récusation automatique</w:t>
            </w:r>
          </w:p>
        </w:tc>
      </w:tr>
      <w:tr>
        <w:tc>
          <w:tcPr>
            <w:shd w:val="clear" w:color="auto" w:fill="F5F7FB"/>
          </w:tcPr>
          <w:p>
            <w:pPr>
              <w:pStyle w:val="Compact"/>
            </w:pPr>
            <w:r>
              <w:rPr>
                <w:sz w:val="17"/>
              </w:rPr>
              <w:t xml:space="preserve">Durée</w:t>
            </w:r>
          </w:p>
        </w:tc>
        <w:tc>
          <w:tcPr>
            <w:shd w:val="clear" w:color="auto" w:fill="F5F7FB"/>
          </w:tcPr>
          <w:p>
            <w:pPr>
              <w:pStyle w:val="Compact"/>
            </w:pPr>
            <w:r>
              <w:rPr>
                <w:sz w:val="17"/>
              </w:rPr>
              <w:t xml:space="preserve">Délégation temporaire, accès privilégié juste-à-temps</w:t>
            </w:r>
          </w:p>
        </w:tc>
        <w:tc>
          <w:tcPr>
            <w:shd w:val="clear" w:color="auto" w:fill="F5F7FB"/>
          </w:tcPr>
          <w:p>
            <w:pPr>
              <w:pStyle w:val="Compact"/>
            </w:pPr>
            <w:r>
              <w:rPr>
                <w:sz w:val="17"/>
              </w:rPr>
              <w:t xml:space="preserve">Expiration automatique</w:t>
            </w:r>
          </w:p>
        </w:tc>
      </w:tr>
    </w:tbl>
    <w:bookmarkEnd w:id="132"/>
    <w:bookmarkStart w:id="133" w:name="principes-de-contrôle-interne"/>
    <w:p>
      <w:pPr>
        <w:pStyle w:val="Heading2"/>
      </w:pPr>
      <w:r>
        <w:t xml:space="preserve">12.2 Principes de contrôle interne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Principe</w:t>
            </w:r>
          </w:p>
        </w:tc>
        <w:tc>
          <w:tcPr>
            <w:shd w:val="clear" w:color="auto" w:fill="232C6B"/>
          </w:tcPr>
          <w:p>
            <w:pPr>
              <w:pStyle w:val="Compact"/>
            </w:pPr>
            <w:r>
              <w:rPr>
                <w:b/>
                <w:color w:val="FFFFFF"/>
                <w:sz w:val="17"/>
              </w:rPr>
              <w:t xml:space="preserve">Mise en œuvre</w:t>
            </w:r>
          </w:p>
        </w:tc>
      </w:tr>
      <w:tr>
        <w:tc>
          <w:tcPr/>
          <w:p>
            <w:pPr>
              <w:pStyle w:val="Compact"/>
            </w:pPr>
            <w:r>
              <w:rPr>
                <w:sz w:val="17"/>
              </w:rPr>
              <w:t xml:space="preserve">Moindre privilège</w:t>
            </w:r>
          </w:p>
        </w:tc>
        <w:tc>
          <w:tcPr/>
          <w:p>
            <w:pPr>
              <w:pStyle w:val="Compact"/>
            </w:pPr>
            <w:r>
              <w:rPr>
                <w:sz w:val="17"/>
              </w:rPr>
              <w:t xml:space="preserve">Rôles fins ; aucun droit par défaut ; revue trimestrielle des accès</w:t>
            </w:r>
          </w:p>
        </w:tc>
      </w:tr>
      <w:tr>
        <w:tc>
          <w:tcPr>
            <w:shd w:val="clear" w:color="auto" w:fill="F5F7FB"/>
          </w:tcPr>
          <w:p>
            <w:pPr>
              <w:pStyle w:val="Compact"/>
            </w:pPr>
            <w:r>
              <w:rPr>
                <w:sz w:val="17"/>
              </w:rPr>
              <w:t xml:space="preserve">Séparation des tâches</w:t>
            </w:r>
          </w:p>
        </w:tc>
        <w:tc>
          <w:tcPr>
            <w:shd w:val="clear" w:color="auto" w:fill="F5F7FB"/>
          </w:tcPr>
          <w:p>
            <w:pPr>
              <w:pStyle w:val="Compact"/>
            </w:pPr>
            <w:r>
              <w:rPr>
                <w:sz w:val="17"/>
              </w:rPr>
              <w:t xml:space="preserve">Incompatibilités codées (tableau § 12.5) ; un utilisateur ne peut cumuler deux rôles incompatibles</w:t>
            </w:r>
          </w:p>
        </w:tc>
      </w:tr>
      <w:tr>
        <w:tc>
          <w:tcPr/>
          <w:p>
            <w:pPr>
              <w:pStyle w:val="Compact"/>
            </w:pPr>
            <w:r>
              <w:rPr>
                <w:sz w:val="17"/>
              </w:rPr>
              <w:t xml:space="preserve">Maker-checker / quatre yeux</w:t>
            </w:r>
          </w:p>
        </w:tc>
        <w:tc>
          <w:tcPr/>
          <w:p>
            <w:pPr>
              <w:pStyle w:val="Compact"/>
            </w:pPr>
            <w:r>
              <w:rPr>
                <w:sz w:val="17"/>
              </w:rPr>
              <w:t xml:space="preserve">Initiateur ≠ vérificateur pour toute opération critique ; auto-validation impossible</w:t>
            </w:r>
          </w:p>
        </w:tc>
      </w:tr>
      <w:tr>
        <w:tc>
          <w:tcPr>
            <w:shd w:val="clear" w:color="auto" w:fill="F5F7FB"/>
          </w:tcPr>
          <w:p>
            <w:pPr>
              <w:pStyle w:val="Compact"/>
            </w:pPr>
            <w:r>
              <w:rPr>
                <w:sz w:val="17"/>
              </w:rPr>
              <w:t xml:space="preserve">Contrôle double (dual control)</w:t>
            </w:r>
          </w:p>
        </w:tc>
        <w:tc>
          <w:tcPr>
            <w:shd w:val="clear" w:color="auto" w:fill="F5F7FB"/>
          </w:tcPr>
          <w:p>
            <w:pPr>
              <w:pStyle w:val="Compact"/>
            </w:pPr>
            <w:r>
              <w:rPr>
                <w:sz w:val="17"/>
              </w:rPr>
              <w:t xml:space="preserve">Opérations les plus sensibles : deux approbateurs + délai de refroidissement</w:t>
            </w:r>
          </w:p>
        </w:tc>
      </w:tr>
      <w:tr>
        <w:tc>
          <w:tcPr/>
          <w:p>
            <w:pPr>
              <w:pStyle w:val="Compact"/>
            </w:pPr>
            <w:r>
              <w:rPr>
                <w:sz w:val="17"/>
              </w:rPr>
              <w:t xml:space="preserve">Délégation temporaire</w:t>
            </w:r>
          </w:p>
        </w:tc>
        <w:tc>
          <w:tcPr/>
          <w:p>
            <w:pPr>
              <w:pStyle w:val="Compact"/>
            </w:pPr>
            <w:r>
              <w:rPr>
                <w:sz w:val="17"/>
              </w:rPr>
              <w:t xml:space="preserve">Datée, bornée, motivée, visible, révocable ; non re-déléguable</w:t>
            </w:r>
          </w:p>
        </w:tc>
      </w:tr>
      <w:tr>
        <w:tc>
          <w:tcPr>
            <w:shd w:val="clear" w:color="auto" w:fill="F5F7FB"/>
          </w:tcPr>
          <w:p>
            <w:pPr>
              <w:pStyle w:val="Compact"/>
            </w:pPr>
            <w:r>
              <w:rPr>
                <w:sz w:val="17"/>
              </w:rPr>
              <w:t xml:space="preserve">Accès privilégié juste-à-temps</w:t>
            </w:r>
          </w:p>
        </w:tc>
        <w:tc>
          <w:tcPr>
            <w:shd w:val="clear" w:color="auto" w:fill="F5F7FB"/>
          </w:tcPr>
          <w:p>
            <w:pPr>
              <w:pStyle w:val="Compact"/>
            </w:pPr>
            <w:r>
              <w:rPr>
                <w:sz w:val="17"/>
              </w:rPr>
              <w:t xml:space="preserve">Élévation sur demande motivée, approuvée, limitée dans le temps, session enregistrée</w:t>
            </w:r>
          </w:p>
        </w:tc>
      </w:tr>
      <w:tr>
        <w:tc>
          <w:tcPr/>
          <w:p>
            <w:pPr>
              <w:pStyle w:val="Compact"/>
            </w:pPr>
            <w:r>
              <w:rPr>
                <w:sz w:val="17"/>
              </w:rPr>
              <w:t xml:space="preserve">MFA</w:t>
            </w:r>
          </w:p>
        </w:tc>
        <w:tc>
          <w:tcPr/>
          <w:p>
            <w:pPr>
              <w:pStyle w:val="Compact"/>
            </w:pPr>
            <w:r>
              <w:rPr>
                <w:sz w:val="17"/>
              </w:rPr>
              <w:t xml:space="preserve">Obligatoire pour tout compte de travail ; résistante à l’hameçonnage pour les rôles sensibles</w:t>
            </w:r>
          </w:p>
        </w:tc>
      </w:tr>
      <w:tr>
        <w:tc>
          <w:tcPr>
            <w:shd w:val="clear" w:color="auto" w:fill="F5F7FB"/>
          </w:tcPr>
          <w:p>
            <w:pPr>
              <w:pStyle w:val="Compact"/>
            </w:pPr>
            <w:r>
              <w:rPr>
                <w:sz w:val="17"/>
              </w:rPr>
              <w:t xml:space="preserve">Authentification de l’appareil</w:t>
            </w:r>
          </w:p>
        </w:tc>
        <w:tc>
          <w:tcPr>
            <w:shd w:val="clear" w:color="auto" w:fill="F5F7FB"/>
          </w:tcPr>
          <w:p>
            <w:pPr>
              <w:pStyle w:val="Compact"/>
            </w:pPr>
            <w:r>
              <w:rPr>
                <w:sz w:val="17"/>
              </w:rPr>
              <w:t xml:space="preserve">Certificat d’appareil pour les terminaux terrain et les postes sensibles</w:t>
            </w:r>
          </w:p>
        </w:tc>
      </w:tr>
      <w:tr>
        <w:tc>
          <w:tcPr/>
          <w:p>
            <w:pPr>
              <w:pStyle w:val="Compact"/>
            </w:pPr>
            <w:r>
              <w:rPr>
                <w:sz w:val="17"/>
              </w:rPr>
              <w:t xml:space="preserve">Expiration des accès</w:t>
            </w:r>
          </w:p>
        </w:tc>
        <w:tc>
          <w:tcPr/>
          <w:p>
            <w:pPr>
              <w:pStyle w:val="Compact"/>
            </w:pPr>
            <w:r>
              <w:rPr>
                <w:sz w:val="17"/>
              </w:rPr>
              <w:t xml:space="preserve">Tout accès de travail a une date de fin ; renouvellement sur revue</w:t>
            </w:r>
          </w:p>
        </w:tc>
      </w:tr>
      <w:tr>
        <w:tc>
          <w:tcPr>
            <w:shd w:val="clear" w:color="auto" w:fill="F5F7FB"/>
          </w:tcPr>
          <w:p>
            <w:pPr>
              <w:pStyle w:val="Compact"/>
            </w:pPr>
            <w:r>
              <w:rPr>
                <w:sz w:val="17"/>
              </w:rPr>
              <w:t xml:space="preserve">Détection des conflits d’intérêts</w:t>
            </w:r>
          </w:p>
        </w:tc>
        <w:tc>
          <w:tcPr>
            <w:shd w:val="clear" w:color="auto" w:fill="F5F7FB"/>
          </w:tcPr>
          <w:p>
            <w:pPr>
              <w:pStyle w:val="Compact"/>
            </w:pPr>
            <w:r>
              <w:rPr>
                <w:sz w:val="17"/>
              </w:rPr>
              <w:t xml:space="preserve">Déclarations (module 91) + détection de liens (adresse, téléphone, compte bancaire communs)</w:t>
            </w:r>
          </w:p>
        </w:tc>
      </w:tr>
      <w:tr>
        <w:tc>
          <w:tcPr/>
          <w:p>
            <w:pPr>
              <w:pStyle w:val="Compact"/>
            </w:pPr>
            <w:r>
              <w:rPr>
                <w:sz w:val="17"/>
              </w:rPr>
              <w:t xml:space="preserve">Revues d’accès</w:t>
            </w:r>
          </w:p>
        </w:tc>
        <w:tc>
          <w:tcPr/>
          <w:p>
            <w:pPr>
              <w:pStyle w:val="Compact"/>
            </w:pPr>
            <w:r>
              <w:rPr>
                <w:sz w:val="17"/>
              </w:rPr>
              <w:t xml:space="preserve">Trimestrielles par les responsables d’entité ; semestrielles par l’audit interne</w:t>
            </w:r>
          </w:p>
        </w:tc>
      </w:tr>
      <w:tr>
        <w:tc>
          <w:tcPr>
            <w:shd w:val="clear" w:color="auto" w:fill="F5F7FB"/>
          </w:tcPr>
          <w:p>
            <w:pPr>
              <w:pStyle w:val="Compact"/>
            </w:pPr>
            <w:r>
              <w:rPr>
                <w:sz w:val="17"/>
              </w:rPr>
              <w:t xml:space="preserve">Journalisation complète</w:t>
            </w:r>
          </w:p>
        </w:tc>
        <w:tc>
          <w:tcPr>
            <w:shd w:val="clear" w:color="auto" w:fill="F5F7FB"/>
          </w:tcPr>
          <w:p>
            <w:pPr>
              <w:pStyle w:val="Compact"/>
            </w:pPr>
            <w:r>
              <w:rPr>
                <w:sz w:val="17"/>
              </w:rPr>
              <w:t xml:space="preserve">Toute consultation de donnée C4–C5 et toute action sont journalisées</w:t>
            </w:r>
          </w:p>
        </w:tc>
      </w:tr>
    </w:tbl>
    <w:bookmarkEnd w:id="133"/>
    <w:bookmarkStart w:id="134" w:name="rôles"/>
    <w:p>
      <w:pPr>
        <w:pStyle w:val="Heading2"/>
      </w:pPr>
      <w:r>
        <w:t xml:space="preserve">12.3 Rôles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Code</w:t>
            </w:r>
          </w:p>
        </w:tc>
        <w:tc>
          <w:tcPr>
            <w:shd w:val="clear" w:color="auto" w:fill="232C6B"/>
          </w:tcPr>
          <w:p>
            <w:pPr>
              <w:pStyle w:val="Compact"/>
            </w:pPr>
            <w:r>
              <w:rPr>
                <w:b/>
                <w:color w:val="FFFFFF"/>
                <w:sz w:val="17"/>
              </w:rPr>
              <w:t xml:space="preserve">Rôle</w:t>
            </w:r>
          </w:p>
        </w:tc>
        <w:tc>
          <w:tcPr>
            <w:shd w:val="clear" w:color="auto" w:fill="232C6B"/>
          </w:tcPr>
          <w:p>
            <w:pPr>
              <w:pStyle w:val="Compact"/>
            </w:pPr>
            <w:r>
              <w:rPr>
                <w:b/>
                <w:color w:val="FFFFFF"/>
                <w:sz w:val="17"/>
              </w:rPr>
              <w:t xml:space="preserve">Mission</w:t>
            </w:r>
          </w:p>
        </w:tc>
        <w:tc>
          <w:tcPr>
            <w:shd w:val="clear" w:color="auto" w:fill="232C6B"/>
          </w:tcPr>
          <w:p>
            <w:pPr>
              <w:pStyle w:val="Compact"/>
            </w:pPr>
            <w:r>
              <w:rPr>
                <w:b/>
                <w:color w:val="FFFFFF"/>
                <w:sz w:val="17"/>
              </w:rPr>
              <w:t xml:space="preserve">Périmètre</w:t>
            </w:r>
          </w:p>
        </w:tc>
      </w:tr>
      <w:tr>
        <w:tc>
          <w:tcPr/>
          <w:p>
            <w:pPr>
              <w:pStyle w:val="Compact"/>
            </w:pPr>
            <w:r>
              <w:rPr>
                <w:sz w:val="17"/>
              </w:rPr>
              <w:t xml:space="preserve">R01</w:t>
            </w:r>
          </w:p>
        </w:tc>
        <w:tc>
          <w:tcPr/>
          <w:p>
            <w:pPr>
              <w:pStyle w:val="Compact"/>
            </w:pPr>
            <w:r>
              <w:rPr>
                <w:b/>
                <w:bCs/>
                <w:sz w:val="17"/>
              </w:rPr>
              <w:t xml:space="preserve">Gouverneur</w:t>
            </w:r>
          </w:p>
        </w:tc>
        <w:tc>
          <w:tcPr/>
          <w:p>
            <w:pPr>
              <w:pStyle w:val="Compact"/>
            </w:pPr>
            <w:r>
              <w:rPr>
                <w:sz w:val="17"/>
              </w:rPr>
              <w:t xml:space="preserve">Vision exécutive consolidée, priorités stratégiques, demandes d’enquête</w:t>
            </w:r>
          </w:p>
        </w:tc>
        <w:tc>
          <w:tcPr/>
          <w:p>
            <w:pPr>
              <w:pStyle w:val="Compact"/>
            </w:pPr>
            <w:r>
              <w:rPr>
                <w:sz w:val="17"/>
              </w:rPr>
              <w:t xml:space="preserve">Toute la province,</w:t>
            </w:r>
            <w:r>
              <w:rPr>
                <w:sz w:val="17"/>
              </w:rPr>
              <w:t xml:space="preserve"> </w:t>
            </w:r>
            <w:r>
              <w:rPr>
                <w:b/>
                <w:bCs/>
                <w:sz w:val="17"/>
              </w:rPr>
              <w:t xml:space="preserve">agrégats</w:t>
            </w:r>
            <w:r>
              <w:rPr>
                <w:sz w:val="17"/>
              </w:rPr>
              <w:t xml:space="preserve"> </w:t>
            </w:r>
            <w:r>
              <w:rPr>
                <w:sz w:val="17"/>
              </w:rPr>
              <w:t xml:space="preserve">; détail nominatif uniquement via une demande d’enquête motivée instruite par l’audit</w:t>
            </w:r>
          </w:p>
        </w:tc>
      </w:tr>
      <w:tr>
        <w:tc>
          <w:tcPr>
            <w:shd w:val="clear" w:color="auto" w:fill="F5F7FB"/>
          </w:tcPr>
          <w:p>
            <w:pPr>
              <w:pStyle w:val="Compact"/>
            </w:pPr>
            <w:r>
              <w:rPr>
                <w:sz w:val="17"/>
              </w:rPr>
              <w:t xml:space="preserve">R02</w:t>
            </w:r>
          </w:p>
        </w:tc>
        <w:tc>
          <w:tcPr>
            <w:shd w:val="clear" w:color="auto" w:fill="F5F7FB"/>
          </w:tcPr>
          <w:p>
            <w:pPr>
              <w:pStyle w:val="Compact"/>
            </w:pPr>
            <w:r>
              <w:rPr>
                <w:b/>
                <w:bCs/>
                <w:sz w:val="17"/>
              </w:rPr>
              <w:t xml:space="preserve">Directeur de cabinet du Gouverneur</w:t>
            </w:r>
          </w:p>
        </w:tc>
        <w:tc>
          <w:tcPr>
            <w:shd w:val="clear" w:color="auto" w:fill="F5F7FB"/>
          </w:tcPr>
          <w:p>
            <w:pPr>
              <w:pStyle w:val="Compact"/>
            </w:pPr>
            <w:r>
              <w:rPr>
                <w:sz w:val="17"/>
              </w:rPr>
              <w:t xml:space="preserve">Coordination et suivi, sur délégation formelle</w:t>
            </w:r>
          </w:p>
        </w:tc>
        <w:tc>
          <w:tcPr>
            <w:shd w:val="clear" w:color="auto" w:fill="F5F7FB"/>
          </w:tcPr>
          <w:p>
            <w:pPr>
              <w:pStyle w:val="Compact"/>
            </w:pPr>
            <w:r>
              <w:rPr>
                <w:sz w:val="17"/>
              </w:rPr>
              <w:t xml:space="preserve">Comme R01, dans les limites de la délégation écrite</w:t>
            </w:r>
          </w:p>
        </w:tc>
      </w:tr>
      <w:tr>
        <w:tc>
          <w:tcPr/>
          <w:p>
            <w:pPr>
              <w:pStyle w:val="Compact"/>
            </w:pPr>
            <w:r>
              <w:rPr>
                <w:sz w:val="17"/>
              </w:rPr>
              <w:t xml:space="preserve">R03</w:t>
            </w:r>
          </w:p>
        </w:tc>
        <w:tc>
          <w:tcPr/>
          <w:p>
            <w:pPr>
              <w:pStyle w:val="Compact"/>
            </w:pPr>
            <w:r>
              <w:rPr>
                <w:b/>
                <w:bCs/>
                <w:sz w:val="17"/>
              </w:rPr>
              <w:t xml:space="preserve">Secrétaire général du Gouvernement provincial</w:t>
            </w:r>
          </w:p>
        </w:tc>
        <w:tc>
          <w:tcPr/>
          <w:p>
            <w:pPr>
              <w:pStyle w:val="Compact"/>
            </w:pPr>
            <w:r>
              <w:rPr>
                <w:sz w:val="17"/>
              </w:rPr>
              <w:t xml:space="preserve">Coordination gouvernementale, décisions, suivi de mise en œuvre</w:t>
            </w:r>
          </w:p>
        </w:tc>
        <w:tc>
          <w:tcPr/>
          <w:p>
            <w:pPr>
              <w:pStyle w:val="Compact"/>
            </w:pPr>
            <w:r>
              <w:rPr>
                <w:sz w:val="17"/>
              </w:rPr>
              <w:t xml:space="preserve">Décisions, actes, tableaux de suivi ; pas de données fiscales individuelles</w:t>
            </w:r>
          </w:p>
        </w:tc>
      </w:tr>
      <w:tr>
        <w:tc>
          <w:tcPr>
            <w:shd w:val="clear" w:color="auto" w:fill="F5F7FB"/>
          </w:tcPr>
          <w:p>
            <w:pPr>
              <w:pStyle w:val="Compact"/>
            </w:pPr>
            <w:r>
              <w:rPr>
                <w:sz w:val="17"/>
              </w:rPr>
              <w:t xml:space="preserve">R04</w:t>
            </w:r>
          </w:p>
        </w:tc>
        <w:tc>
          <w:tcPr>
            <w:shd w:val="clear" w:color="auto" w:fill="F5F7FB"/>
          </w:tcPr>
          <w:p>
            <w:pPr>
              <w:pStyle w:val="Compact"/>
            </w:pPr>
            <w:r>
              <w:rPr>
                <w:b/>
                <w:bCs/>
                <w:sz w:val="17"/>
              </w:rPr>
              <w:t xml:space="preserve">Ministre provincial</w:t>
            </w:r>
          </w:p>
        </w:tc>
        <w:tc>
          <w:tcPr>
            <w:shd w:val="clear" w:color="auto" w:fill="F5F7FB"/>
          </w:tcPr>
          <w:p>
            <w:pPr>
              <w:pStyle w:val="Compact"/>
            </w:pPr>
            <w:r>
              <w:rPr>
                <w:sz w:val="17"/>
              </w:rPr>
              <w:t xml:space="preserve">Pilotage du périmètre légal de son ministère</w:t>
            </w:r>
          </w:p>
        </w:tc>
        <w:tc>
          <w:tcPr>
            <w:shd w:val="clear" w:color="auto" w:fill="F5F7FB"/>
          </w:tcPr>
          <w:p>
            <w:pPr>
              <w:pStyle w:val="Compact"/>
            </w:pPr>
            <w:r>
              <w:rPr>
                <w:sz w:val="17"/>
              </w:rPr>
              <w:t xml:space="preserve">Modules et recettes relevant de son ministère ; agrégats</w:t>
            </w:r>
          </w:p>
        </w:tc>
      </w:tr>
      <w:tr>
        <w:tc>
          <w:tcPr/>
          <w:p>
            <w:pPr>
              <w:pStyle w:val="Compact"/>
            </w:pPr>
            <w:r>
              <w:rPr>
                <w:sz w:val="17"/>
              </w:rPr>
              <w:t xml:space="preserve">R05</w:t>
            </w:r>
          </w:p>
        </w:tc>
        <w:tc>
          <w:tcPr/>
          <w:p>
            <w:pPr>
              <w:pStyle w:val="Compact"/>
            </w:pPr>
            <w:r>
              <w:rPr>
                <w:b/>
                <w:bCs/>
                <w:sz w:val="17"/>
              </w:rPr>
              <w:t xml:space="preserve">Ministre provincial des Finances</w:t>
            </w:r>
          </w:p>
        </w:tc>
        <w:tc>
          <w:tcPr/>
          <w:p>
            <w:pPr>
              <w:pStyle w:val="Compact"/>
            </w:pPr>
            <w:r>
              <w:rPr>
                <w:sz w:val="17"/>
              </w:rPr>
              <w:t xml:space="preserve">Tutelle des régies, politique fiscale, approbation des règles relevant de sa compétence</w:t>
            </w:r>
          </w:p>
        </w:tc>
        <w:tc>
          <w:tcPr/>
          <w:p>
            <w:pPr>
              <w:pStyle w:val="Compact"/>
            </w:pPr>
            <w:r>
              <w:rPr>
                <w:sz w:val="17"/>
              </w:rPr>
              <w:t xml:space="preserve">Agrégats de toutes les recettes ; approbation des règles et tarifs selon texte</w:t>
            </w:r>
          </w:p>
        </w:tc>
      </w:tr>
      <w:tr>
        <w:tc>
          <w:tcPr>
            <w:shd w:val="clear" w:color="auto" w:fill="F5F7FB"/>
          </w:tcPr>
          <w:p>
            <w:pPr>
              <w:pStyle w:val="Compact"/>
            </w:pPr>
            <w:r>
              <w:rPr>
                <w:sz w:val="17"/>
              </w:rPr>
              <w:t xml:space="preserve">R06</w:t>
            </w:r>
          </w:p>
        </w:tc>
        <w:tc>
          <w:tcPr>
            <w:shd w:val="clear" w:color="auto" w:fill="F5F7FB"/>
          </w:tcPr>
          <w:p>
            <w:pPr>
              <w:pStyle w:val="Compact"/>
            </w:pPr>
            <w:r>
              <w:rPr>
                <w:b/>
                <w:bCs/>
                <w:sz w:val="17"/>
              </w:rPr>
              <w:t xml:space="preserve">Directeur général DGIPK / DGTK</w:t>
            </w:r>
          </w:p>
        </w:tc>
        <w:tc>
          <w:tcPr>
            <w:shd w:val="clear" w:color="auto" w:fill="F5F7FB"/>
          </w:tcPr>
          <w:p>
            <w:pPr>
              <w:pStyle w:val="Compact"/>
            </w:pPr>
            <w:r>
              <w:rPr>
                <w:sz w:val="17"/>
              </w:rPr>
              <w:t xml:space="preserve">Direction opérationnelle de la régie</w:t>
            </w:r>
          </w:p>
        </w:tc>
        <w:tc>
          <w:tcPr>
            <w:shd w:val="clear" w:color="auto" w:fill="F5F7FB"/>
          </w:tcPr>
          <w:p>
            <w:pPr>
              <w:pStyle w:val="Compact"/>
            </w:pPr>
            <w:r>
              <w:rPr>
                <w:sz w:val="17"/>
              </w:rPr>
              <w:t xml:space="preserve">Recettes de sa régie ; nominatif dans son périmètre</w:t>
            </w:r>
          </w:p>
        </w:tc>
      </w:tr>
      <w:tr>
        <w:tc>
          <w:tcPr/>
          <w:p>
            <w:pPr>
              <w:pStyle w:val="Compact"/>
            </w:pPr>
            <w:r>
              <w:rPr>
                <w:sz w:val="17"/>
              </w:rPr>
              <w:t xml:space="preserve">R07</w:t>
            </w:r>
          </w:p>
        </w:tc>
        <w:tc>
          <w:tcPr/>
          <w:p>
            <w:pPr>
              <w:pStyle w:val="Compact"/>
            </w:pPr>
            <w:r>
              <w:rPr>
                <w:b/>
                <w:bCs/>
                <w:sz w:val="17"/>
              </w:rPr>
              <w:t xml:space="preserve">Directeur / chef de service de régie</w:t>
            </w:r>
          </w:p>
        </w:tc>
        <w:tc>
          <w:tcPr/>
          <w:p>
            <w:pPr>
              <w:pStyle w:val="Compact"/>
            </w:pPr>
            <w:r>
              <w:rPr>
                <w:sz w:val="17"/>
              </w:rPr>
              <w:t xml:space="preserve">Gestion d’un service (assiette, contrôle, recouvrement, contentieux)</w:t>
            </w:r>
          </w:p>
        </w:tc>
        <w:tc>
          <w:tcPr/>
          <w:p>
            <w:pPr>
              <w:pStyle w:val="Compact"/>
            </w:pPr>
            <w:r>
              <w:rPr>
                <w:sz w:val="17"/>
              </w:rPr>
              <w:t xml:space="preserve">Service et territoire</w:t>
            </w:r>
          </w:p>
        </w:tc>
      </w:tr>
      <w:tr>
        <w:tc>
          <w:tcPr>
            <w:shd w:val="clear" w:color="auto" w:fill="F5F7FB"/>
          </w:tcPr>
          <w:p>
            <w:pPr>
              <w:pStyle w:val="Compact"/>
            </w:pPr>
            <w:r>
              <w:rPr>
                <w:sz w:val="17"/>
              </w:rPr>
              <w:t xml:space="preserve">R08</w:t>
            </w:r>
          </w:p>
        </w:tc>
        <w:tc>
          <w:tcPr>
            <w:shd w:val="clear" w:color="auto" w:fill="F5F7FB"/>
          </w:tcPr>
          <w:p>
            <w:pPr>
              <w:pStyle w:val="Compact"/>
            </w:pPr>
            <w:r>
              <w:rPr>
                <w:b/>
                <w:bCs/>
                <w:sz w:val="17"/>
              </w:rPr>
              <w:t xml:space="preserve">Administrateur d’entité</w:t>
            </w:r>
          </w:p>
        </w:tc>
        <w:tc>
          <w:tcPr>
            <w:shd w:val="clear" w:color="auto" w:fill="F5F7FB"/>
          </w:tcPr>
          <w:p>
            <w:pPr>
              <w:pStyle w:val="Compact"/>
            </w:pPr>
            <w:r>
              <w:rPr>
                <w:sz w:val="17"/>
              </w:rPr>
              <w:t xml:space="preserve">Gestion des agents, affectations et workflows approuvés de son entité</w:t>
            </w:r>
          </w:p>
        </w:tc>
        <w:tc>
          <w:tcPr>
            <w:shd w:val="clear" w:color="auto" w:fill="F5F7FB"/>
          </w:tcPr>
          <w:p>
            <w:pPr>
              <w:pStyle w:val="Compact"/>
            </w:pPr>
            <w:r>
              <w:rPr>
                <w:sz w:val="17"/>
              </w:rPr>
              <w:t xml:space="preserve">Personnes et configurations de son entité ;</w:t>
            </w:r>
            <w:r>
              <w:rPr>
                <w:sz w:val="17"/>
              </w:rPr>
              <w:t xml:space="preserve"> </w:t>
            </w:r>
            <w:r>
              <w:rPr>
                <w:b/>
                <w:bCs/>
                <w:sz w:val="17"/>
              </w:rPr>
              <w:t xml:space="preserve">aucun accès aux montants</w:t>
            </w:r>
          </w:p>
        </w:tc>
      </w:tr>
      <w:tr>
        <w:tc>
          <w:tcPr/>
          <w:p>
            <w:pPr>
              <w:pStyle w:val="Compact"/>
            </w:pPr>
            <w:r>
              <w:rPr>
                <w:sz w:val="17"/>
              </w:rPr>
              <w:t xml:space="preserve">R09</w:t>
            </w:r>
          </w:p>
        </w:tc>
        <w:tc>
          <w:tcPr/>
          <w:p>
            <w:pPr>
              <w:pStyle w:val="Compact"/>
            </w:pPr>
            <w:r>
              <w:rPr>
                <w:b/>
                <w:bCs/>
                <w:sz w:val="17"/>
              </w:rPr>
              <w:t xml:space="preserve">Superviseur terrain</w:t>
            </w:r>
          </w:p>
        </w:tc>
        <w:tc>
          <w:tcPr/>
          <w:p>
            <w:pPr>
              <w:pStyle w:val="Compact"/>
            </w:pPr>
            <w:r>
              <w:rPr>
                <w:sz w:val="17"/>
              </w:rPr>
              <w:t xml:space="preserve">Planification et contrôle qualité des missions</w:t>
            </w:r>
          </w:p>
        </w:tc>
        <w:tc>
          <w:tcPr/>
          <w:p>
            <w:pPr>
              <w:pStyle w:val="Compact"/>
            </w:pPr>
            <w:r>
              <w:rPr>
                <w:sz w:val="17"/>
              </w:rPr>
              <w:t xml:space="preserve">Équipes et zones assignées</w:t>
            </w:r>
          </w:p>
        </w:tc>
      </w:tr>
      <w:tr>
        <w:tc>
          <w:tcPr>
            <w:shd w:val="clear" w:color="auto" w:fill="F5F7FB"/>
          </w:tcPr>
          <w:p>
            <w:pPr>
              <w:pStyle w:val="Compact"/>
            </w:pPr>
            <w:r>
              <w:rPr>
                <w:sz w:val="17"/>
              </w:rPr>
              <w:t xml:space="preserve">R10</w:t>
            </w:r>
          </w:p>
        </w:tc>
        <w:tc>
          <w:tcPr>
            <w:shd w:val="clear" w:color="auto" w:fill="F5F7FB"/>
          </w:tcPr>
          <w:p>
            <w:pPr>
              <w:pStyle w:val="Compact"/>
            </w:pPr>
            <w:r>
              <w:rPr>
                <w:b/>
                <w:bCs/>
                <w:sz w:val="17"/>
              </w:rPr>
              <w:t xml:space="preserve">Agent de terrain / recenseur</w:t>
            </w:r>
          </w:p>
        </w:tc>
        <w:tc>
          <w:tcPr>
            <w:shd w:val="clear" w:color="auto" w:fill="F5F7FB"/>
          </w:tcPr>
          <w:p>
            <w:pPr>
              <w:pStyle w:val="Compact"/>
            </w:pPr>
            <w:r>
              <w:rPr>
                <w:sz w:val="17"/>
              </w:rPr>
              <w:t xml:space="preserve">Recensement, constat, notification</w:t>
            </w:r>
          </w:p>
        </w:tc>
        <w:tc>
          <w:tcPr>
            <w:shd w:val="clear" w:color="auto" w:fill="F5F7FB"/>
          </w:tcPr>
          <w:p>
            <w:pPr>
              <w:pStyle w:val="Compact"/>
            </w:pPr>
            <w:r>
              <w:rPr>
                <w:sz w:val="17"/>
              </w:rPr>
              <w:t xml:space="preserve">Missions assignées ; données minimales</w:t>
            </w:r>
          </w:p>
        </w:tc>
      </w:tr>
      <w:tr>
        <w:tc>
          <w:tcPr/>
          <w:p>
            <w:pPr>
              <w:pStyle w:val="Compact"/>
            </w:pPr>
            <w:r>
              <w:rPr>
                <w:sz w:val="17"/>
              </w:rPr>
              <w:t xml:space="preserve">R11</w:t>
            </w:r>
          </w:p>
        </w:tc>
        <w:tc>
          <w:tcPr/>
          <w:p>
            <w:pPr>
              <w:pStyle w:val="Compact"/>
            </w:pPr>
            <w:r>
              <w:rPr>
                <w:b/>
                <w:bCs/>
                <w:sz w:val="17"/>
              </w:rPr>
              <w:t xml:space="preserve">Contrôleur / vérificateur</w:t>
            </w:r>
          </w:p>
        </w:tc>
        <w:tc>
          <w:tcPr/>
          <w:p>
            <w:pPr>
              <w:pStyle w:val="Compact"/>
            </w:pPr>
            <w:r>
              <w:rPr>
                <w:sz w:val="17"/>
              </w:rPr>
              <w:t xml:space="preserve">Contrôle sur pièces et sur place, proposition de rectification</w:t>
            </w:r>
          </w:p>
        </w:tc>
        <w:tc>
          <w:tcPr/>
          <w:p>
            <w:pPr>
              <w:pStyle w:val="Compact"/>
            </w:pPr>
            <w:r>
              <w:rPr>
                <w:sz w:val="17"/>
              </w:rPr>
              <w:t xml:space="preserve">Dossiers assignés</w:t>
            </w:r>
          </w:p>
        </w:tc>
      </w:tr>
      <w:tr>
        <w:tc>
          <w:tcPr>
            <w:shd w:val="clear" w:color="auto" w:fill="F5F7FB"/>
          </w:tcPr>
          <w:p>
            <w:pPr>
              <w:pStyle w:val="Compact"/>
            </w:pPr>
            <w:r>
              <w:rPr>
                <w:sz w:val="17"/>
              </w:rPr>
              <w:t xml:space="preserve">R12</w:t>
            </w:r>
          </w:p>
        </w:tc>
        <w:tc>
          <w:tcPr>
            <w:shd w:val="clear" w:color="auto" w:fill="F5F7FB"/>
          </w:tcPr>
          <w:p>
            <w:pPr>
              <w:pStyle w:val="Compact"/>
            </w:pPr>
            <w:r>
              <w:rPr>
                <w:b/>
                <w:bCs/>
                <w:sz w:val="17"/>
              </w:rPr>
              <w:t xml:space="preserve">Agent de guichet / enrôlement assisté</w:t>
            </w:r>
          </w:p>
        </w:tc>
        <w:tc>
          <w:tcPr>
            <w:shd w:val="clear" w:color="auto" w:fill="F5F7FB"/>
          </w:tcPr>
          <w:p>
            <w:pPr>
              <w:pStyle w:val="Compact"/>
            </w:pPr>
            <w:r>
              <w:rPr>
                <w:sz w:val="17"/>
              </w:rPr>
              <w:t xml:space="preserve">Enrôlement, assistance, remise de cartes</w:t>
            </w:r>
          </w:p>
        </w:tc>
        <w:tc>
          <w:tcPr>
            <w:shd w:val="clear" w:color="auto" w:fill="F5F7FB"/>
          </w:tcPr>
          <w:p>
            <w:pPr>
              <w:pStyle w:val="Compact"/>
            </w:pPr>
            <w:r>
              <w:rPr>
                <w:sz w:val="17"/>
              </w:rPr>
              <w:t xml:space="preserve">Guichet ; pas d’encaissement sauf point agréé</w:t>
            </w:r>
          </w:p>
        </w:tc>
      </w:tr>
      <w:tr>
        <w:tc>
          <w:tcPr/>
          <w:p>
            <w:pPr>
              <w:pStyle w:val="Compact"/>
            </w:pPr>
            <w:r>
              <w:rPr>
                <w:sz w:val="17"/>
              </w:rPr>
              <w:t xml:space="preserve">R13</w:t>
            </w:r>
          </w:p>
        </w:tc>
        <w:tc>
          <w:tcPr/>
          <w:p>
            <w:pPr>
              <w:pStyle w:val="Compact"/>
            </w:pPr>
            <w:r>
              <w:rPr>
                <w:b/>
                <w:bCs/>
                <w:sz w:val="17"/>
              </w:rPr>
              <w:t xml:space="preserve">Juriste rédacteur de règles</w:t>
            </w:r>
          </w:p>
        </w:tc>
        <w:tc>
          <w:tcPr/>
          <w:p>
            <w:pPr>
              <w:pStyle w:val="Compact"/>
            </w:pPr>
            <w:r>
              <w:rPr>
                <w:sz w:val="17"/>
              </w:rPr>
              <w:t xml:space="preserve">Rédaction des fiches de règles</w:t>
            </w:r>
          </w:p>
        </w:tc>
        <w:tc>
          <w:tcPr/>
          <w:p>
            <w:pPr>
              <w:pStyle w:val="Compact"/>
            </w:pPr>
            <w:r>
              <w:rPr>
                <w:sz w:val="17"/>
              </w:rPr>
              <w:t xml:space="preserve">Registre juridique, brouillons</w:t>
            </w:r>
          </w:p>
        </w:tc>
      </w:tr>
      <w:tr>
        <w:tc>
          <w:tcPr>
            <w:shd w:val="clear" w:color="auto" w:fill="F5F7FB"/>
          </w:tcPr>
          <w:p>
            <w:pPr>
              <w:pStyle w:val="Compact"/>
            </w:pPr>
            <w:r>
              <w:rPr>
                <w:sz w:val="17"/>
              </w:rPr>
              <w:t xml:space="preserve">R14</w:t>
            </w:r>
          </w:p>
        </w:tc>
        <w:tc>
          <w:tcPr>
            <w:shd w:val="clear" w:color="auto" w:fill="F5F7FB"/>
          </w:tcPr>
          <w:p>
            <w:pPr>
              <w:pStyle w:val="Compact"/>
            </w:pPr>
            <w:r>
              <w:rPr>
                <w:b/>
                <w:bCs/>
                <w:sz w:val="17"/>
              </w:rPr>
              <w:t xml:space="preserve">Juriste vérificateur</w:t>
            </w:r>
          </w:p>
        </w:tc>
        <w:tc>
          <w:tcPr>
            <w:shd w:val="clear" w:color="auto" w:fill="F5F7FB"/>
          </w:tcPr>
          <w:p>
            <w:pPr>
              <w:pStyle w:val="Compact"/>
            </w:pPr>
            <w:r>
              <w:rPr>
                <w:sz w:val="17"/>
              </w:rPr>
              <w:t xml:space="preserve">Visa juridique</w:t>
            </w:r>
          </w:p>
        </w:tc>
        <w:tc>
          <w:tcPr>
            <w:shd w:val="clear" w:color="auto" w:fill="F5F7FB"/>
          </w:tcPr>
          <w:p>
            <w:pPr>
              <w:pStyle w:val="Compact"/>
            </w:pPr>
            <w:r>
              <w:rPr>
                <w:sz w:val="17"/>
              </w:rPr>
              <w:t xml:space="preserve">Registre juridique</w:t>
            </w:r>
          </w:p>
        </w:tc>
      </w:tr>
      <w:tr>
        <w:tc>
          <w:tcPr/>
          <w:p>
            <w:pPr>
              <w:pStyle w:val="Compact"/>
            </w:pPr>
            <w:r>
              <w:rPr>
                <w:sz w:val="17"/>
              </w:rPr>
              <w:t xml:space="preserve">R15</w:t>
            </w:r>
          </w:p>
        </w:tc>
        <w:tc>
          <w:tcPr/>
          <w:p>
            <w:pPr>
              <w:pStyle w:val="Compact"/>
            </w:pPr>
            <w:r>
              <w:rPr>
                <w:b/>
                <w:bCs/>
                <w:sz w:val="17"/>
              </w:rPr>
              <w:t xml:space="preserve">Validateur financier des règles</w:t>
            </w:r>
          </w:p>
        </w:tc>
        <w:tc>
          <w:tcPr/>
          <w:p>
            <w:pPr>
              <w:pStyle w:val="Compact"/>
            </w:pPr>
            <w:r>
              <w:rPr>
                <w:sz w:val="17"/>
              </w:rPr>
              <w:t xml:space="preserve">Visa financier et budgétaire</w:t>
            </w:r>
          </w:p>
        </w:tc>
        <w:tc>
          <w:tcPr/>
          <w:p>
            <w:pPr>
              <w:pStyle w:val="Compact"/>
            </w:pPr>
            <w:r>
              <w:rPr>
                <w:sz w:val="17"/>
              </w:rPr>
              <w:t xml:space="preserve">Registre juridique</w:t>
            </w:r>
          </w:p>
        </w:tc>
      </w:tr>
      <w:tr>
        <w:tc>
          <w:tcPr>
            <w:shd w:val="clear" w:color="auto" w:fill="F5F7FB"/>
          </w:tcPr>
          <w:p>
            <w:pPr>
              <w:pStyle w:val="Compact"/>
            </w:pPr>
            <w:r>
              <w:rPr>
                <w:sz w:val="17"/>
              </w:rPr>
              <w:t xml:space="preserve">R16</w:t>
            </w:r>
          </w:p>
        </w:tc>
        <w:tc>
          <w:tcPr>
            <w:shd w:val="clear" w:color="auto" w:fill="F5F7FB"/>
          </w:tcPr>
          <w:p>
            <w:pPr>
              <w:pStyle w:val="Compact"/>
            </w:pPr>
            <w:r>
              <w:rPr>
                <w:b/>
                <w:bCs/>
                <w:sz w:val="17"/>
              </w:rPr>
              <w:t xml:space="preserve">Autorité de publication</w:t>
            </w:r>
          </w:p>
        </w:tc>
        <w:tc>
          <w:tcPr>
            <w:shd w:val="clear" w:color="auto" w:fill="F5F7FB"/>
          </w:tcPr>
          <w:p>
            <w:pPr>
              <w:pStyle w:val="Compact"/>
            </w:pPr>
            <w:r>
              <w:rPr>
                <w:sz w:val="17"/>
              </w:rPr>
              <w:t xml:space="preserve">Publication d’une règle approuvée</w:t>
            </w:r>
          </w:p>
        </w:tc>
        <w:tc>
          <w:tcPr>
            <w:shd w:val="clear" w:color="auto" w:fill="F5F7FB"/>
          </w:tcPr>
          <w:p>
            <w:pPr>
              <w:pStyle w:val="Compact"/>
            </w:pPr>
            <w:r>
              <w:rPr>
                <w:sz w:val="17"/>
              </w:rPr>
              <w:t xml:space="preserve">Registre juridique</w:t>
            </w:r>
          </w:p>
        </w:tc>
      </w:tr>
      <w:tr>
        <w:tc>
          <w:tcPr/>
          <w:p>
            <w:pPr>
              <w:pStyle w:val="Compact"/>
            </w:pPr>
            <w:r>
              <w:rPr>
                <w:sz w:val="17"/>
              </w:rPr>
              <w:t xml:space="preserve">R17</w:t>
            </w:r>
          </w:p>
        </w:tc>
        <w:tc>
          <w:tcPr/>
          <w:p>
            <w:pPr>
              <w:pStyle w:val="Compact"/>
            </w:pPr>
            <w:r>
              <w:rPr>
                <w:b/>
                <w:bCs/>
                <w:sz w:val="17"/>
              </w:rPr>
              <w:t xml:space="preserve">Comptable public / Trésor</w:t>
            </w:r>
          </w:p>
        </w:tc>
        <w:tc>
          <w:tcPr/>
          <w:p>
            <w:pPr>
              <w:pStyle w:val="Compact"/>
            </w:pPr>
            <w:r>
              <w:rPr>
                <w:sz w:val="17"/>
              </w:rPr>
              <w:t xml:space="preserve">Prise en charge, règlement, rapprochement, écritures</w:t>
            </w:r>
          </w:p>
        </w:tc>
        <w:tc>
          <w:tcPr/>
          <w:p>
            <w:pPr>
              <w:pStyle w:val="Compact"/>
            </w:pPr>
            <w:r>
              <w:rPr>
                <w:sz w:val="17"/>
              </w:rPr>
              <w:t xml:space="preserve">Paiements, relevés, grand livre ;</w:t>
            </w:r>
            <w:r>
              <w:rPr>
                <w:sz w:val="17"/>
              </w:rPr>
              <w:t xml:space="preserve"> </w:t>
            </w:r>
            <w:r>
              <w:rPr>
                <w:b/>
                <w:bCs/>
                <w:sz w:val="17"/>
              </w:rPr>
              <w:t xml:space="preserve">ne crée aucune obligation</w:t>
            </w:r>
          </w:p>
        </w:tc>
      </w:tr>
      <w:tr>
        <w:tc>
          <w:tcPr>
            <w:shd w:val="clear" w:color="auto" w:fill="F5F7FB"/>
          </w:tcPr>
          <w:p>
            <w:pPr>
              <w:pStyle w:val="Compact"/>
            </w:pPr>
            <w:r>
              <w:rPr>
                <w:sz w:val="17"/>
              </w:rPr>
              <w:t xml:space="preserve">R18</w:t>
            </w:r>
          </w:p>
        </w:tc>
        <w:tc>
          <w:tcPr>
            <w:shd w:val="clear" w:color="auto" w:fill="F5F7FB"/>
          </w:tcPr>
          <w:p>
            <w:pPr>
              <w:pStyle w:val="Compact"/>
            </w:pPr>
            <w:r>
              <w:rPr>
                <w:b/>
                <w:bCs/>
                <w:sz w:val="17"/>
              </w:rPr>
              <w:t xml:space="preserve">Analyste de rapprochement</w:t>
            </w:r>
          </w:p>
        </w:tc>
        <w:tc>
          <w:tcPr>
            <w:shd w:val="clear" w:color="auto" w:fill="F5F7FB"/>
          </w:tcPr>
          <w:p>
            <w:pPr>
              <w:pStyle w:val="Compact"/>
            </w:pPr>
            <w:r>
              <w:rPr>
                <w:sz w:val="17"/>
              </w:rPr>
              <w:t xml:space="preserve">Traitement des exceptions de rapprochement</w:t>
            </w:r>
          </w:p>
        </w:tc>
        <w:tc>
          <w:tcPr>
            <w:shd w:val="clear" w:color="auto" w:fill="F5F7FB"/>
          </w:tcPr>
          <w:p>
            <w:pPr>
              <w:pStyle w:val="Compact"/>
            </w:pPr>
            <w:r>
              <w:rPr>
                <w:sz w:val="17"/>
              </w:rPr>
              <w:t xml:space="preserve">Files d’exception</w:t>
            </w:r>
          </w:p>
        </w:tc>
      </w:tr>
      <w:tr>
        <w:tc>
          <w:tcPr/>
          <w:p>
            <w:pPr>
              <w:pStyle w:val="Compact"/>
            </w:pPr>
            <w:r>
              <w:rPr>
                <w:sz w:val="17"/>
              </w:rPr>
              <w:t xml:space="preserve">R19</w:t>
            </w:r>
          </w:p>
        </w:tc>
        <w:tc>
          <w:tcPr/>
          <w:p>
            <w:pPr>
              <w:pStyle w:val="Compact"/>
            </w:pPr>
            <w:r>
              <w:rPr>
                <w:b/>
                <w:bCs/>
                <w:sz w:val="17"/>
              </w:rPr>
              <w:t xml:space="preserve">Gestionnaire du coffre des bénéficiaires</w:t>
            </w:r>
            <w:r>
              <w:rPr>
                <w:sz w:val="17"/>
              </w:rPr>
              <w:t xml:space="preserve"> </w:t>
            </w:r>
            <w:r>
              <w:rPr>
                <w:sz w:val="17"/>
              </w:rPr>
              <w:t xml:space="preserve">(×3 minimum)</w:t>
            </w:r>
          </w:p>
        </w:tc>
        <w:tc>
          <w:tcPr/>
          <w:p>
            <w:pPr>
              <w:pStyle w:val="Compact"/>
            </w:pPr>
            <w:r>
              <w:rPr>
                <w:sz w:val="17"/>
              </w:rPr>
              <w:t xml:space="preserve">Proposition et approbation des changements de comptes publics</w:t>
            </w:r>
          </w:p>
        </w:tc>
        <w:tc>
          <w:tcPr/>
          <w:p>
            <w:pPr>
              <w:pStyle w:val="Compact"/>
            </w:pPr>
            <w:r>
              <w:rPr>
                <w:sz w:val="17"/>
              </w:rPr>
              <w:t xml:space="preserve">Coffre ; quorum obligatoire</w:t>
            </w:r>
          </w:p>
        </w:tc>
      </w:tr>
      <w:tr>
        <w:tc>
          <w:tcPr>
            <w:shd w:val="clear" w:color="auto" w:fill="F5F7FB"/>
          </w:tcPr>
          <w:p>
            <w:pPr>
              <w:pStyle w:val="Compact"/>
            </w:pPr>
            <w:r>
              <w:rPr>
                <w:sz w:val="17"/>
              </w:rPr>
              <w:t xml:space="preserve">R20</w:t>
            </w:r>
          </w:p>
        </w:tc>
        <w:tc>
          <w:tcPr>
            <w:shd w:val="clear" w:color="auto" w:fill="F5F7FB"/>
          </w:tcPr>
          <w:p>
            <w:pPr>
              <w:pStyle w:val="Compact"/>
            </w:pPr>
            <w:r>
              <w:rPr>
                <w:b/>
                <w:bCs/>
                <w:sz w:val="17"/>
              </w:rPr>
              <w:t xml:space="preserve">Agent de contentieux</w:t>
            </w:r>
          </w:p>
        </w:tc>
        <w:tc>
          <w:tcPr>
            <w:shd w:val="clear" w:color="auto" w:fill="F5F7FB"/>
          </w:tcPr>
          <w:p>
            <w:pPr>
              <w:pStyle w:val="Compact"/>
            </w:pPr>
            <w:r>
              <w:rPr>
                <w:sz w:val="17"/>
              </w:rPr>
              <w:t xml:space="preserve">Instruction des réclamations et recours</w:t>
            </w:r>
          </w:p>
        </w:tc>
        <w:tc>
          <w:tcPr>
            <w:shd w:val="clear" w:color="auto" w:fill="F5F7FB"/>
          </w:tcPr>
          <w:p>
            <w:pPr>
              <w:pStyle w:val="Compact"/>
            </w:pPr>
            <w:r>
              <w:rPr>
                <w:sz w:val="17"/>
              </w:rPr>
              <w:t xml:space="preserve">Dossiers assignés</w:t>
            </w:r>
          </w:p>
        </w:tc>
      </w:tr>
      <w:tr>
        <w:tc>
          <w:tcPr/>
          <w:p>
            <w:pPr>
              <w:pStyle w:val="Compact"/>
            </w:pPr>
            <w:r>
              <w:rPr>
                <w:sz w:val="17"/>
              </w:rPr>
              <w:t xml:space="preserve">R21</w:t>
            </w:r>
          </w:p>
        </w:tc>
        <w:tc>
          <w:tcPr/>
          <w:p>
            <w:pPr>
              <w:pStyle w:val="Compact"/>
            </w:pPr>
            <w:r>
              <w:rPr>
                <w:b/>
                <w:bCs/>
                <w:sz w:val="17"/>
              </w:rPr>
              <w:t xml:space="preserve">Autorité de décision contentieuse</w:t>
            </w:r>
          </w:p>
        </w:tc>
        <w:tc>
          <w:tcPr/>
          <w:p>
            <w:pPr>
              <w:pStyle w:val="Compact"/>
            </w:pPr>
            <w:r>
              <w:rPr>
                <w:sz w:val="17"/>
              </w:rPr>
              <w:t xml:space="preserve">Décision sur réclamation</w:t>
            </w:r>
          </w:p>
        </w:tc>
        <w:tc>
          <w:tcPr/>
          <w:p>
            <w:pPr>
              <w:pStyle w:val="Compact"/>
            </w:pPr>
            <w:r>
              <w:rPr>
                <w:sz w:val="17"/>
              </w:rPr>
              <w:t xml:space="preserve">Dossiers instruits</w:t>
            </w:r>
          </w:p>
        </w:tc>
      </w:tr>
      <w:tr>
        <w:tc>
          <w:tcPr>
            <w:shd w:val="clear" w:color="auto" w:fill="F5F7FB"/>
          </w:tcPr>
          <w:p>
            <w:pPr>
              <w:pStyle w:val="Compact"/>
            </w:pPr>
            <w:r>
              <w:rPr>
                <w:sz w:val="17"/>
              </w:rPr>
              <w:t xml:space="preserve">R22</w:t>
            </w:r>
          </w:p>
        </w:tc>
        <w:tc>
          <w:tcPr>
            <w:shd w:val="clear" w:color="auto" w:fill="F5F7FB"/>
          </w:tcPr>
          <w:p>
            <w:pPr>
              <w:pStyle w:val="Compact"/>
            </w:pPr>
            <w:r>
              <w:rPr>
                <w:b/>
                <w:bCs/>
                <w:sz w:val="17"/>
              </w:rPr>
              <w:t xml:space="preserve">Auditeur interne</w:t>
            </w:r>
          </w:p>
        </w:tc>
        <w:tc>
          <w:tcPr>
            <w:shd w:val="clear" w:color="auto" w:fill="F5F7FB"/>
          </w:tcPr>
          <w:p>
            <w:pPr>
              <w:pStyle w:val="Compact"/>
            </w:pPr>
            <w:r>
              <w:rPr>
                <w:sz w:val="17"/>
              </w:rPr>
              <w:t xml:space="preserve">Audit, lecture intégrale des preuves</w:t>
            </w:r>
          </w:p>
        </w:tc>
        <w:tc>
          <w:tcPr>
            <w:shd w:val="clear" w:color="auto" w:fill="F5F7FB"/>
          </w:tcPr>
          <w:p>
            <w:pPr>
              <w:pStyle w:val="Compact"/>
            </w:pPr>
            <w:r>
              <w:rPr>
                <w:sz w:val="17"/>
              </w:rPr>
              <w:t xml:space="preserve">Lecture seule, tout périmètre, journal des consultations</w:t>
            </w:r>
          </w:p>
        </w:tc>
      </w:tr>
      <w:tr>
        <w:tc>
          <w:tcPr/>
          <w:p>
            <w:pPr>
              <w:pStyle w:val="Compact"/>
            </w:pPr>
            <w:r>
              <w:rPr>
                <w:sz w:val="17"/>
              </w:rPr>
              <w:t xml:space="preserve">R23</w:t>
            </w:r>
          </w:p>
        </w:tc>
        <w:tc>
          <w:tcPr/>
          <w:p>
            <w:pPr>
              <w:pStyle w:val="Compact"/>
            </w:pPr>
            <w:r>
              <w:rPr>
                <w:b/>
                <w:bCs/>
                <w:sz w:val="17"/>
              </w:rPr>
              <w:t xml:space="preserve">Auditeur externe / Cour des comptes / inspection</w:t>
            </w:r>
          </w:p>
        </w:tc>
        <w:tc>
          <w:tcPr/>
          <w:p>
            <w:pPr>
              <w:pStyle w:val="Compact"/>
            </w:pPr>
            <w:r>
              <w:rPr>
                <w:sz w:val="17"/>
              </w:rPr>
              <w:t xml:space="preserve">Contrôle externe</w:t>
            </w:r>
          </w:p>
        </w:tc>
        <w:tc>
          <w:tcPr/>
          <w:p>
            <w:pPr>
              <w:pStyle w:val="Compact"/>
            </w:pPr>
            <w:r>
              <w:rPr>
                <w:sz w:val="17"/>
              </w:rPr>
              <w:t xml:space="preserve">Accès contrôlé, lecture seule, par mission</w:t>
            </w:r>
          </w:p>
        </w:tc>
      </w:tr>
      <w:tr>
        <w:tc>
          <w:tcPr>
            <w:shd w:val="clear" w:color="auto" w:fill="F5F7FB"/>
          </w:tcPr>
          <w:p>
            <w:pPr>
              <w:pStyle w:val="Compact"/>
            </w:pPr>
            <w:r>
              <w:rPr>
                <w:sz w:val="17"/>
              </w:rPr>
              <w:t xml:space="preserve">R24</w:t>
            </w:r>
          </w:p>
        </w:tc>
        <w:tc>
          <w:tcPr>
            <w:shd w:val="clear" w:color="auto" w:fill="F5F7FB"/>
          </w:tcPr>
          <w:p>
            <w:pPr>
              <w:pStyle w:val="Compact"/>
            </w:pPr>
            <w:r>
              <w:rPr>
                <w:b/>
                <w:bCs/>
                <w:sz w:val="17"/>
              </w:rPr>
              <w:t xml:space="preserve">Enquêteur anti-fraude</w:t>
            </w:r>
          </w:p>
        </w:tc>
        <w:tc>
          <w:tcPr>
            <w:shd w:val="clear" w:color="auto" w:fill="F5F7FB"/>
          </w:tcPr>
          <w:p>
            <w:pPr>
              <w:pStyle w:val="Compact"/>
            </w:pPr>
            <w:r>
              <w:rPr>
                <w:sz w:val="17"/>
              </w:rPr>
              <w:t xml:space="preserve">Instruction des alertes</w:t>
            </w:r>
          </w:p>
        </w:tc>
        <w:tc>
          <w:tcPr>
            <w:shd w:val="clear" w:color="auto" w:fill="F5F7FB"/>
          </w:tcPr>
          <w:p>
            <w:pPr>
              <w:pStyle w:val="Compact"/>
            </w:pPr>
            <w:r>
              <w:rPr>
                <w:sz w:val="17"/>
              </w:rPr>
              <w:t xml:space="preserve">Dossiers d’enquête ; accès nominatif motivé</w:t>
            </w:r>
          </w:p>
        </w:tc>
      </w:tr>
      <w:tr>
        <w:tc>
          <w:tcPr/>
          <w:p>
            <w:pPr>
              <w:pStyle w:val="Compact"/>
            </w:pPr>
            <w:r>
              <w:rPr>
                <w:sz w:val="17"/>
              </w:rPr>
              <w:t xml:space="preserve">R25</w:t>
            </w:r>
          </w:p>
        </w:tc>
        <w:tc>
          <w:tcPr/>
          <w:p>
            <w:pPr>
              <w:pStyle w:val="Compact"/>
            </w:pPr>
            <w:r>
              <w:rPr>
                <w:b/>
                <w:bCs/>
                <w:sz w:val="17"/>
              </w:rPr>
              <w:t xml:space="preserve">Délégué à la protection des données</w:t>
            </w:r>
          </w:p>
        </w:tc>
        <w:tc>
          <w:tcPr/>
          <w:p>
            <w:pPr>
              <w:pStyle w:val="Compact"/>
            </w:pPr>
            <w:r>
              <w:rPr>
                <w:sz w:val="17"/>
              </w:rPr>
              <w:t xml:space="preserve">Conformité, droits des personnes</w:t>
            </w:r>
          </w:p>
        </w:tc>
        <w:tc>
          <w:tcPr/>
          <w:p>
            <w:pPr>
              <w:pStyle w:val="Compact"/>
            </w:pPr>
            <w:r>
              <w:rPr>
                <w:sz w:val="17"/>
              </w:rPr>
              <w:t xml:space="preserve">Registre des traitements, journaux d’accès</w:t>
            </w:r>
          </w:p>
        </w:tc>
      </w:tr>
      <w:tr>
        <w:tc>
          <w:tcPr>
            <w:shd w:val="clear" w:color="auto" w:fill="F5F7FB"/>
          </w:tcPr>
          <w:p>
            <w:pPr>
              <w:pStyle w:val="Compact"/>
            </w:pPr>
            <w:r>
              <w:rPr>
                <w:sz w:val="17"/>
              </w:rPr>
              <w:t xml:space="preserve">R26</w:t>
            </w:r>
          </w:p>
        </w:tc>
        <w:tc>
          <w:tcPr>
            <w:shd w:val="clear" w:color="auto" w:fill="F5F7FB"/>
          </w:tcPr>
          <w:p>
            <w:pPr>
              <w:pStyle w:val="Compact"/>
            </w:pPr>
            <w:r>
              <w:rPr>
                <w:b/>
                <w:bCs/>
                <w:sz w:val="17"/>
              </w:rPr>
              <w:t xml:space="preserve">Super-administrateur de la plateforme</w:t>
            </w:r>
          </w:p>
        </w:tc>
        <w:tc>
          <w:tcPr>
            <w:shd w:val="clear" w:color="auto" w:fill="F5F7FB"/>
          </w:tcPr>
          <w:p>
            <w:pPr>
              <w:pStyle w:val="Compact"/>
            </w:pPr>
            <w:r>
              <w:rPr>
                <w:sz w:val="17"/>
              </w:rPr>
              <w:t xml:space="preserve">Configuration technique, disponibilité, sécurité, versions, identité</w:t>
            </w:r>
          </w:p>
        </w:tc>
        <w:tc>
          <w:tcPr>
            <w:shd w:val="clear" w:color="auto" w:fill="F5F7FB"/>
          </w:tcPr>
          <w:p>
            <w:pPr>
              <w:pStyle w:val="Compact"/>
            </w:pPr>
            <w:r>
              <w:rPr>
                <w:sz w:val="17"/>
              </w:rPr>
              <w:t xml:space="preserve">Technique ;</w:t>
            </w:r>
            <w:r>
              <w:rPr>
                <w:sz w:val="17"/>
              </w:rPr>
              <w:t xml:space="preserve"> </w:t>
            </w:r>
            <w:r>
              <w:rPr>
                <w:b/>
                <w:bCs/>
                <w:sz w:val="17"/>
              </w:rPr>
              <w:t xml:space="preserve">aucun pouvoir financier</w:t>
            </w:r>
          </w:p>
        </w:tc>
      </w:tr>
      <w:tr>
        <w:tc>
          <w:tcPr/>
          <w:p>
            <w:pPr>
              <w:pStyle w:val="Compact"/>
            </w:pPr>
            <w:r>
              <w:rPr>
                <w:sz w:val="17"/>
              </w:rPr>
              <w:t xml:space="preserve">R27</w:t>
            </w:r>
          </w:p>
        </w:tc>
        <w:tc>
          <w:tcPr/>
          <w:p>
            <w:pPr>
              <w:pStyle w:val="Compact"/>
            </w:pPr>
            <w:r>
              <w:rPr>
                <w:b/>
                <w:bCs/>
                <w:sz w:val="17"/>
              </w:rPr>
              <w:t xml:space="preserve">Ingénieur d’exploitation / support</w:t>
            </w:r>
          </w:p>
        </w:tc>
        <w:tc>
          <w:tcPr/>
          <w:p>
            <w:pPr>
              <w:pStyle w:val="Compact"/>
            </w:pPr>
            <w:r>
              <w:rPr>
                <w:sz w:val="17"/>
              </w:rPr>
              <w:t xml:space="preserve">Exploitation, incidents</w:t>
            </w:r>
          </w:p>
        </w:tc>
        <w:tc>
          <w:tcPr/>
          <w:p>
            <w:pPr>
              <w:pStyle w:val="Compact"/>
            </w:pPr>
            <w:r>
              <w:rPr>
                <w:sz w:val="17"/>
              </w:rPr>
              <w:t xml:space="preserve">Technique ; données masquées ; accès JIT</w:t>
            </w:r>
          </w:p>
        </w:tc>
      </w:tr>
      <w:tr>
        <w:tc>
          <w:tcPr>
            <w:shd w:val="clear" w:color="auto" w:fill="F5F7FB"/>
          </w:tcPr>
          <w:p>
            <w:pPr>
              <w:pStyle w:val="Compact"/>
            </w:pPr>
            <w:r>
              <w:rPr>
                <w:sz w:val="17"/>
              </w:rPr>
              <w:t xml:space="preserve">R28</w:t>
            </w:r>
          </w:p>
        </w:tc>
        <w:tc>
          <w:tcPr>
            <w:shd w:val="clear" w:color="auto" w:fill="F5F7FB"/>
          </w:tcPr>
          <w:p>
            <w:pPr>
              <w:pStyle w:val="Compact"/>
            </w:pPr>
            <w:r>
              <w:rPr>
                <w:b/>
                <w:bCs/>
                <w:sz w:val="17"/>
              </w:rPr>
              <w:t xml:space="preserve">Responsable sécurité (RSSI)</w:t>
            </w:r>
          </w:p>
        </w:tc>
        <w:tc>
          <w:tcPr>
            <w:shd w:val="clear" w:color="auto" w:fill="F5F7FB"/>
          </w:tcPr>
          <w:p>
            <w:pPr>
              <w:pStyle w:val="Compact"/>
            </w:pPr>
            <w:r>
              <w:rPr>
                <w:sz w:val="17"/>
              </w:rPr>
              <w:t xml:space="preserve">Politique de sécurité, SIEM, incidents</w:t>
            </w:r>
          </w:p>
        </w:tc>
        <w:tc>
          <w:tcPr>
            <w:shd w:val="clear" w:color="auto" w:fill="F5F7FB"/>
          </w:tcPr>
          <w:p>
            <w:pPr>
              <w:pStyle w:val="Compact"/>
            </w:pPr>
            <w:r>
              <w:rPr>
                <w:sz w:val="17"/>
              </w:rPr>
              <w:t xml:space="preserve">Journaux de sécurité</w:t>
            </w:r>
          </w:p>
        </w:tc>
      </w:tr>
      <w:tr>
        <w:tc>
          <w:tcPr/>
          <w:p>
            <w:pPr>
              <w:pStyle w:val="Compact"/>
            </w:pPr>
            <w:r>
              <w:rPr>
                <w:sz w:val="17"/>
              </w:rPr>
              <w:t xml:space="preserve">R29</w:t>
            </w:r>
          </w:p>
        </w:tc>
        <w:tc>
          <w:tcPr/>
          <w:p>
            <w:pPr>
              <w:pStyle w:val="Compact"/>
            </w:pPr>
            <w:r>
              <w:rPr>
                <w:b/>
                <w:bCs/>
                <w:sz w:val="17"/>
              </w:rPr>
              <w:t xml:space="preserve">Gestionnaire des modèles d’IA</w:t>
            </w:r>
          </w:p>
        </w:tc>
        <w:tc>
          <w:tcPr/>
          <w:p>
            <w:pPr>
              <w:pStyle w:val="Compact"/>
            </w:pPr>
            <w:r>
              <w:rPr>
                <w:sz w:val="17"/>
              </w:rPr>
              <w:t xml:space="preserve">Versions, validation, surveillance</w:t>
            </w:r>
          </w:p>
        </w:tc>
        <w:tc>
          <w:tcPr/>
          <w:p>
            <w:pPr>
              <w:pStyle w:val="Compact"/>
            </w:pPr>
            <w:r>
              <w:rPr>
                <w:sz w:val="17"/>
              </w:rPr>
              <w:t xml:space="preserve">Registre des modèles ; données d’entraînement approuvées</w:t>
            </w:r>
          </w:p>
        </w:tc>
      </w:tr>
      <w:tr>
        <w:tc>
          <w:tcPr>
            <w:shd w:val="clear" w:color="auto" w:fill="F5F7FB"/>
          </w:tcPr>
          <w:p>
            <w:pPr>
              <w:pStyle w:val="Compact"/>
            </w:pPr>
            <w:r>
              <w:rPr>
                <w:sz w:val="17"/>
              </w:rPr>
              <w:t xml:space="preserve">R30</w:t>
            </w:r>
          </w:p>
        </w:tc>
        <w:tc>
          <w:tcPr>
            <w:shd w:val="clear" w:color="auto" w:fill="F5F7FB"/>
          </w:tcPr>
          <w:p>
            <w:pPr>
              <w:pStyle w:val="Compact"/>
            </w:pPr>
            <w:r>
              <w:rPr>
                <w:b/>
                <w:bCs/>
                <w:sz w:val="17"/>
              </w:rPr>
              <w:t xml:space="preserve">Contribuable</w:t>
            </w:r>
          </w:p>
        </w:tc>
        <w:tc>
          <w:tcPr>
            <w:shd w:val="clear" w:color="auto" w:fill="F5F7FB"/>
          </w:tcPr>
          <w:p>
            <w:pPr>
              <w:pStyle w:val="Compact"/>
            </w:pPr>
            <w:r>
              <w:rPr>
                <w:sz w:val="17"/>
              </w:rPr>
              <w:t xml:space="preserve">Ses données, ses objets, ses obligations</w:t>
            </w:r>
          </w:p>
        </w:tc>
        <w:tc>
          <w:tcPr>
            <w:shd w:val="clear" w:color="auto" w:fill="F5F7FB"/>
          </w:tcPr>
          <w:p>
            <w:pPr>
              <w:pStyle w:val="Compact"/>
            </w:pPr>
            <w:r>
              <w:rPr>
                <w:sz w:val="17"/>
              </w:rPr>
              <w:t xml:space="preserve">Son compte</w:t>
            </w:r>
          </w:p>
        </w:tc>
      </w:tr>
      <w:tr>
        <w:tc>
          <w:tcPr/>
          <w:p>
            <w:pPr>
              <w:pStyle w:val="Compact"/>
            </w:pPr>
            <w:r>
              <w:rPr>
                <w:sz w:val="17"/>
              </w:rPr>
              <w:t xml:space="preserve">R31</w:t>
            </w:r>
          </w:p>
        </w:tc>
        <w:tc>
          <w:tcPr/>
          <w:p>
            <w:pPr>
              <w:pStyle w:val="Compact"/>
            </w:pPr>
            <w:r>
              <w:rPr>
                <w:b/>
                <w:bCs/>
                <w:sz w:val="17"/>
              </w:rPr>
              <w:t xml:space="preserve">Mandataire</w:t>
            </w:r>
          </w:p>
        </w:tc>
        <w:tc>
          <w:tcPr/>
          <w:p>
            <w:pPr>
              <w:pStyle w:val="Compact"/>
            </w:pPr>
            <w:r>
              <w:rPr>
                <w:sz w:val="17"/>
              </w:rPr>
              <w:t xml:space="preserve">Agir pour un mandant</w:t>
            </w:r>
          </w:p>
        </w:tc>
        <w:tc>
          <w:tcPr/>
          <w:p>
            <w:pPr>
              <w:pStyle w:val="Compact"/>
            </w:pPr>
            <w:r>
              <w:rPr>
                <w:sz w:val="17"/>
              </w:rPr>
              <w:t xml:space="preserve">Mandat (périmètre, durée)</w:t>
            </w:r>
          </w:p>
        </w:tc>
      </w:tr>
      <w:tr>
        <w:tc>
          <w:tcPr>
            <w:shd w:val="clear" w:color="auto" w:fill="F5F7FB"/>
          </w:tcPr>
          <w:p>
            <w:pPr>
              <w:pStyle w:val="Compact"/>
            </w:pPr>
            <w:r>
              <w:rPr>
                <w:sz w:val="17"/>
              </w:rPr>
              <w:t xml:space="preserve">R32</w:t>
            </w:r>
          </w:p>
        </w:tc>
        <w:tc>
          <w:tcPr>
            <w:shd w:val="clear" w:color="auto" w:fill="F5F7FB"/>
          </w:tcPr>
          <w:p>
            <w:pPr>
              <w:pStyle w:val="Compact"/>
            </w:pPr>
            <w:r>
              <w:rPr>
                <w:b/>
                <w:bCs/>
                <w:sz w:val="17"/>
              </w:rPr>
              <w:t xml:space="preserve">Point de paiement agréé</w:t>
            </w:r>
          </w:p>
        </w:tc>
        <w:tc>
          <w:tcPr>
            <w:shd w:val="clear" w:color="auto" w:fill="F5F7FB"/>
          </w:tcPr>
          <w:p>
            <w:pPr>
              <w:pStyle w:val="Compact"/>
            </w:pPr>
            <w:r>
              <w:rPr>
                <w:sz w:val="17"/>
              </w:rPr>
              <w:t xml:space="preserve">Encaissement sur référence</w:t>
            </w:r>
          </w:p>
        </w:tc>
        <w:tc>
          <w:tcPr>
            <w:shd w:val="clear" w:color="auto" w:fill="F5F7FB"/>
          </w:tcPr>
          <w:p>
            <w:pPr>
              <w:pStyle w:val="Compact"/>
            </w:pPr>
            <w:r>
              <w:rPr>
                <w:sz w:val="17"/>
              </w:rPr>
              <w:t xml:space="preserve">API de paiement ; aucune donnée fiscale au-delà du montant de la référence</w:t>
            </w:r>
          </w:p>
        </w:tc>
      </w:tr>
      <w:tr>
        <w:tc>
          <w:tcPr/>
          <w:p>
            <w:pPr>
              <w:pStyle w:val="Compact"/>
            </w:pPr>
            <w:r>
              <w:rPr>
                <w:sz w:val="17"/>
              </w:rPr>
              <w:t xml:space="preserve">R33</w:t>
            </w:r>
          </w:p>
        </w:tc>
        <w:tc>
          <w:tcPr/>
          <w:p>
            <w:pPr>
              <w:pStyle w:val="Compact"/>
            </w:pPr>
            <w:r>
              <w:rPr>
                <w:b/>
                <w:bCs/>
                <w:sz w:val="17"/>
              </w:rPr>
              <w:t xml:space="preserve">Partenaire bancaire / monnaie mobile</w:t>
            </w:r>
          </w:p>
        </w:tc>
        <w:tc>
          <w:tcPr/>
          <w:p>
            <w:pPr>
              <w:pStyle w:val="Compact"/>
            </w:pPr>
            <w:r>
              <w:rPr>
                <w:sz w:val="17"/>
              </w:rPr>
              <w:t xml:space="preserve">Confirmation, règlement</w:t>
            </w:r>
          </w:p>
        </w:tc>
        <w:tc>
          <w:tcPr/>
          <w:p>
            <w:pPr>
              <w:pStyle w:val="Compact"/>
            </w:pPr>
            <w:r>
              <w:rPr>
                <w:sz w:val="17"/>
              </w:rPr>
              <w:t xml:space="preserve">API du canal</w:t>
            </w:r>
          </w:p>
        </w:tc>
      </w:tr>
      <w:tr>
        <w:tc>
          <w:tcPr>
            <w:shd w:val="clear" w:color="auto" w:fill="F5F7FB"/>
          </w:tcPr>
          <w:p>
            <w:pPr>
              <w:pStyle w:val="Compact"/>
            </w:pPr>
            <w:r>
              <w:rPr>
                <w:sz w:val="17"/>
              </w:rPr>
              <w:t xml:space="preserve">R34</w:t>
            </w:r>
          </w:p>
        </w:tc>
        <w:tc>
          <w:tcPr>
            <w:shd w:val="clear" w:color="auto" w:fill="F5F7FB"/>
          </w:tcPr>
          <w:p>
            <w:pPr>
              <w:pStyle w:val="Compact"/>
            </w:pPr>
            <w:r>
              <w:rPr>
                <w:b/>
                <w:bCs/>
                <w:sz w:val="17"/>
              </w:rPr>
              <w:t xml:space="preserve">Partenaire de données</w:t>
            </w:r>
          </w:p>
        </w:tc>
        <w:tc>
          <w:tcPr>
            <w:shd w:val="clear" w:color="auto" w:fill="F5F7FB"/>
          </w:tcPr>
          <w:p>
            <w:pPr>
              <w:pStyle w:val="Compact"/>
            </w:pPr>
            <w:r>
              <w:rPr>
                <w:sz w:val="17"/>
              </w:rPr>
              <w:t xml:space="preserve">Fourniture de données sous protocole</w:t>
            </w:r>
          </w:p>
        </w:tc>
        <w:tc>
          <w:tcPr>
            <w:shd w:val="clear" w:color="auto" w:fill="F5F7FB"/>
          </w:tcPr>
          <w:p>
            <w:pPr>
              <w:pStyle w:val="Compact"/>
            </w:pPr>
            <w:r>
              <w:rPr>
                <w:sz w:val="17"/>
              </w:rPr>
              <w:t xml:space="preserve">API d’import restreinte</w:t>
            </w:r>
          </w:p>
        </w:tc>
      </w:tr>
      <w:tr>
        <w:tc>
          <w:tcPr/>
          <w:p>
            <w:pPr>
              <w:pStyle w:val="Compact"/>
            </w:pPr>
            <w:r>
              <w:rPr>
                <w:sz w:val="17"/>
              </w:rPr>
              <w:t xml:space="preserve">R35</w:t>
            </w:r>
          </w:p>
        </w:tc>
        <w:tc>
          <w:tcPr/>
          <w:p>
            <w:pPr>
              <w:pStyle w:val="Compact"/>
            </w:pPr>
            <w:r>
              <w:rPr>
                <w:b/>
                <w:bCs/>
                <w:sz w:val="17"/>
              </w:rPr>
              <w:t xml:space="preserve">Sous-traitant terrain (responsable)</w:t>
            </w:r>
          </w:p>
        </w:tc>
        <w:tc>
          <w:tcPr/>
          <w:p>
            <w:pPr>
              <w:pStyle w:val="Compact"/>
            </w:pPr>
            <w:r>
              <w:rPr>
                <w:sz w:val="17"/>
              </w:rPr>
              <w:t xml:space="preserve">Gestion de ses équipes accréditées</w:t>
            </w:r>
          </w:p>
        </w:tc>
        <w:tc>
          <w:tcPr/>
          <w:p>
            <w:pPr>
              <w:pStyle w:val="Compact"/>
            </w:pPr>
            <w:r>
              <w:rPr>
                <w:sz w:val="17"/>
              </w:rPr>
              <w:t xml:space="preserve">Ses agents, ses lots ; aucune donnée fiscale</w:t>
            </w:r>
          </w:p>
        </w:tc>
      </w:tr>
      <w:tr>
        <w:tc>
          <w:tcPr>
            <w:shd w:val="clear" w:color="auto" w:fill="F5F7FB"/>
          </w:tcPr>
          <w:p>
            <w:pPr>
              <w:pStyle w:val="Compact"/>
            </w:pPr>
            <w:r>
              <w:rPr>
                <w:sz w:val="17"/>
              </w:rPr>
              <w:t xml:space="preserve">R36</w:t>
            </w:r>
          </w:p>
        </w:tc>
        <w:tc>
          <w:tcPr>
            <w:shd w:val="clear" w:color="auto" w:fill="F5F7FB"/>
          </w:tcPr>
          <w:p>
            <w:pPr>
              <w:pStyle w:val="Compact"/>
            </w:pPr>
            <w:r>
              <w:rPr>
                <w:b/>
                <w:bCs/>
                <w:sz w:val="17"/>
              </w:rPr>
              <w:t xml:space="preserve">Observateur de la société civile</w:t>
            </w:r>
          </w:p>
        </w:tc>
        <w:tc>
          <w:tcPr>
            <w:shd w:val="clear" w:color="auto" w:fill="F5F7FB"/>
          </w:tcPr>
          <w:p>
            <w:pPr>
              <w:pStyle w:val="Compact"/>
            </w:pPr>
            <w:r>
              <w:rPr>
                <w:sz w:val="17"/>
              </w:rPr>
              <w:t xml:space="preserve">Suivi des agrégats et de la transparence</w:t>
            </w:r>
          </w:p>
        </w:tc>
        <w:tc>
          <w:tcPr>
            <w:shd w:val="clear" w:color="auto" w:fill="F5F7FB"/>
          </w:tcPr>
          <w:p>
            <w:pPr>
              <w:pStyle w:val="Compact"/>
            </w:pPr>
            <w:r>
              <w:rPr>
                <w:sz w:val="17"/>
              </w:rPr>
              <w:t xml:space="preserve">Tableau public enrichi, sans nominatif</w:t>
            </w:r>
          </w:p>
        </w:tc>
      </w:tr>
      <w:tr>
        <w:tc>
          <w:tcPr/>
          <w:p>
            <w:pPr>
              <w:pStyle w:val="Compact"/>
            </w:pPr>
            <w:r>
              <w:rPr>
                <w:sz w:val="17"/>
              </w:rPr>
              <w:t xml:space="preserve">R37</w:t>
            </w:r>
          </w:p>
        </w:tc>
        <w:tc>
          <w:tcPr/>
          <w:p>
            <w:pPr>
              <w:pStyle w:val="Compact"/>
            </w:pPr>
            <w:r>
              <w:rPr>
                <w:b/>
                <w:bCs/>
                <w:sz w:val="17"/>
              </w:rPr>
              <w:t xml:space="preserve">Service utilisateur du quitus</w:t>
            </w:r>
            <w:r>
              <w:rPr>
                <w:sz w:val="17"/>
              </w:rPr>
              <w:t xml:space="preserve"> </w:t>
            </w:r>
            <w:r>
              <w:rPr>
                <w:sz w:val="17"/>
              </w:rPr>
              <w:t xml:space="preserve">(urbanisme, marchés publics…)</w:t>
            </w:r>
          </w:p>
        </w:tc>
        <w:tc>
          <w:tcPr/>
          <w:p>
            <w:pPr>
              <w:pStyle w:val="Compact"/>
            </w:pPr>
            <w:r>
              <w:rPr>
                <w:sz w:val="17"/>
              </w:rPr>
              <w:t xml:space="preserve">Vérifier un quitus</w:t>
            </w:r>
          </w:p>
        </w:tc>
        <w:tc>
          <w:tcPr/>
          <w:p>
            <w:pPr>
              <w:pStyle w:val="Compact"/>
            </w:pPr>
            <w:r>
              <w:rPr>
                <w:sz w:val="17"/>
              </w:rPr>
              <w:t xml:space="preserve">API de vérification : oui/non + validité</w:t>
            </w:r>
          </w:p>
        </w:tc>
      </w:tr>
    </w:tbl>
    <w:bookmarkEnd w:id="134"/>
    <w:bookmarkStart w:id="135" w:name="X720e586c2135d7cd591ed465a69014ddd5b5f47"/>
    <w:p>
      <w:pPr>
        <w:pStyle w:val="Heading2"/>
      </w:pPr>
      <w:r>
        <w:t xml:space="preserve">12.4 Matrice synthétique : Voir / Initier / Approuver / Interdit</w:t>
      </w:r>
    </w:p>
    <w:p>
      <w:pPr>
        <w:pStyle w:val="FirstParagraph"/>
      </w:pPr>
      <w:r>
        <w:t xml:space="preserve">Légende :</w:t>
      </w:r>
      <w:r>
        <w:t xml:space="preserve"> </w:t>
      </w:r>
      <w:r>
        <w:rPr>
          <w:b/>
          <w:bCs/>
        </w:rPr>
        <w:t xml:space="preserve">V</w:t>
      </w:r>
      <w:r>
        <w:t xml:space="preserve"> </w:t>
      </w:r>
      <w:r>
        <w:t xml:space="preserve">voir (agrégats) ;</w:t>
      </w:r>
      <w:r>
        <w:t xml:space="preserve"> </w:t>
      </w:r>
      <w:r>
        <w:rPr>
          <w:b/>
          <w:bCs/>
        </w:rPr>
        <w:t xml:space="preserve">Vn</w:t>
      </w:r>
      <w:r>
        <w:t xml:space="preserve"> </w:t>
      </w:r>
      <w:r>
        <w:t xml:space="preserve">voir nominatif dans le périmètre ;</w:t>
      </w:r>
      <w:r>
        <w:t xml:space="preserve"> </w:t>
      </w:r>
      <w:r>
        <w:rPr>
          <w:b/>
          <w:bCs/>
        </w:rPr>
        <w:t xml:space="preserve">I</w:t>
      </w:r>
      <w:r>
        <w:t xml:space="preserve"> </w:t>
      </w:r>
      <w:r>
        <w:t xml:space="preserve">initier ;</w:t>
      </w:r>
      <w:r>
        <w:t xml:space="preserve"> </w:t>
      </w:r>
      <w:r>
        <w:rPr>
          <w:b/>
          <w:bCs/>
        </w:rPr>
        <w:t xml:space="preserve">A</w:t>
      </w:r>
      <w:r>
        <w:t xml:space="preserve"> </w:t>
      </w:r>
      <w:r>
        <w:t xml:space="preserve">approuver ;</w:t>
      </w:r>
      <w:r>
        <w:t xml:space="preserve"> </w:t>
      </w:r>
      <w:r>
        <w:rPr>
          <w:b/>
          <w:bCs/>
        </w:rPr>
        <w:t xml:space="preserve">—</w:t>
      </w:r>
      <w:r>
        <w:t xml:space="preserve"> </w:t>
      </w:r>
      <w:r>
        <w:t xml:space="preserve">aucun accès ;</w:t>
      </w:r>
      <w:r>
        <w:t xml:space="preserve"> </w:t>
      </w:r>
      <w:r>
        <w:rPr>
          <w:b/>
          <w:bCs/>
        </w:rPr>
        <w:t xml:space="preserve">✖</w:t>
      </w:r>
      <w:r>
        <w:t xml:space="preserve"> </w:t>
      </w:r>
      <w:r>
        <w:t xml:space="preserve">interdit par construction (aucun rôle ne peut le faire seul).</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shd w:val="clear" w:color="auto" w:fill="232C6B"/>
          </w:tcPr>
          <w:p>
            <w:pPr>
              <w:pStyle w:val="Compact"/>
            </w:pPr>
            <w:r>
              <w:rPr>
                <w:b/>
                <w:color w:val="FFFFFF"/>
                <w:sz w:val="17"/>
              </w:rPr>
              <w:t xml:space="preserve">Action</w:t>
            </w:r>
          </w:p>
        </w:tc>
        <w:tc>
          <w:tcPr>
            <w:shd w:val="clear" w:color="auto" w:fill="232C6B"/>
          </w:tcPr>
          <w:p>
            <w:pPr>
              <w:pStyle w:val="Compact"/>
            </w:pPr>
            <w:r>
              <w:rPr>
                <w:b/>
                <w:color w:val="FFFFFF"/>
                <w:sz w:val="17"/>
              </w:rPr>
              <w:t xml:space="preserve">R01 Gouv.</w:t>
            </w:r>
          </w:p>
        </w:tc>
        <w:tc>
          <w:tcPr>
            <w:shd w:val="clear" w:color="auto" w:fill="232C6B"/>
          </w:tcPr>
          <w:p>
            <w:pPr>
              <w:pStyle w:val="Compact"/>
            </w:pPr>
            <w:r>
              <w:rPr>
                <w:b/>
                <w:color w:val="FFFFFF"/>
                <w:sz w:val="17"/>
              </w:rPr>
              <w:t xml:space="preserve">R04 Min.</w:t>
            </w:r>
          </w:p>
        </w:tc>
        <w:tc>
          <w:tcPr>
            <w:shd w:val="clear" w:color="auto" w:fill="232C6B"/>
          </w:tcPr>
          <w:p>
            <w:pPr>
              <w:pStyle w:val="Compact"/>
            </w:pPr>
            <w:r>
              <w:rPr>
                <w:b/>
                <w:color w:val="FFFFFF"/>
                <w:sz w:val="17"/>
              </w:rPr>
              <w:t xml:space="preserve">R06 DG régie</w:t>
            </w:r>
          </w:p>
        </w:tc>
        <w:tc>
          <w:tcPr>
            <w:shd w:val="clear" w:color="auto" w:fill="232C6B"/>
          </w:tcPr>
          <w:p>
            <w:pPr>
              <w:pStyle w:val="Compact"/>
            </w:pPr>
            <w:r>
              <w:rPr>
                <w:b/>
                <w:color w:val="FFFFFF"/>
                <w:sz w:val="17"/>
              </w:rPr>
              <w:t xml:space="preserve">R10 Agent</w:t>
            </w:r>
          </w:p>
        </w:tc>
        <w:tc>
          <w:tcPr>
            <w:shd w:val="clear" w:color="auto" w:fill="232C6B"/>
          </w:tcPr>
          <w:p>
            <w:pPr>
              <w:pStyle w:val="Compact"/>
            </w:pPr>
            <w:r>
              <w:rPr>
                <w:b/>
                <w:color w:val="FFFFFF"/>
                <w:sz w:val="17"/>
              </w:rPr>
              <w:t xml:space="preserve">R11 Contrôleur</w:t>
            </w:r>
          </w:p>
        </w:tc>
        <w:tc>
          <w:tcPr>
            <w:shd w:val="clear" w:color="auto" w:fill="232C6B"/>
          </w:tcPr>
          <w:p>
            <w:pPr>
              <w:pStyle w:val="Compact"/>
            </w:pPr>
            <w:r>
              <w:rPr>
                <w:b/>
                <w:color w:val="FFFFFF"/>
                <w:sz w:val="17"/>
              </w:rPr>
              <w:t xml:space="preserve">R13–16 Juridique</w:t>
            </w:r>
          </w:p>
        </w:tc>
        <w:tc>
          <w:tcPr>
            <w:shd w:val="clear" w:color="auto" w:fill="232C6B"/>
          </w:tcPr>
          <w:p>
            <w:pPr>
              <w:pStyle w:val="Compact"/>
            </w:pPr>
            <w:r>
              <w:rPr>
                <w:b/>
                <w:color w:val="FFFFFF"/>
                <w:sz w:val="17"/>
              </w:rPr>
              <w:t xml:space="preserve">R17 Trésor</w:t>
            </w:r>
          </w:p>
        </w:tc>
        <w:tc>
          <w:tcPr>
            <w:shd w:val="clear" w:color="auto" w:fill="232C6B"/>
          </w:tcPr>
          <w:p>
            <w:pPr>
              <w:pStyle w:val="Compact"/>
            </w:pPr>
            <w:r>
              <w:rPr>
                <w:b/>
                <w:color w:val="FFFFFF"/>
                <w:sz w:val="17"/>
              </w:rPr>
              <w:t xml:space="preserve">R19 Coffre</w:t>
            </w:r>
          </w:p>
        </w:tc>
        <w:tc>
          <w:tcPr>
            <w:shd w:val="clear" w:color="auto" w:fill="232C6B"/>
          </w:tcPr>
          <w:p>
            <w:pPr>
              <w:pStyle w:val="Compact"/>
            </w:pPr>
            <w:r>
              <w:rPr>
                <w:b/>
                <w:color w:val="FFFFFF"/>
                <w:sz w:val="17"/>
              </w:rPr>
              <w:t xml:space="preserve">R22 Audit</w:t>
            </w:r>
          </w:p>
        </w:tc>
        <w:tc>
          <w:tcPr>
            <w:shd w:val="clear" w:color="auto" w:fill="232C6B"/>
          </w:tcPr>
          <w:p>
            <w:pPr>
              <w:pStyle w:val="Compact"/>
            </w:pPr>
            <w:r>
              <w:rPr>
                <w:b/>
                <w:color w:val="FFFFFF"/>
                <w:sz w:val="17"/>
              </w:rPr>
              <w:t xml:space="preserve">R26 Super-admin</w:t>
            </w:r>
          </w:p>
        </w:tc>
        <w:tc>
          <w:tcPr>
            <w:shd w:val="clear" w:color="auto" w:fill="232C6B"/>
          </w:tcPr>
          <w:p>
            <w:pPr>
              <w:pStyle w:val="Compact"/>
            </w:pPr>
            <w:r>
              <w:rPr>
                <w:b/>
                <w:color w:val="FFFFFF"/>
                <w:sz w:val="17"/>
              </w:rPr>
              <w:t xml:space="preserve">R30 Contrib.</w:t>
            </w:r>
          </w:p>
        </w:tc>
      </w:tr>
      <w:tr>
        <w:tc>
          <w:tcPr/>
          <w:p>
            <w:pPr>
              <w:pStyle w:val="Compact"/>
            </w:pPr>
            <w:r>
              <w:rPr>
                <w:sz w:val="17"/>
              </w:rPr>
              <w:t xml:space="preserve">Tableau exécutif consolidé</w:t>
            </w:r>
          </w:p>
        </w:tc>
        <w:tc>
          <w:tcPr/>
          <w:p>
            <w:pPr>
              <w:pStyle w:val="Compact"/>
            </w:pPr>
            <w:r>
              <w:rPr>
                <w:sz w:val="17"/>
              </w:rPr>
              <w:t xml:space="preserve">V</w:t>
            </w:r>
          </w:p>
        </w:tc>
        <w:tc>
          <w:tcPr/>
          <w:p>
            <w:pPr>
              <w:pStyle w:val="Compact"/>
            </w:pPr>
            <w:r>
              <w:rPr>
                <w:sz w:val="17"/>
              </w:rPr>
              <w:t xml:space="preserve">V (périmètre)</w:t>
            </w:r>
          </w:p>
        </w:tc>
        <w:tc>
          <w:tcPr/>
          <w:p>
            <w:pPr>
              <w:pStyle w:val="Compact"/>
            </w:pPr>
            <w:r>
              <w:rPr>
                <w:sz w:val="17"/>
              </w:rPr>
              <w:t xml:space="preserve">V (régie)</w:t>
            </w:r>
          </w:p>
        </w:tc>
        <w:tc>
          <w:tcPr/>
          <w:p>
            <w:pPr>
              <w:pStyle w:val="Compact"/>
            </w:pPr>
            <w:r>
              <w:rPr>
                <w:sz w:val="17"/>
              </w:rPr>
              <w:t xml:space="preserve">—</w:t>
            </w:r>
          </w:p>
        </w:tc>
        <w:tc>
          <w:tcPr/>
          <w:p>
            <w:pPr>
              <w:pStyle w:val="Compact"/>
            </w:pPr>
            <w:r>
              <w:rPr>
                <w:sz w:val="17"/>
              </w:rPr>
              <w:t xml:space="preserve">—</w:t>
            </w:r>
          </w:p>
        </w:tc>
        <w:tc>
          <w:tcPr/>
          <w:p>
            <w:pPr>
              <w:pStyle w:val="Compact"/>
            </w:pPr>
            <w:r>
              <w:rPr>
                <w:sz w:val="17"/>
              </w:rPr>
              <w:t xml:space="preserve">—</w:t>
            </w:r>
          </w:p>
        </w:tc>
        <w:tc>
          <w:tcPr/>
          <w:p>
            <w:pPr>
              <w:pStyle w:val="Compact"/>
            </w:pPr>
            <w:r>
              <w:rPr>
                <w:sz w:val="17"/>
              </w:rPr>
              <w:t xml:space="preserve">V (financier)</w:t>
            </w:r>
          </w:p>
        </w:tc>
        <w:tc>
          <w:tcPr/>
          <w:p>
            <w:pPr>
              <w:pStyle w:val="Compact"/>
            </w:pPr>
            <w:r>
              <w:rPr>
                <w:sz w:val="17"/>
              </w:rPr>
              <w:t xml:space="preserve">—</w:t>
            </w:r>
          </w:p>
        </w:tc>
        <w:tc>
          <w:tcPr/>
          <w:p>
            <w:pPr>
              <w:pStyle w:val="Compact"/>
            </w:pPr>
            <w:r>
              <w:rPr>
                <w:sz w:val="17"/>
              </w:rPr>
              <w:t xml:space="preserve">V</w:t>
            </w:r>
          </w:p>
        </w:tc>
        <w:tc>
          <w:tcPr/>
          <w:p>
            <w:pPr>
              <w:pStyle w:val="Compact"/>
            </w:pPr>
            <w:r>
              <w:rPr>
                <w:sz w:val="17"/>
              </w:rPr>
              <w:t xml:space="preserve">—</w:t>
            </w:r>
          </w:p>
        </w:tc>
        <w:tc>
          <w:tcPr/>
          <w:p>
            <w:pPr>
              <w:pStyle w:val="Compact"/>
            </w:pPr>
            <w:r>
              <w:rPr>
                <w:sz w:val="17"/>
              </w:rPr>
              <w:t xml:space="preserve">—</w:t>
            </w:r>
          </w:p>
        </w:tc>
      </w:tr>
      <w:tr>
        <w:tc>
          <w:tcPr>
            <w:shd w:val="clear" w:color="auto" w:fill="F5F7FB"/>
          </w:tcPr>
          <w:p>
            <w:pPr>
              <w:pStyle w:val="Compact"/>
            </w:pPr>
            <w:r>
              <w:rPr>
                <w:sz w:val="17"/>
              </w:rPr>
              <w:t xml:space="preserve">Données fiscales d’un contribuable</w:t>
            </w:r>
          </w:p>
        </w:tc>
        <w:tc>
          <w:tcPr>
            <w:shd w:val="clear" w:color="auto" w:fill="F5F7FB"/>
          </w:tcPr>
          <w:p>
            <w:pPr>
              <w:pStyle w:val="Compact"/>
            </w:pPr>
            <w:r>
              <w:rPr>
                <w:sz w:val="17"/>
              </w:rPr>
              <w:t xml:space="preserve">Sur enquête motivée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Vn</w:t>
            </w:r>
          </w:p>
        </w:tc>
        <w:tc>
          <w:tcPr>
            <w:shd w:val="clear" w:color="auto" w:fill="F5F7FB"/>
          </w:tcPr>
          <w:p>
            <w:pPr>
              <w:pStyle w:val="Compact"/>
            </w:pPr>
            <w:r>
              <w:rPr>
                <w:sz w:val="17"/>
              </w:rPr>
              <w:t xml:space="preserve">Vn minimal (mission)</w:t>
            </w:r>
          </w:p>
        </w:tc>
        <w:tc>
          <w:tcPr>
            <w:shd w:val="clear" w:color="auto" w:fill="F5F7FB"/>
          </w:tcPr>
          <w:p>
            <w:pPr>
              <w:pStyle w:val="Compact"/>
            </w:pPr>
            <w:r>
              <w:rPr>
                <w:sz w:val="17"/>
              </w:rPr>
              <w:t xml:space="preserve">Vn (dossier)</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Vn (paiements)</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Vn</w:t>
            </w:r>
          </w:p>
        </w:tc>
        <w:tc>
          <w:tcPr>
            <w:shd w:val="clear" w:color="auto" w:fill="F5F7FB"/>
          </w:tcPr>
          <w:p>
            <w:pPr>
              <w:pStyle w:val="Compact"/>
            </w:pPr>
            <w:r>
              <w:rPr>
                <w:sz w:val="17"/>
              </w:rPr>
              <w:t xml:space="preserve">— (masqué)</w:t>
            </w:r>
          </w:p>
        </w:tc>
        <w:tc>
          <w:tcPr>
            <w:shd w:val="clear" w:color="auto" w:fill="F5F7FB"/>
          </w:tcPr>
          <w:p>
            <w:pPr>
              <w:pStyle w:val="Compact"/>
            </w:pPr>
            <w:r>
              <w:rPr>
                <w:sz w:val="17"/>
              </w:rPr>
              <w:t xml:space="preserve">Vn (soi)</w:t>
            </w:r>
          </w:p>
        </w:tc>
      </w:tr>
      <w:tr>
        <w:tc>
          <w:tcPr/>
          <w:p>
            <w:pPr>
              <w:pStyle w:val="Compact"/>
            </w:pPr>
            <w:r>
              <w:rPr>
                <w:sz w:val="17"/>
              </w:rPr>
              <w:t xml:space="preserve">Créer un objet provisoire</w:t>
            </w:r>
          </w:p>
        </w:tc>
        <w:tc>
          <w:tcPr/>
          <w:p>
            <w:pPr>
              <w:pStyle w:val="Compact"/>
            </w:pPr>
            <w:r>
              <w:rPr>
                <w:sz w:val="17"/>
              </w:rPr>
              <w:t xml:space="preserve">—</w:t>
            </w:r>
          </w:p>
        </w:tc>
        <w:tc>
          <w:tcPr/>
          <w:p>
            <w:pPr>
              <w:pStyle w:val="Compact"/>
            </w:pPr>
            <w:r>
              <w:rPr>
                <w:sz w:val="17"/>
              </w:rPr>
              <w:t xml:space="preserve">—</w:t>
            </w:r>
          </w:p>
        </w:tc>
        <w:tc>
          <w:tcPr/>
          <w:p>
            <w:pPr>
              <w:pStyle w:val="Compact"/>
            </w:pPr>
            <w:r>
              <w:rPr>
                <w:sz w:val="17"/>
              </w:rPr>
              <w:t xml:space="preserve">I</w:t>
            </w:r>
          </w:p>
        </w:tc>
        <w:tc>
          <w:tcPr/>
          <w:p>
            <w:pPr>
              <w:pStyle w:val="Compact"/>
            </w:pPr>
            <w:r>
              <w:rPr>
                <w:sz w:val="17"/>
              </w:rPr>
              <w:t xml:space="preserve">I</w:t>
            </w:r>
          </w:p>
        </w:tc>
        <w:tc>
          <w:tcPr/>
          <w:p>
            <w:pPr>
              <w:pStyle w:val="Compact"/>
            </w:pPr>
            <w:r>
              <w:rPr>
                <w:sz w:val="17"/>
              </w:rPr>
              <w:t xml:space="preserve">I</w:t>
            </w:r>
          </w:p>
        </w:tc>
        <w:tc>
          <w:tcPr/>
          <w:p>
            <w:pPr>
              <w:pStyle w:val="Compact"/>
            </w:pPr>
            <w:r>
              <w:rPr>
                <w:sz w:val="17"/>
              </w:rPr>
              <w:t xml:space="preserve">—</w:t>
            </w:r>
          </w:p>
        </w:tc>
        <w:tc>
          <w:tcPr/>
          <w:p>
            <w:pPr>
              <w:pStyle w:val="Compact"/>
            </w:pPr>
            <w:r>
              <w:rPr>
                <w:sz w:val="17"/>
              </w:rPr>
              <w:t xml:space="preserve">—</w:t>
            </w:r>
          </w:p>
        </w:tc>
        <w:tc>
          <w:tcPr/>
          <w:p>
            <w:pPr>
              <w:pStyle w:val="Compact"/>
            </w:pPr>
            <w:r>
              <w:rPr>
                <w:sz w:val="17"/>
              </w:rPr>
              <w:t xml:space="preserve">—</w:t>
            </w:r>
          </w:p>
        </w:tc>
        <w:tc>
          <w:tcPr/>
          <w:p>
            <w:pPr>
              <w:pStyle w:val="Compact"/>
            </w:pPr>
            <w:r>
              <w:rPr>
                <w:sz w:val="17"/>
              </w:rPr>
              <w:t xml:space="preserve">—</w:t>
            </w:r>
          </w:p>
        </w:tc>
        <w:tc>
          <w:tcPr/>
          <w:p>
            <w:pPr>
              <w:pStyle w:val="Compact"/>
            </w:pPr>
            <w:r>
              <w:rPr>
                <w:sz w:val="17"/>
              </w:rPr>
              <w:t xml:space="preserve">—</w:t>
            </w:r>
          </w:p>
        </w:tc>
        <w:tc>
          <w:tcPr/>
          <w:p>
            <w:pPr>
              <w:pStyle w:val="Compact"/>
            </w:pPr>
            <w:r>
              <w:rPr>
                <w:sz w:val="17"/>
              </w:rPr>
              <w:t xml:space="preserve">I (déclaration)</w:t>
            </w:r>
          </w:p>
        </w:tc>
      </w:tr>
      <w:tr>
        <w:tc>
          <w:tcPr>
            <w:shd w:val="clear" w:color="auto" w:fill="F5F7FB"/>
          </w:tcPr>
          <w:p>
            <w:pPr>
              <w:pStyle w:val="Compact"/>
            </w:pPr>
            <w:r>
              <w:rPr>
                <w:sz w:val="17"/>
              </w:rPr>
              <w:t xml:space="preserve">Valider un objet / rattachement</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A</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I</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r>
      <w:tr>
        <w:tc>
          <w:tcPr/>
          <w:p>
            <w:pPr>
              <w:pStyle w:val="Compact"/>
            </w:pPr>
            <w:r>
              <w:rPr>
                <w:sz w:val="17"/>
              </w:rPr>
              <w:t xml:space="preserve">Rédiger / viser / publier une règle</w:t>
            </w:r>
          </w:p>
        </w:tc>
        <w:tc>
          <w:tcPr/>
          <w:p>
            <w:pPr>
              <w:pStyle w:val="Compact"/>
            </w:pPr>
            <w:r>
              <w:rPr>
                <w:sz w:val="17"/>
              </w:rPr>
              <w:t xml:space="preserve">—</w:t>
            </w:r>
          </w:p>
        </w:tc>
        <w:tc>
          <w:tcPr/>
          <w:p>
            <w:pPr>
              <w:pStyle w:val="Compact"/>
            </w:pPr>
            <w:r>
              <w:rPr>
                <w:sz w:val="17"/>
              </w:rPr>
              <w:t xml:space="preserve">A (selon texte)</w:t>
            </w:r>
          </w:p>
        </w:tc>
        <w:tc>
          <w:tcPr/>
          <w:p>
            <w:pPr>
              <w:pStyle w:val="Compact"/>
            </w:pPr>
            <w:r>
              <w:rPr>
                <w:sz w:val="17"/>
              </w:rPr>
              <w:t xml:space="preserve">—</w:t>
            </w:r>
          </w:p>
        </w:tc>
        <w:tc>
          <w:tcPr/>
          <w:p>
            <w:pPr>
              <w:pStyle w:val="Compact"/>
            </w:pPr>
            <w:r>
              <w:rPr>
                <w:sz w:val="17"/>
              </w:rPr>
              <w:t xml:space="preserve">—</w:t>
            </w:r>
          </w:p>
        </w:tc>
        <w:tc>
          <w:tcPr/>
          <w:p>
            <w:pPr>
              <w:pStyle w:val="Compact"/>
            </w:pPr>
            <w:r>
              <w:rPr>
                <w:sz w:val="17"/>
              </w:rPr>
              <w:t xml:space="preserve">—</w:t>
            </w:r>
          </w:p>
        </w:tc>
        <w:tc>
          <w:tcPr/>
          <w:p>
            <w:pPr>
              <w:pStyle w:val="Compact"/>
            </w:pPr>
            <w:r>
              <w:rPr>
                <w:sz w:val="17"/>
              </w:rPr>
              <w:t xml:space="preserve">I / A / A (4 personnes distinctes)</w:t>
            </w:r>
          </w:p>
        </w:tc>
        <w:tc>
          <w:tcPr/>
          <w:p>
            <w:pPr>
              <w:pStyle w:val="Compact"/>
            </w:pPr>
            <w:r>
              <w:rPr>
                <w:sz w:val="17"/>
              </w:rPr>
              <w:t xml:space="preserve">—</w:t>
            </w:r>
          </w:p>
        </w:tc>
        <w:tc>
          <w:tcPr/>
          <w:p>
            <w:pPr>
              <w:pStyle w:val="Compact"/>
            </w:pPr>
            <w:r>
              <w:rPr>
                <w:sz w:val="17"/>
              </w:rPr>
              <w:t xml:space="preserve">—</w:t>
            </w:r>
          </w:p>
        </w:tc>
        <w:tc>
          <w:tcPr/>
          <w:p>
            <w:pPr>
              <w:pStyle w:val="Compact"/>
            </w:pPr>
            <w:r>
              <w:rPr>
                <w:sz w:val="17"/>
              </w:rPr>
              <w:t xml:space="preserve">V</w:t>
            </w:r>
          </w:p>
        </w:tc>
        <w:tc>
          <w:tcPr/>
          <w:p>
            <w:pPr>
              <w:pStyle w:val="Compact"/>
            </w:pPr>
            <w:r>
              <w:rPr>
                <w:sz w:val="17"/>
              </w:rPr>
              <w:t xml:space="preserve">✖</w:t>
            </w:r>
          </w:p>
        </w:tc>
        <w:tc>
          <w:tcPr/>
          <w:p>
            <w:pPr>
              <w:pStyle w:val="Compact"/>
            </w:pPr>
            <w:r>
              <w:rPr>
                <w:sz w:val="17"/>
              </w:rPr>
              <w:t xml:space="preserve">—</w:t>
            </w:r>
          </w:p>
        </w:tc>
      </w:tr>
      <w:tr>
        <w:tc>
          <w:tcPr>
            <w:shd w:val="clear" w:color="auto" w:fill="F5F7FB"/>
          </w:tcPr>
          <w:p>
            <w:pPr>
              <w:pStyle w:val="Compact"/>
            </w:pPr>
            <w:r>
              <w:rPr>
                <w:sz w:val="17"/>
              </w:rPr>
              <w:t xml:space="preserve">Émettre une obligation</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Automate (règle active)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Propose rectification</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V</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r>
      <w:tr>
        <w:tc>
          <w:tcPr/>
          <w:p>
            <w:pPr>
              <w:pStyle w:val="Compact"/>
            </w:pPr>
            <w:r>
              <w:rPr>
                <w:sz w:val="17"/>
              </w:rPr>
              <w:t xml:space="preserve">Rectifier / annuler une obligation</w:t>
            </w:r>
          </w:p>
        </w:tc>
        <w:tc>
          <w:tcPr/>
          <w:p>
            <w:pPr>
              <w:pStyle w:val="Compact"/>
            </w:pPr>
            <w:r>
              <w:rPr>
                <w:sz w:val="17"/>
              </w:rPr>
              <w:t xml:space="preserve">—</w:t>
            </w:r>
          </w:p>
        </w:tc>
        <w:tc>
          <w:tcPr/>
          <w:p>
            <w:pPr>
              <w:pStyle w:val="Compact"/>
            </w:pPr>
            <w:r>
              <w:rPr>
                <w:sz w:val="17"/>
              </w:rPr>
              <w:t xml:space="preserve">—</w:t>
            </w:r>
          </w:p>
        </w:tc>
        <w:tc>
          <w:tcPr/>
          <w:p>
            <w:pPr>
              <w:pStyle w:val="Compact"/>
            </w:pPr>
            <w:r>
              <w:rPr>
                <w:sz w:val="17"/>
              </w:rPr>
              <w:t xml:space="preserve">A (2e niveau)</w:t>
            </w:r>
          </w:p>
        </w:tc>
        <w:tc>
          <w:tcPr/>
          <w:p>
            <w:pPr>
              <w:pStyle w:val="Compact"/>
            </w:pPr>
            <w:r>
              <w:rPr>
                <w:sz w:val="17"/>
              </w:rPr>
              <w:t xml:space="preserve">—</w:t>
            </w:r>
          </w:p>
        </w:tc>
        <w:tc>
          <w:tcPr/>
          <w:p>
            <w:pPr>
              <w:pStyle w:val="Compact"/>
            </w:pPr>
            <w:r>
              <w:rPr>
                <w:sz w:val="17"/>
              </w:rPr>
              <w:t xml:space="preserve">I</w:t>
            </w:r>
          </w:p>
        </w:tc>
        <w:tc>
          <w:tcPr/>
          <w:p>
            <w:pPr>
              <w:pStyle w:val="Compact"/>
            </w:pPr>
            <w:r>
              <w:rPr>
                <w:sz w:val="17"/>
              </w:rPr>
              <w:t xml:space="preserve">—</w:t>
            </w:r>
          </w:p>
        </w:tc>
        <w:tc>
          <w:tcPr/>
          <w:p>
            <w:pPr>
              <w:pStyle w:val="Compact"/>
            </w:pPr>
            <w:r>
              <w:rPr>
                <w:sz w:val="17"/>
              </w:rPr>
              <w:t xml:space="preserve">✖</w:t>
            </w:r>
          </w:p>
        </w:tc>
        <w:tc>
          <w:tcPr/>
          <w:p>
            <w:pPr>
              <w:pStyle w:val="Compact"/>
            </w:pPr>
            <w:r>
              <w:rPr>
                <w:sz w:val="17"/>
              </w:rPr>
              <w:t xml:space="preserve">—</w:t>
            </w:r>
          </w:p>
        </w:tc>
        <w:tc>
          <w:tcPr/>
          <w:p>
            <w:pPr>
              <w:pStyle w:val="Compact"/>
            </w:pPr>
            <w:r>
              <w:rPr>
                <w:sz w:val="17"/>
              </w:rPr>
              <w:t xml:space="preserve">V</w:t>
            </w:r>
          </w:p>
        </w:tc>
        <w:tc>
          <w:tcPr/>
          <w:p>
            <w:pPr>
              <w:pStyle w:val="Compact"/>
            </w:pPr>
            <w:r>
              <w:rPr>
                <w:sz w:val="17"/>
              </w:rPr>
              <w:t xml:space="preserve">✖</w:t>
            </w:r>
          </w:p>
        </w:tc>
        <w:tc>
          <w:tcPr/>
          <w:p>
            <w:pPr>
              <w:pStyle w:val="Compact"/>
            </w:pPr>
            <w:r>
              <w:rPr>
                <w:sz w:val="17"/>
              </w:rPr>
              <w:t xml:space="preserve">Réclame</w:t>
            </w:r>
          </w:p>
        </w:tc>
      </w:tr>
      <w:tr>
        <w:tc>
          <w:tcPr>
            <w:shd w:val="clear" w:color="auto" w:fill="F5F7FB"/>
          </w:tcPr>
          <w:p>
            <w:pPr>
              <w:pStyle w:val="Compact"/>
            </w:pPr>
            <w:r>
              <w:rPr>
                <w:sz w:val="17"/>
              </w:rPr>
              <w:t xml:space="preserve">Accorder une exonération</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A (si texte)</w:t>
            </w:r>
          </w:p>
        </w:tc>
        <w:tc>
          <w:tcPr>
            <w:shd w:val="clear" w:color="auto" w:fill="F5F7FB"/>
          </w:tcPr>
          <w:p>
            <w:pPr>
              <w:pStyle w:val="Compact"/>
            </w:pPr>
            <w:r>
              <w:rPr>
                <w:sz w:val="17"/>
              </w:rPr>
              <w:t xml:space="preserve">I / A (quatre yeux)</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Vérifie fondement</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V</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Demande</w:t>
            </w:r>
          </w:p>
        </w:tc>
      </w:tr>
      <w:tr>
        <w:tc>
          <w:tcPr/>
          <w:p>
            <w:pPr>
              <w:pStyle w:val="Compact"/>
            </w:pPr>
            <w:r>
              <w:rPr>
                <w:sz w:val="17"/>
              </w:rPr>
              <w:t xml:space="preserve">Enregistrer un paiement</w:t>
            </w:r>
          </w:p>
        </w:tc>
        <w:tc>
          <w:tcPr/>
          <w:p>
            <w:pPr>
              <w:pStyle w:val="Compact"/>
            </w:pPr>
            <w:r>
              <w:rPr>
                <w:sz w:val="17"/>
              </w:rPr>
              <w:t xml:space="preserve">—</w:t>
            </w:r>
          </w:p>
        </w:tc>
        <w:tc>
          <w:tcPr/>
          <w:p>
            <w:pPr>
              <w:pStyle w:val="Compact"/>
            </w:pPr>
            <w:r>
              <w:rPr>
                <w:sz w:val="17"/>
              </w:rPr>
              <w:t xml:space="preserve">—</w:t>
            </w:r>
          </w:p>
        </w:tc>
        <w:tc>
          <w:tcPr/>
          <w:p>
            <w:pPr>
              <w:pStyle w:val="Compact"/>
            </w:pPr>
            <w:r>
              <w:rPr>
                <w:sz w:val="17"/>
              </w:rPr>
              <w:t xml:space="preserve">—</w:t>
            </w:r>
          </w:p>
        </w:tc>
        <w:tc>
          <w:tcPr/>
          <w:p>
            <w:pPr>
              <w:pStyle w:val="Compact"/>
            </w:pPr>
            <w:r>
              <w:rPr>
                <w:sz w:val="17"/>
              </w:rPr>
              <w:t xml:space="preserve">✖</w:t>
            </w:r>
          </w:p>
        </w:tc>
        <w:tc>
          <w:tcPr/>
          <w:p>
            <w:pPr>
              <w:pStyle w:val="Compact"/>
            </w:pPr>
            <w:r>
              <w:rPr>
                <w:sz w:val="17"/>
              </w:rPr>
              <w:t xml:space="preserve">✖</w:t>
            </w:r>
          </w:p>
        </w:tc>
        <w:tc>
          <w:tcPr/>
          <w:p>
            <w:pPr>
              <w:pStyle w:val="Compact"/>
            </w:pPr>
            <w:r>
              <w:rPr>
                <w:sz w:val="17"/>
              </w:rPr>
              <w:t xml:space="preserve">—</w:t>
            </w:r>
          </w:p>
        </w:tc>
        <w:tc>
          <w:tcPr/>
          <w:p>
            <w:pPr>
              <w:pStyle w:val="Compact"/>
            </w:pPr>
            <w:r>
              <w:rPr>
                <w:sz w:val="17"/>
              </w:rPr>
              <w:t xml:space="preserve">Événement prestataire uniquement</w:t>
            </w:r>
          </w:p>
        </w:tc>
        <w:tc>
          <w:tcPr/>
          <w:p>
            <w:pPr>
              <w:pStyle w:val="Compact"/>
            </w:pPr>
            <w:r>
              <w:rPr>
                <w:sz w:val="17"/>
              </w:rPr>
              <w:t xml:space="preserve">—</w:t>
            </w:r>
          </w:p>
        </w:tc>
        <w:tc>
          <w:tcPr/>
          <w:p>
            <w:pPr>
              <w:pStyle w:val="Compact"/>
            </w:pPr>
            <w:r>
              <w:rPr>
                <w:sz w:val="17"/>
              </w:rPr>
              <w:t xml:space="preserve">V</w:t>
            </w:r>
          </w:p>
        </w:tc>
        <w:tc>
          <w:tcPr/>
          <w:p>
            <w:pPr>
              <w:pStyle w:val="Compact"/>
            </w:pPr>
            <w:r>
              <w:rPr>
                <w:sz w:val="17"/>
              </w:rPr>
              <w:t xml:space="preserve">✖</w:t>
            </w:r>
          </w:p>
        </w:tc>
        <w:tc>
          <w:tcPr/>
          <w:p>
            <w:pPr>
              <w:pStyle w:val="Compact"/>
            </w:pPr>
            <w:r>
              <w:rPr>
                <w:sz w:val="17"/>
              </w:rPr>
              <w:t xml:space="preserve">Initie</w:t>
            </w:r>
          </w:p>
        </w:tc>
      </w:tr>
      <w:tr>
        <w:tc>
          <w:tcPr>
            <w:shd w:val="clear" w:color="auto" w:fill="F5F7FB"/>
          </w:tcPr>
          <w:p>
            <w:pPr>
              <w:pStyle w:val="Compact"/>
            </w:pPr>
            <w:r>
              <w:rPr>
                <w:sz w:val="17"/>
              </w:rPr>
              <w:t xml:space="preserve">Rapprocher / traiter une exception</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V</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I / A (quatre yeux)</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V</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r>
      <w:tr>
        <w:tc>
          <w:tcPr/>
          <w:p>
            <w:pPr>
              <w:pStyle w:val="Compact"/>
            </w:pPr>
            <w:r>
              <w:rPr>
                <w:sz w:val="17"/>
              </w:rPr>
              <w:t xml:space="preserve">Remboursement</w:t>
            </w:r>
          </w:p>
        </w:tc>
        <w:tc>
          <w:tcPr/>
          <w:p>
            <w:pPr>
              <w:pStyle w:val="Compact"/>
            </w:pPr>
            <w:r>
              <w:rPr>
                <w:sz w:val="17"/>
              </w:rPr>
              <w:t xml:space="preserve">—</w:t>
            </w:r>
          </w:p>
        </w:tc>
        <w:tc>
          <w:tcPr/>
          <w:p>
            <w:pPr>
              <w:pStyle w:val="Compact"/>
            </w:pPr>
            <w:r>
              <w:rPr>
                <w:sz w:val="17"/>
              </w:rPr>
              <w:t xml:space="preserve">—</w:t>
            </w:r>
          </w:p>
        </w:tc>
        <w:tc>
          <w:tcPr/>
          <w:p>
            <w:pPr>
              <w:pStyle w:val="Compact"/>
            </w:pPr>
            <w:r>
              <w:rPr>
                <w:sz w:val="17"/>
              </w:rPr>
              <w:t xml:space="preserve">I (motivé)</w:t>
            </w:r>
          </w:p>
        </w:tc>
        <w:tc>
          <w:tcPr/>
          <w:p>
            <w:pPr>
              <w:pStyle w:val="Compact"/>
            </w:pPr>
            <w:r>
              <w:rPr>
                <w:sz w:val="17"/>
              </w:rPr>
              <w:t xml:space="preserve">—</w:t>
            </w:r>
          </w:p>
        </w:tc>
        <w:tc>
          <w:tcPr/>
          <w:p>
            <w:pPr>
              <w:pStyle w:val="Compact"/>
            </w:pPr>
            <w:r>
              <w:rPr>
                <w:sz w:val="17"/>
              </w:rPr>
              <w:t xml:space="preserve">—</w:t>
            </w:r>
          </w:p>
        </w:tc>
        <w:tc>
          <w:tcPr/>
          <w:p>
            <w:pPr>
              <w:pStyle w:val="Compact"/>
            </w:pPr>
            <w:r>
              <w:rPr>
                <w:sz w:val="17"/>
              </w:rPr>
              <w:t xml:space="preserve">—</w:t>
            </w:r>
          </w:p>
        </w:tc>
        <w:tc>
          <w:tcPr/>
          <w:p>
            <w:pPr>
              <w:pStyle w:val="Compact"/>
            </w:pPr>
            <w:r>
              <w:rPr>
                <w:sz w:val="17"/>
              </w:rPr>
              <w:t xml:space="preserve">A (2 approbateurs)</w:t>
            </w:r>
          </w:p>
        </w:tc>
        <w:tc>
          <w:tcPr/>
          <w:p>
            <w:pPr>
              <w:pStyle w:val="Compact"/>
            </w:pPr>
            <w:r>
              <w:rPr>
                <w:sz w:val="17"/>
              </w:rPr>
              <w:t xml:space="preserve">—</w:t>
            </w:r>
          </w:p>
        </w:tc>
        <w:tc>
          <w:tcPr/>
          <w:p>
            <w:pPr>
              <w:pStyle w:val="Compact"/>
            </w:pPr>
            <w:r>
              <w:rPr>
                <w:sz w:val="17"/>
              </w:rPr>
              <w:t xml:space="preserve">V</w:t>
            </w:r>
          </w:p>
        </w:tc>
        <w:tc>
          <w:tcPr/>
          <w:p>
            <w:pPr>
              <w:pStyle w:val="Compact"/>
            </w:pPr>
            <w:r>
              <w:rPr>
                <w:sz w:val="17"/>
              </w:rPr>
              <w:t xml:space="preserve">✖</w:t>
            </w:r>
          </w:p>
        </w:tc>
        <w:tc>
          <w:tcPr/>
          <w:p>
            <w:pPr>
              <w:pStyle w:val="Compact"/>
            </w:pPr>
            <w:r>
              <w:rPr>
                <w:sz w:val="17"/>
              </w:rPr>
              <w:t xml:space="preserve">Demande</w:t>
            </w:r>
          </w:p>
        </w:tc>
      </w:tr>
      <w:tr>
        <w:tc>
          <w:tcPr>
            <w:shd w:val="clear" w:color="auto" w:fill="F5F7FB"/>
          </w:tcPr>
          <w:p>
            <w:pPr>
              <w:pStyle w:val="Compact"/>
            </w:pPr>
            <w:r>
              <w:rPr>
                <w:sz w:val="17"/>
              </w:rPr>
              <w:t xml:space="preserve">Modifier un compte bénéficiaire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Propose</w:t>
            </w:r>
          </w:p>
        </w:tc>
        <w:tc>
          <w:tcPr>
            <w:shd w:val="clear" w:color="auto" w:fill="F5F7FB"/>
          </w:tcPr>
          <w:p>
            <w:pPr>
              <w:pStyle w:val="Compact"/>
            </w:pPr>
            <w:r>
              <w:rPr>
                <w:sz w:val="17"/>
              </w:rPr>
              <w:t xml:space="preserve">A (quorum 2 sur 3 + hors bande + 72 h)</w:t>
            </w:r>
          </w:p>
        </w:tc>
        <w:tc>
          <w:tcPr>
            <w:shd w:val="clear" w:color="auto" w:fill="F5F7FB"/>
          </w:tcPr>
          <w:p>
            <w:pPr>
              <w:pStyle w:val="Compact"/>
            </w:pPr>
            <w:r>
              <w:rPr>
                <w:sz w:val="17"/>
              </w:rPr>
              <w:t xml:space="preserve">V</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r>
      <w:tr>
        <w:tc>
          <w:tcPr/>
          <w:p>
            <w:pPr>
              <w:pStyle w:val="Compact"/>
            </w:pPr>
            <w:r>
              <w:rPr>
                <w:sz w:val="17"/>
              </w:rPr>
              <w:t xml:space="preserve">Émettre / annuler une quittance</w:t>
            </w:r>
          </w:p>
        </w:tc>
        <w:tc>
          <w:tcPr/>
          <w:p>
            <w:pPr>
              <w:pStyle w:val="Compact"/>
            </w:pPr>
            <w:r>
              <w:rPr>
                <w:sz w:val="17"/>
              </w:rPr>
              <w:t xml:space="preserve">—</w:t>
            </w:r>
          </w:p>
        </w:tc>
        <w:tc>
          <w:tcPr/>
          <w:p>
            <w:pPr>
              <w:pStyle w:val="Compact"/>
            </w:pPr>
            <w:r>
              <w:rPr>
                <w:sz w:val="17"/>
              </w:rPr>
              <w:t xml:space="preserve">—</w:t>
            </w:r>
          </w:p>
        </w:tc>
        <w:tc>
          <w:tcPr/>
          <w:p>
            <w:pPr>
              <w:pStyle w:val="Compact"/>
            </w:pPr>
            <w:r>
              <w:rPr>
                <w:sz w:val="17"/>
              </w:rPr>
              <w:t xml:space="preserve">—</w:t>
            </w:r>
          </w:p>
        </w:tc>
        <w:tc>
          <w:tcPr/>
          <w:p>
            <w:pPr>
              <w:pStyle w:val="Compact"/>
            </w:pPr>
            <w:r>
              <w:rPr>
                <w:sz w:val="17"/>
              </w:rPr>
              <w:t xml:space="preserve">—</w:t>
            </w:r>
          </w:p>
        </w:tc>
        <w:tc>
          <w:tcPr/>
          <w:p>
            <w:pPr>
              <w:pStyle w:val="Compact"/>
            </w:pPr>
            <w:r>
              <w:rPr>
                <w:sz w:val="17"/>
              </w:rPr>
              <w:t xml:space="preserve">—</w:t>
            </w:r>
          </w:p>
        </w:tc>
        <w:tc>
          <w:tcPr/>
          <w:p>
            <w:pPr>
              <w:pStyle w:val="Compact"/>
            </w:pPr>
            <w:r>
              <w:rPr>
                <w:sz w:val="17"/>
              </w:rPr>
              <w:t xml:space="preserve">—</w:t>
            </w:r>
          </w:p>
        </w:tc>
        <w:tc>
          <w:tcPr/>
          <w:p>
            <w:pPr>
              <w:pStyle w:val="Compact"/>
            </w:pPr>
            <w:r>
              <w:rPr>
                <w:sz w:val="17"/>
              </w:rPr>
              <w:t xml:space="preserve">Automate ; annulation par contrepassement A</w:t>
            </w:r>
          </w:p>
        </w:tc>
        <w:tc>
          <w:tcPr/>
          <w:p>
            <w:pPr>
              <w:pStyle w:val="Compact"/>
            </w:pPr>
            <w:r>
              <w:rPr>
                <w:sz w:val="17"/>
              </w:rPr>
              <w:t xml:space="preserve">—</w:t>
            </w:r>
          </w:p>
        </w:tc>
        <w:tc>
          <w:tcPr/>
          <w:p>
            <w:pPr>
              <w:pStyle w:val="Compact"/>
            </w:pPr>
            <w:r>
              <w:rPr>
                <w:sz w:val="17"/>
              </w:rPr>
              <w:t xml:space="preserve">V</w:t>
            </w:r>
          </w:p>
        </w:tc>
        <w:tc>
          <w:tcPr/>
          <w:p>
            <w:pPr>
              <w:pStyle w:val="Compact"/>
            </w:pPr>
            <w:r>
              <w:rPr>
                <w:sz w:val="17"/>
              </w:rPr>
              <w:t xml:space="preserve">✖</w:t>
            </w:r>
          </w:p>
        </w:tc>
        <w:tc>
          <w:tcPr/>
          <w:p>
            <w:pPr>
              <w:pStyle w:val="Compact"/>
            </w:pPr>
            <w:r>
              <w:rPr>
                <w:sz w:val="17"/>
              </w:rPr>
              <w:t xml:space="preserve">Vérifie</w:t>
            </w:r>
          </w:p>
        </w:tc>
      </w:tr>
      <w:tr>
        <w:tc>
          <w:tcPr>
            <w:shd w:val="clear" w:color="auto" w:fill="F5F7FB"/>
          </w:tcPr>
          <w:p>
            <w:pPr>
              <w:pStyle w:val="Compact"/>
            </w:pPr>
            <w:r>
              <w:rPr>
                <w:sz w:val="17"/>
              </w:rPr>
              <w:t xml:space="preserve">Lancer une mission terrain</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A</w:t>
            </w:r>
          </w:p>
        </w:tc>
        <w:tc>
          <w:tcPr>
            <w:shd w:val="clear" w:color="auto" w:fill="F5F7FB"/>
          </w:tcPr>
          <w:p>
            <w:pPr>
              <w:pStyle w:val="Compact"/>
            </w:pPr>
            <w:r>
              <w:rPr>
                <w:sz w:val="17"/>
              </w:rPr>
              <w:t xml:space="preserve">Exécute</w:t>
            </w:r>
          </w:p>
        </w:tc>
        <w:tc>
          <w:tcPr>
            <w:shd w:val="clear" w:color="auto" w:fill="F5F7FB"/>
          </w:tcPr>
          <w:p>
            <w:pPr>
              <w:pStyle w:val="Compact"/>
            </w:pPr>
            <w:r>
              <w:rPr>
                <w:sz w:val="17"/>
              </w:rPr>
              <w:t xml:space="preserve">I</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V</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r>
      <w:tr>
        <w:tc>
          <w:tcPr/>
          <w:p>
            <w:pPr>
              <w:pStyle w:val="Compact"/>
            </w:pPr>
            <w:r>
              <w:rPr>
                <w:sz w:val="17"/>
              </w:rPr>
              <w:t xml:space="preserve">Engager un acte de poursuite</w:t>
            </w:r>
          </w:p>
        </w:tc>
        <w:tc>
          <w:tcPr/>
          <w:p>
            <w:pPr>
              <w:pStyle w:val="Compact"/>
            </w:pPr>
            <w:r>
              <w:rPr>
                <w:sz w:val="17"/>
              </w:rPr>
              <w:t xml:space="preserve">—</w:t>
            </w:r>
          </w:p>
        </w:tc>
        <w:tc>
          <w:tcPr/>
          <w:p>
            <w:pPr>
              <w:pStyle w:val="Compact"/>
            </w:pPr>
            <w:r>
              <w:rPr>
                <w:sz w:val="17"/>
              </w:rPr>
              <w:t xml:space="preserve">—</w:t>
            </w:r>
          </w:p>
        </w:tc>
        <w:tc>
          <w:tcPr/>
          <w:p>
            <w:pPr>
              <w:pStyle w:val="Compact"/>
            </w:pPr>
            <w:r>
              <w:rPr>
                <w:sz w:val="17"/>
              </w:rPr>
              <w:t xml:space="preserve">A (autorité légale)</w:t>
            </w:r>
          </w:p>
        </w:tc>
        <w:tc>
          <w:tcPr/>
          <w:p>
            <w:pPr>
              <w:pStyle w:val="Compact"/>
            </w:pPr>
            <w:r>
              <w:rPr>
                <w:sz w:val="17"/>
              </w:rPr>
              <w:t xml:space="preserve">—</w:t>
            </w:r>
          </w:p>
        </w:tc>
        <w:tc>
          <w:tcPr/>
          <w:p>
            <w:pPr>
              <w:pStyle w:val="Compact"/>
            </w:pPr>
            <w:r>
              <w:rPr>
                <w:sz w:val="17"/>
              </w:rPr>
              <w:t xml:space="preserve">I</w:t>
            </w:r>
          </w:p>
        </w:tc>
        <w:tc>
          <w:tcPr/>
          <w:p>
            <w:pPr>
              <w:pStyle w:val="Compact"/>
            </w:pPr>
            <w:r>
              <w:rPr>
                <w:sz w:val="17"/>
              </w:rPr>
              <w:t xml:space="preserve">—</w:t>
            </w:r>
          </w:p>
        </w:tc>
        <w:tc>
          <w:tcPr/>
          <w:p>
            <w:pPr>
              <w:pStyle w:val="Compact"/>
            </w:pPr>
            <w:r>
              <w:rPr>
                <w:sz w:val="17"/>
              </w:rPr>
              <w:t xml:space="preserve">—</w:t>
            </w:r>
          </w:p>
        </w:tc>
        <w:tc>
          <w:tcPr/>
          <w:p>
            <w:pPr>
              <w:pStyle w:val="Compact"/>
            </w:pPr>
            <w:r>
              <w:rPr>
                <w:sz w:val="17"/>
              </w:rPr>
              <w:t xml:space="preserve">—</w:t>
            </w:r>
          </w:p>
        </w:tc>
        <w:tc>
          <w:tcPr/>
          <w:p>
            <w:pPr>
              <w:pStyle w:val="Compact"/>
            </w:pPr>
            <w:r>
              <w:rPr>
                <w:sz w:val="17"/>
              </w:rPr>
              <w:t xml:space="preserve">V</w:t>
            </w:r>
          </w:p>
        </w:tc>
        <w:tc>
          <w:tcPr/>
          <w:p>
            <w:pPr>
              <w:pStyle w:val="Compact"/>
            </w:pPr>
            <w:r>
              <w:rPr>
                <w:sz w:val="17"/>
              </w:rPr>
              <w:t xml:space="preserve">✖</w:t>
            </w:r>
          </w:p>
        </w:tc>
        <w:tc>
          <w:tcPr/>
          <w:p>
            <w:pPr>
              <w:pStyle w:val="Compact"/>
            </w:pPr>
            <w:r>
              <w:rPr>
                <w:sz w:val="17"/>
              </w:rPr>
              <w:t xml:space="preserve">Recours</w:t>
            </w:r>
          </w:p>
        </w:tc>
      </w:tr>
      <w:tr>
        <w:tc>
          <w:tcPr>
            <w:shd w:val="clear" w:color="auto" w:fill="F5F7FB"/>
          </w:tcPr>
          <w:p>
            <w:pPr>
              <w:pStyle w:val="Compact"/>
            </w:pPr>
            <w:r>
              <w:rPr>
                <w:sz w:val="17"/>
              </w:rPr>
              <w:t xml:space="preserve">Décider d’une réclamation</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A (selon texte)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Avis</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V</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Initie</w:t>
            </w:r>
          </w:p>
        </w:tc>
      </w:tr>
      <w:tr>
        <w:tc>
          <w:tcPr/>
          <w:p>
            <w:pPr>
              <w:pStyle w:val="Compact"/>
            </w:pPr>
            <w:r>
              <w:rPr>
                <w:sz w:val="17"/>
              </w:rPr>
              <w:t xml:space="preserve">Consulter le journal d’audit</w:t>
            </w:r>
          </w:p>
        </w:tc>
        <w:tc>
          <w:tcPr/>
          <w:p>
            <w:pPr>
              <w:pStyle w:val="Compact"/>
            </w:pPr>
            <w:r>
              <w:rPr>
                <w:sz w:val="17"/>
              </w:rPr>
              <w:t xml:space="preserve">Agrégats d’alertes</w:t>
            </w:r>
          </w:p>
        </w:tc>
        <w:tc>
          <w:tcPr/>
          <w:p>
            <w:pPr>
              <w:pStyle w:val="Compact"/>
            </w:pPr>
            <w:r>
              <w:rPr>
                <w:sz w:val="17"/>
              </w:rPr>
              <w:t xml:space="preserve">—</w:t>
            </w:r>
          </w:p>
        </w:tc>
        <w:tc>
          <w:tcPr/>
          <w:p>
            <w:pPr>
              <w:pStyle w:val="Compact"/>
            </w:pPr>
            <w:r>
              <w:rPr>
                <w:sz w:val="17"/>
              </w:rPr>
              <w:t xml:space="preserve">Son entité</w:t>
            </w:r>
          </w:p>
        </w:tc>
        <w:tc>
          <w:tcPr/>
          <w:p>
            <w:pPr>
              <w:pStyle w:val="Compact"/>
            </w:pPr>
            <w:r>
              <w:rPr>
                <w:sz w:val="17"/>
              </w:rPr>
              <w:t xml:space="preserve">—</w:t>
            </w:r>
          </w:p>
        </w:tc>
        <w:tc>
          <w:tcPr/>
          <w:p>
            <w:pPr>
              <w:pStyle w:val="Compact"/>
            </w:pPr>
            <w:r>
              <w:rPr>
                <w:sz w:val="17"/>
              </w:rPr>
              <w:t xml:space="preserve">—</w:t>
            </w:r>
          </w:p>
        </w:tc>
        <w:tc>
          <w:tcPr/>
          <w:p>
            <w:pPr>
              <w:pStyle w:val="Compact"/>
            </w:pPr>
            <w:r>
              <w:rPr>
                <w:sz w:val="17"/>
              </w:rPr>
              <w:t xml:space="preserve">—</w:t>
            </w:r>
          </w:p>
        </w:tc>
        <w:tc>
          <w:tcPr/>
          <w:p>
            <w:pPr>
              <w:pStyle w:val="Compact"/>
            </w:pPr>
            <w:r>
              <w:rPr>
                <w:sz w:val="17"/>
              </w:rPr>
              <w:t xml:space="preserve">Son périmètre</w:t>
            </w:r>
          </w:p>
        </w:tc>
        <w:tc>
          <w:tcPr/>
          <w:p>
            <w:pPr>
              <w:pStyle w:val="Compact"/>
            </w:pPr>
            <w:r>
              <w:rPr>
                <w:sz w:val="17"/>
              </w:rPr>
              <w:t xml:space="preserve">—</w:t>
            </w:r>
          </w:p>
        </w:tc>
        <w:tc>
          <w:tcPr/>
          <w:p>
            <w:pPr>
              <w:pStyle w:val="Compact"/>
            </w:pPr>
            <w:r>
              <w:rPr>
                <w:b/>
                <w:bCs/>
                <w:sz w:val="17"/>
              </w:rPr>
              <w:t xml:space="preserve">Intégral</w:t>
            </w:r>
          </w:p>
        </w:tc>
        <w:tc>
          <w:tcPr/>
          <w:p>
            <w:pPr>
              <w:pStyle w:val="Compact"/>
            </w:pPr>
            <w:r>
              <w:rPr>
                <w:sz w:val="17"/>
              </w:rPr>
              <w:t xml:space="preserve">Technique uniquement</w:t>
            </w:r>
          </w:p>
        </w:tc>
        <w:tc>
          <w:tcPr/>
          <w:p>
            <w:pPr>
              <w:pStyle w:val="Compact"/>
            </w:pPr>
            <w:r>
              <w:rPr>
                <w:sz w:val="17"/>
              </w:rPr>
              <w:t xml:space="preserve">Son historique</w:t>
            </w:r>
          </w:p>
        </w:tc>
      </w:tr>
      <w:tr>
        <w:tc>
          <w:tcPr>
            <w:shd w:val="clear" w:color="auto" w:fill="F5F7FB"/>
          </w:tcPr>
          <w:p>
            <w:pPr>
              <w:pStyle w:val="Compact"/>
            </w:pPr>
            <w:r>
              <w:rPr>
                <w:sz w:val="17"/>
              </w:rPr>
              <w:t xml:space="preserve">Supprimer une écriture ou un événement d’audit</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r>
      <w:tr>
        <w:tc>
          <w:tcPr/>
          <w:p>
            <w:pPr>
              <w:pStyle w:val="Compact"/>
            </w:pPr>
            <w:r>
              <w:rPr>
                <w:sz w:val="17"/>
              </w:rPr>
              <w:t xml:space="preserve">Déployer une version logicielle</w:t>
            </w:r>
          </w:p>
        </w:tc>
        <w:tc>
          <w:tcPr/>
          <w:p>
            <w:pPr>
              <w:pStyle w:val="Compact"/>
            </w:pPr>
            <w:r>
              <w:rPr>
                <w:sz w:val="17"/>
              </w:rPr>
              <w:t xml:space="preserve">—</w:t>
            </w:r>
          </w:p>
        </w:tc>
        <w:tc>
          <w:tcPr/>
          <w:p>
            <w:pPr>
              <w:pStyle w:val="Compact"/>
            </w:pPr>
            <w:r>
              <w:rPr>
                <w:sz w:val="17"/>
              </w:rPr>
              <w:t xml:space="preserve">—</w:t>
            </w:r>
          </w:p>
        </w:tc>
        <w:tc>
          <w:tcPr/>
          <w:p>
            <w:pPr>
              <w:pStyle w:val="Compact"/>
            </w:pPr>
            <w:r>
              <w:rPr>
                <w:sz w:val="17"/>
              </w:rPr>
              <w:t xml:space="preserve">—</w:t>
            </w:r>
          </w:p>
        </w:tc>
        <w:tc>
          <w:tcPr/>
          <w:p>
            <w:pPr>
              <w:pStyle w:val="Compact"/>
            </w:pPr>
            <w:r>
              <w:rPr>
                <w:sz w:val="17"/>
              </w:rPr>
              <w:t xml:space="preserve">—</w:t>
            </w:r>
          </w:p>
        </w:tc>
        <w:tc>
          <w:tcPr/>
          <w:p>
            <w:pPr>
              <w:pStyle w:val="Compact"/>
            </w:pPr>
            <w:r>
              <w:rPr>
                <w:sz w:val="17"/>
              </w:rPr>
              <w:t xml:space="preserve">—</w:t>
            </w:r>
          </w:p>
        </w:tc>
        <w:tc>
          <w:tcPr/>
          <w:p>
            <w:pPr>
              <w:pStyle w:val="Compact"/>
            </w:pPr>
            <w:r>
              <w:rPr>
                <w:sz w:val="17"/>
              </w:rPr>
              <w:t xml:space="preserve">—</w:t>
            </w:r>
          </w:p>
        </w:tc>
        <w:tc>
          <w:tcPr/>
          <w:p>
            <w:pPr>
              <w:pStyle w:val="Compact"/>
            </w:pPr>
            <w:r>
              <w:rPr>
                <w:sz w:val="17"/>
              </w:rPr>
              <w:t xml:space="preserve">—</w:t>
            </w:r>
          </w:p>
        </w:tc>
        <w:tc>
          <w:tcPr/>
          <w:p>
            <w:pPr>
              <w:pStyle w:val="Compact"/>
            </w:pPr>
            <w:r>
              <w:rPr>
                <w:sz w:val="17"/>
              </w:rPr>
              <w:t xml:space="preserve">—</w:t>
            </w:r>
          </w:p>
        </w:tc>
        <w:tc>
          <w:tcPr/>
          <w:p>
            <w:pPr>
              <w:pStyle w:val="Compact"/>
            </w:pPr>
            <w:r>
              <w:rPr>
                <w:sz w:val="17"/>
              </w:rPr>
              <w:t xml:space="preserve">V</w:t>
            </w:r>
          </w:p>
        </w:tc>
        <w:tc>
          <w:tcPr/>
          <w:p>
            <w:pPr>
              <w:pStyle w:val="Compact"/>
            </w:pPr>
            <w:r>
              <w:rPr>
                <w:sz w:val="17"/>
              </w:rPr>
              <w:t xml:space="preserve">I (A par comité des changements)</w:t>
            </w:r>
          </w:p>
        </w:tc>
        <w:tc>
          <w:tcPr/>
          <w:p>
            <w:pPr>
              <w:pStyle w:val="Compact"/>
            </w:pPr>
            <w:r>
              <w:rPr>
                <w:sz w:val="17"/>
              </w:rPr>
              <w:t xml:space="preserve">—</w:t>
            </w:r>
          </w:p>
        </w:tc>
      </w:tr>
      <w:tr>
        <w:tc>
          <w:tcPr>
            <w:shd w:val="clear" w:color="auto" w:fill="F5F7FB"/>
          </w:tcPr>
          <w:p>
            <w:pPr>
              <w:pStyle w:val="Compact"/>
            </w:pPr>
            <w:r>
              <w:rPr>
                <w:sz w:val="17"/>
              </w:rPr>
              <w:t xml:space="preserve">Attribuer un rôle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A (son entité)</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V</w:t>
            </w:r>
          </w:p>
        </w:tc>
        <w:tc>
          <w:tcPr>
            <w:shd w:val="clear" w:color="auto" w:fill="F5F7FB"/>
          </w:tcPr>
          <w:p>
            <w:pPr>
              <w:pStyle w:val="Compact"/>
            </w:pPr>
            <w:r>
              <w:rPr>
                <w:sz w:val="17"/>
              </w:rPr>
              <w:t xml:space="preserve">Technique uniquement, sur demande approuvée</w:t>
            </w:r>
          </w:p>
        </w:tc>
        <w:tc>
          <w:tcPr>
            <w:shd w:val="clear" w:color="auto" w:fill="F5F7FB"/>
          </w:tcPr>
          <w:p>
            <w:pPr>
              <w:pStyle w:val="Compact"/>
            </w:pPr>
            <w:r>
              <w:rPr>
                <w:sz w:val="17"/>
              </w:rPr>
              <w:t xml:space="preserve">—</w:t>
            </w:r>
          </w:p>
        </w:tc>
      </w:tr>
    </w:tbl>
    <w:p>
      <w:pPr>
        <w:pStyle w:val="BodyText"/>
      </w:pPr>
      <w:r>
        <w:rPr>
          <w:b/>
          <w:bCs/>
        </w:rPr>
        <w:t xml:space="preserve">Le Gouverneur</w:t>
      </w:r>
      <w:r>
        <w:t xml:space="preserve"> </w:t>
      </w:r>
      <w:r>
        <w:t xml:space="preserve">dispose de la vision la plus large sur les agrégats, les performances par ministère, régie, commune et catégorie, les alertes critiques, les prévisions et les recommandations. Il peut demander une enquête, approuver des priorités stratégiques et recevoir les rapports exécutifs.</w:t>
      </w:r>
      <w:r>
        <w:t xml:space="preserve"> </w:t>
      </w:r>
      <w:r>
        <w:rPr>
          <w:b/>
          <w:bCs/>
        </w:rPr>
        <w:t xml:space="preserve">Il ne peut pas</w:t>
      </w:r>
      <w:r>
        <w:t xml:space="preserve"> </w:t>
      </w:r>
      <w:r>
        <w:t xml:space="preserve">supprimer une transaction, réécrire une quittance, modifier un compte bénéficiaire ou altérer une preuve d’audit ; aucune interface ne le permet, et toute tentative indirecte (demande à un technicien) laisserait une trace et exigerait des approbations qu’il ne peut pas donner seul.</w:t>
      </w:r>
    </w:p>
    <w:p>
      <w:pPr>
        <w:pStyle w:val="BodyText"/>
      </w:pPr>
      <w:r>
        <w:rPr>
          <w:b/>
          <w:bCs/>
        </w:rPr>
        <w:t xml:space="preserve">Le super-administrateur de la plateforme</w:t>
      </w:r>
      <w:r>
        <w:t xml:space="preserve"> </w:t>
      </w:r>
      <w:r>
        <w:t xml:space="preserve">gère la configuration technique, la disponibilité, les espaces d’entité, les politiques de sécurité, la santé des intégrations, les versions, les systèmes d’identité et le support.</w:t>
      </w:r>
      <w:r>
        <w:t xml:space="preserve"> </w:t>
      </w:r>
      <w:r>
        <w:rPr>
          <w:b/>
          <w:bCs/>
        </w:rPr>
        <w:t xml:space="preserve">Il n’a aucun pouvoir</w:t>
      </w:r>
      <w:r>
        <w:t xml:space="preserve"> </w:t>
      </w:r>
      <w:r>
        <w:t xml:space="preserve">sur les obligations, les paiements, les comptes bénéficiaires ni les journaux d’audit : les données financières sont signées par des clés qu’il ne détient pas, le journal d’audit est répliqué dans un stockage WORM hors de son contrôle, et ses propres actions sont journalisées vers un SIEM surveillé par le RSSI et l’audit.</w:t>
      </w:r>
    </w:p>
    <w:bookmarkEnd w:id="135"/>
    <w:bookmarkStart w:id="136" w:name="incompatibilités-séparation-des-tâches"/>
    <w:p>
      <w:pPr>
        <w:pStyle w:val="Heading2"/>
      </w:pPr>
      <w:r>
        <w:t xml:space="preserve">12.5 Incompatibilités (séparation des tâches)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Rôle A</w:t>
            </w:r>
          </w:p>
        </w:tc>
        <w:tc>
          <w:tcPr>
            <w:shd w:val="clear" w:color="auto" w:fill="232C6B"/>
          </w:tcPr>
          <w:p>
            <w:pPr>
              <w:pStyle w:val="Compact"/>
            </w:pPr>
            <w:r>
              <w:rPr>
                <w:b/>
                <w:color w:val="FFFFFF"/>
                <w:sz w:val="17"/>
              </w:rPr>
              <w:t xml:space="preserve">Incompatible avec</w:t>
            </w:r>
          </w:p>
        </w:tc>
        <w:tc>
          <w:tcPr>
            <w:shd w:val="clear" w:color="auto" w:fill="232C6B"/>
          </w:tcPr>
          <w:p>
            <w:pPr>
              <w:pStyle w:val="Compact"/>
            </w:pPr>
            <w:r>
              <w:rPr>
                <w:b/>
                <w:color w:val="FFFFFF"/>
                <w:sz w:val="17"/>
              </w:rPr>
              <w:t xml:space="preserve">Raison</w:t>
            </w:r>
          </w:p>
        </w:tc>
      </w:tr>
      <w:tr>
        <w:tc>
          <w:tcPr/>
          <w:p>
            <w:pPr>
              <w:pStyle w:val="Compact"/>
            </w:pPr>
            <w:r>
              <w:rPr>
                <w:sz w:val="17"/>
              </w:rPr>
              <w:t xml:space="preserve">Rédacteur de règle</w:t>
            </w:r>
          </w:p>
        </w:tc>
        <w:tc>
          <w:tcPr/>
          <w:p>
            <w:pPr>
              <w:pStyle w:val="Compact"/>
            </w:pPr>
            <w:r>
              <w:rPr>
                <w:sz w:val="17"/>
              </w:rPr>
              <w:t xml:space="preserve">Vérificateur, validateur financier, publicateur de la même règle</w:t>
            </w:r>
          </w:p>
        </w:tc>
        <w:tc>
          <w:tcPr/>
          <w:p>
            <w:pPr>
              <w:pStyle w:val="Compact"/>
            </w:pPr>
            <w:r>
              <w:rPr>
                <w:sz w:val="17"/>
              </w:rPr>
              <w:t xml:space="preserve">Quatre yeux juridiques</w:t>
            </w:r>
          </w:p>
        </w:tc>
      </w:tr>
      <w:tr>
        <w:tc>
          <w:tcPr>
            <w:shd w:val="clear" w:color="auto" w:fill="F5F7FB"/>
          </w:tcPr>
          <w:p>
            <w:pPr>
              <w:pStyle w:val="Compact"/>
            </w:pPr>
            <w:r>
              <w:rPr>
                <w:sz w:val="17"/>
              </w:rPr>
              <w:t xml:space="preserve">Agent de terrain</w:t>
            </w:r>
          </w:p>
        </w:tc>
        <w:tc>
          <w:tcPr>
            <w:shd w:val="clear" w:color="auto" w:fill="F5F7FB"/>
          </w:tcPr>
          <w:p>
            <w:pPr>
              <w:pStyle w:val="Compact"/>
            </w:pPr>
            <w:r>
              <w:rPr>
                <w:sz w:val="17"/>
              </w:rPr>
              <w:t xml:space="preserve">Contrôleur qualité de ses propres constats ; toute fonction de paiement</w:t>
            </w:r>
          </w:p>
        </w:tc>
        <w:tc>
          <w:tcPr>
            <w:shd w:val="clear" w:color="auto" w:fill="F5F7FB"/>
          </w:tcPr>
          <w:p>
            <w:pPr>
              <w:pStyle w:val="Compact"/>
            </w:pPr>
            <w:r>
              <w:rPr>
                <w:sz w:val="17"/>
              </w:rPr>
              <w:t xml:space="preserve">Constat ≠ contrôle ≠ encaissement</w:t>
            </w:r>
          </w:p>
        </w:tc>
      </w:tr>
      <w:tr>
        <w:tc>
          <w:tcPr/>
          <w:p>
            <w:pPr>
              <w:pStyle w:val="Compact"/>
            </w:pPr>
            <w:r>
              <w:rPr>
                <w:sz w:val="17"/>
              </w:rPr>
              <w:t xml:space="preserve">Initiateur d’exonération</w:t>
            </w:r>
          </w:p>
        </w:tc>
        <w:tc>
          <w:tcPr/>
          <w:p>
            <w:pPr>
              <w:pStyle w:val="Compact"/>
            </w:pPr>
            <w:r>
              <w:rPr>
                <w:sz w:val="17"/>
              </w:rPr>
              <w:t xml:space="preserve">Approbateur de la même exonération</w:t>
            </w:r>
          </w:p>
        </w:tc>
        <w:tc>
          <w:tcPr/>
          <w:p>
            <w:pPr>
              <w:pStyle w:val="Compact"/>
            </w:pPr>
            <w:r>
              <w:rPr>
                <w:sz w:val="17"/>
              </w:rPr>
              <w:t xml:space="preserve">Quatre yeux</w:t>
            </w:r>
          </w:p>
        </w:tc>
      </w:tr>
      <w:tr>
        <w:tc>
          <w:tcPr>
            <w:shd w:val="clear" w:color="auto" w:fill="F5F7FB"/>
          </w:tcPr>
          <w:p>
            <w:pPr>
              <w:pStyle w:val="Compact"/>
            </w:pPr>
            <w:r>
              <w:rPr>
                <w:sz w:val="17"/>
              </w:rPr>
              <w:t xml:space="preserve">Analyste de rapprochement</w:t>
            </w:r>
          </w:p>
        </w:tc>
        <w:tc>
          <w:tcPr>
            <w:shd w:val="clear" w:color="auto" w:fill="F5F7FB"/>
          </w:tcPr>
          <w:p>
            <w:pPr>
              <w:pStyle w:val="Compact"/>
            </w:pPr>
            <w:r>
              <w:rPr>
                <w:sz w:val="17"/>
              </w:rPr>
              <w:t xml:space="preserve">Approbateur de la même exception</w:t>
            </w:r>
          </w:p>
        </w:tc>
        <w:tc>
          <w:tcPr>
            <w:shd w:val="clear" w:color="auto" w:fill="F5F7FB"/>
          </w:tcPr>
          <w:p>
            <w:pPr>
              <w:pStyle w:val="Compact"/>
            </w:pPr>
            <w:r>
              <w:rPr>
                <w:sz w:val="17"/>
              </w:rPr>
              <w:t xml:space="preserve">Quatre yeux</w:t>
            </w:r>
          </w:p>
        </w:tc>
      </w:tr>
      <w:tr>
        <w:tc>
          <w:tcPr/>
          <w:p>
            <w:pPr>
              <w:pStyle w:val="Compact"/>
            </w:pPr>
            <w:r>
              <w:rPr>
                <w:sz w:val="17"/>
              </w:rPr>
              <w:t xml:space="preserve">Initiateur de remboursement</w:t>
            </w:r>
          </w:p>
        </w:tc>
        <w:tc>
          <w:tcPr/>
          <w:p>
            <w:pPr>
              <w:pStyle w:val="Compact"/>
            </w:pPr>
            <w:r>
              <w:rPr>
                <w:sz w:val="17"/>
              </w:rPr>
              <w:t xml:space="preserve">Approbateur ; bénéficiaire lié</w:t>
            </w:r>
          </w:p>
        </w:tc>
        <w:tc>
          <w:tcPr/>
          <w:p>
            <w:pPr>
              <w:pStyle w:val="Compact"/>
            </w:pPr>
            <w:r>
              <w:rPr>
                <w:sz w:val="17"/>
              </w:rPr>
              <w:t xml:space="preserve">Anti-détournement</w:t>
            </w:r>
          </w:p>
        </w:tc>
      </w:tr>
      <w:tr>
        <w:tc>
          <w:tcPr>
            <w:shd w:val="clear" w:color="auto" w:fill="F5F7FB"/>
          </w:tcPr>
          <w:p>
            <w:pPr>
              <w:pStyle w:val="Compact"/>
            </w:pPr>
            <w:r>
              <w:rPr>
                <w:sz w:val="17"/>
              </w:rPr>
              <w:t xml:space="preserve">Gestionnaire du coffre</w:t>
            </w:r>
          </w:p>
        </w:tc>
        <w:tc>
          <w:tcPr>
            <w:shd w:val="clear" w:color="auto" w:fill="F5F7FB"/>
          </w:tcPr>
          <w:p>
            <w:pPr>
              <w:pStyle w:val="Compact"/>
            </w:pPr>
            <w:r>
              <w:rPr>
                <w:sz w:val="17"/>
              </w:rPr>
              <w:t xml:space="preserve">Comptable qui exécute les virements</w:t>
            </w:r>
          </w:p>
        </w:tc>
        <w:tc>
          <w:tcPr>
            <w:shd w:val="clear" w:color="auto" w:fill="F5F7FB"/>
          </w:tcPr>
          <w:p>
            <w:pPr>
              <w:pStyle w:val="Compact"/>
            </w:pPr>
            <w:r>
              <w:rPr>
                <w:sz w:val="17"/>
              </w:rPr>
              <w:t xml:space="preserve">Séparation proposition/exécution</w:t>
            </w:r>
          </w:p>
        </w:tc>
      </w:tr>
      <w:tr>
        <w:tc>
          <w:tcPr/>
          <w:p>
            <w:pPr>
              <w:pStyle w:val="Compact"/>
            </w:pPr>
            <w:r>
              <w:rPr>
                <w:sz w:val="17"/>
              </w:rPr>
              <w:t xml:space="preserve">Super-administrateur</w:t>
            </w:r>
          </w:p>
        </w:tc>
        <w:tc>
          <w:tcPr/>
          <w:p>
            <w:pPr>
              <w:pStyle w:val="Compact"/>
            </w:pPr>
            <w:r>
              <w:rPr>
                <w:sz w:val="17"/>
              </w:rPr>
              <w:t xml:space="preserve">Tout rôle métier ou financier</w:t>
            </w:r>
          </w:p>
        </w:tc>
        <w:tc>
          <w:tcPr/>
          <w:p>
            <w:pPr>
              <w:pStyle w:val="Compact"/>
            </w:pPr>
            <w:r>
              <w:rPr>
                <w:sz w:val="17"/>
              </w:rPr>
              <w:t xml:space="preserve">Séparation technique/financier</w:t>
            </w:r>
          </w:p>
        </w:tc>
      </w:tr>
      <w:tr>
        <w:tc>
          <w:tcPr>
            <w:shd w:val="clear" w:color="auto" w:fill="F5F7FB"/>
          </w:tcPr>
          <w:p>
            <w:pPr>
              <w:pStyle w:val="Compact"/>
            </w:pPr>
            <w:r>
              <w:rPr>
                <w:sz w:val="17"/>
              </w:rPr>
              <w:t xml:space="preserve">Gestionnaire de modèles d’IA</w:t>
            </w:r>
          </w:p>
        </w:tc>
        <w:tc>
          <w:tcPr>
            <w:shd w:val="clear" w:color="auto" w:fill="F5F7FB"/>
          </w:tcPr>
          <w:p>
            <w:pPr>
              <w:pStyle w:val="Compact"/>
            </w:pPr>
            <w:r>
              <w:rPr>
                <w:sz w:val="17"/>
              </w:rPr>
              <w:t xml:space="preserve">Utilisateur métier décidant sur la base du modèle</w:t>
            </w:r>
          </w:p>
        </w:tc>
        <w:tc>
          <w:tcPr>
            <w:shd w:val="clear" w:color="auto" w:fill="F5F7FB"/>
          </w:tcPr>
          <w:p>
            <w:pPr>
              <w:pStyle w:val="Compact"/>
            </w:pPr>
            <w:r>
              <w:rPr>
                <w:sz w:val="17"/>
              </w:rPr>
              <w:t xml:space="preserve">Indépendance de la validation</w:t>
            </w:r>
          </w:p>
        </w:tc>
      </w:tr>
      <w:tr>
        <w:tc>
          <w:tcPr/>
          <w:p>
            <w:pPr>
              <w:pStyle w:val="Compact"/>
            </w:pPr>
            <w:r>
              <w:rPr>
                <w:sz w:val="17"/>
              </w:rPr>
              <w:t xml:space="preserve">Auditeur</w:t>
            </w:r>
          </w:p>
        </w:tc>
        <w:tc>
          <w:tcPr/>
          <w:p>
            <w:pPr>
              <w:pStyle w:val="Compact"/>
            </w:pPr>
            <w:r>
              <w:rPr>
                <w:sz w:val="17"/>
              </w:rPr>
              <w:t xml:space="preserve">Tout rôle opérationnel</w:t>
            </w:r>
          </w:p>
        </w:tc>
        <w:tc>
          <w:tcPr/>
          <w:p>
            <w:pPr>
              <w:pStyle w:val="Compact"/>
            </w:pPr>
            <w:r>
              <w:rPr>
                <w:sz w:val="17"/>
              </w:rPr>
              <w:t xml:space="preserve">Indépendance</w:t>
            </w:r>
          </w:p>
        </w:tc>
      </w:tr>
    </w:tbl>
    <w:bookmarkEnd w:id="136"/>
    <w:bookmarkStart w:id="137" w:name="la-constitution-financière-mosolo"/>
    <w:p>
      <w:pPr>
        <w:pStyle w:val="Heading2"/>
      </w:pPr>
      <w:r>
        <w:t xml:space="preserve">12.6 La Constitution financière MOSOLO</w:t>
      </w:r>
    </w:p>
    <w:p>
      <w:pPr>
        <w:pStyle w:val="BlockText"/>
      </w:pPr>
      <w:r>
        <w:rPr>
          <w:b/>
          <w:bCs/>
        </w:rPr>
        <w:t xml:space="preserve">« Aucun individu ne possède les clés du système financier. »</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584"/>
        <w:gridCol w:w="1584"/>
        <w:gridCol w:w="1584"/>
        <w:gridCol w:w="1584"/>
        <w:gridCol w:w="1584"/>
      </w:tblGrid>
      <w:tr>
        <w:trPr>
          <w:tblHeader w:val="on"/>
        </w:trPr>
        <w:tc>
          <w:tcPr>
            <w:shd w:val="clear" w:color="auto" w:fill="232C6B"/>
          </w:tcPr>
          <w:p>
            <w:pPr>
              <w:pStyle w:val="Compact"/>
            </w:pPr>
            <w:r>
              <w:rPr>
                <w:b/>
                <w:color w:val="FFFFFF"/>
                <w:sz w:val="17"/>
              </w:rPr>
              <w:t xml:space="preserve">Opération critique</w:t>
            </w:r>
          </w:p>
        </w:tc>
        <w:tc>
          <w:tcPr>
            <w:shd w:val="clear" w:color="auto" w:fill="232C6B"/>
          </w:tcPr>
          <w:p>
            <w:pPr>
              <w:pStyle w:val="Compact"/>
            </w:pPr>
            <w:r>
              <w:rPr>
                <w:b/>
                <w:color w:val="FFFFFF"/>
                <w:sz w:val="17"/>
              </w:rPr>
              <w:t xml:space="preserve">Initiateur</w:t>
            </w:r>
          </w:p>
        </w:tc>
        <w:tc>
          <w:tcPr>
            <w:shd w:val="clear" w:color="auto" w:fill="232C6B"/>
          </w:tcPr>
          <w:p>
            <w:pPr>
              <w:pStyle w:val="Compact"/>
            </w:pPr>
            <w:r>
              <w:rPr>
                <w:b/>
                <w:color w:val="FFFFFF"/>
                <w:sz w:val="17"/>
              </w:rPr>
              <w:t xml:space="preserve">Vérificateur</w:t>
            </w:r>
          </w:p>
        </w:tc>
        <w:tc>
          <w:tcPr>
            <w:shd w:val="clear" w:color="auto" w:fill="232C6B"/>
          </w:tcPr>
          <w:p>
            <w:pPr>
              <w:pStyle w:val="Compact"/>
            </w:pPr>
            <w:r>
              <w:rPr>
                <w:b/>
                <w:color w:val="FFFFFF"/>
                <w:sz w:val="17"/>
              </w:rPr>
              <w:t xml:space="preserve">Approbateur</w:t>
            </w:r>
          </w:p>
        </w:tc>
        <w:tc>
          <w:tcPr>
            <w:shd w:val="clear" w:color="auto" w:fill="232C6B"/>
          </w:tcPr>
          <w:p>
            <w:pPr>
              <w:pStyle w:val="Compact"/>
            </w:pPr>
            <w:r>
              <w:rPr>
                <w:b/>
                <w:color w:val="FFFFFF"/>
                <w:sz w:val="17"/>
              </w:rPr>
              <w:t xml:space="preserve">Contrôles additionnels</w:t>
            </w:r>
          </w:p>
        </w:tc>
      </w:tr>
      <w:tr>
        <w:tc>
          <w:tcPr/>
          <w:p>
            <w:pPr>
              <w:pStyle w:val="Compact"/>
            </w:pPr>
            <w:r>
              <w:rPr>
                <w:sz w:val="17"/>
              </w:rPr>
              <w:t xml:space="preserve">Publication d’une règle</w:t>
            </w:r>
          </w:p>
        </w:tc>
        <w:tc>
          <w:tcPr/>
          <w:p>
            <w:pPr>
              <w:pStyle w:val="Compact"/>
            </w:pPr>
            <w:r>
              <w:rPr>
                <w:sz w:val="17"/>
              </w:rPr>
              <w:t xml:space="preserve">Juriste rédacteur</w:t>
            </w:r>
          </w:p>
        </w:tc>
        <w:tc>
          <w:tcPr/>
          <w:p>
            <w:pPr>
              <w:pStyle w:val="Compact"/>
            </w:pPr>
            <w:r>
              <w:rPr>
                <w:sz w:val="17"/>
              </w:rPr>
              <w:t xml:space="preserve">Juriste vérificateur</w:t>
            </w:r>
          </w:p>
        </w:tc>
        <w:tc>
          <w:tcPr/>
          <w:p>
            <w:pPr>
              <w:pStyle w:val="Compact"/>
            </w:pPr>
            <w:r>
              <w:rPr>
                <w:sz w:val="17"/>
              </w:rPr>
              <w:t xml:space="preserve">Validateur financier + autorité de publication</w:t>
            </w:r>
          </w:p>
        </w:tc>
        <w:tc>
          <w:tcPr/>
          <w:p>
            <w:pPr>
              <w:pStyle w:val="Compact"/>
            </w:pPr>
            <w:r>
              <w:rPr>
                <w:sz w:val="17"/>
              </w:rPr>
              <w:t xml:space="preserve">Pièce officielle hachée ; tests de cas juridiques verts</w:t>
            </w:r>
          </w:p>
        </w:tc>
      </w:tr>
      <w:tr>
        <w:tc>
          <w:tcPr>
            <w:shd w:val="clear" w:color="auto" w:fill="F5F7FB"/>
          </w:tcPr>
          <w:p>
            <w:pPr>
              <w:pStyle w:val="Compact"/>
            </w:pPr>
            <w:r>
              <w:rPr>
                <w:sz w:val="17"/>
              </w:rPr>
              <w:t xml:space="preserve">Changement de compte bénéficiaire</w:t>
            </w:r>
          </w:p>
        </w:tc>
        <w:tc>
          <w:tcPr>
            <w:shd w:val="clear" w:color="auto" w:fill="F5F7FB"/>
          </w:tcPr>
          <w:p>
            <w:pPr>
              <w:pStyle w:val="Compact"/>
            </w:pPr>
            <w:r>
              <w:rPr>
                <w:sz w:val="17"/>
              </w:rPr>
              <w:t xml:space="preserve">Trésor</w:t>
            </w:r>
          </w:p>
        </w:tc>
        <w:tc>
          <w:tcPr>
            <w:shd w:val="clear" w:color="auto" w:fill="F5F7FB"/>
          </w:tcPr>
          <w:p>
            <w:pPr>
              <w:pStyle w:val="Compact"/>
            </w:pPr>
            <w:r>
              <w:rPr>
                <w:sz w:val="17"/>
              </w:rPr>
              <w:t xml:space="preserve">Gestionnaire du coffre n° 1</w:t>
            </w:r>
          </w:p>
        </w:tc>
        <w:tc>
          <w:tcPr>
            <w:shd w:val="clear" w:color="auto" w:fill="F5F7FB"/>
          </w:tcPr>
          <w:p>
            <w:pPr>
              <w:pStyle w:val="Compact"/>
            </w:pPr>
            <w:r>
              <w:rPr>
                <w:sz w:val="17"/>
              </w:rPr>
              <w:t xml:space="preserve">Gestionnaires n° 2 et n° 3 (quorum 2 sur 3)</w:t>
            </w:r>
          </w:p>
        </w:tc>
        <w:tc>
          <w:tcPr>
            <w:shd w:val="clear" w:color="auto" w:fill="F5F7FB"/>
          </w:tcPr>
          <w:p>
            <w:pPr>
              <w:pStyle w:val="Compact"/>
            </w:pPr>
            <w:r>
              <w:rPr>
                <w:sz w:val="17"/>
              </w:rPr>
              <w:t xml:space="preserve">Confirmation hors bande auprès de la banque ; délai de refroidissement de 72 heures ; notification au Gouverneur, au ministre des Finances et à l’audit ; journal immuable</w:t>
            </w:r>
          </w:p>
        </w:tc>
      </w:tr>
      <w:tr>
        <w:tc>
          <w:tcPr/>
          <w:p>
            <w:pPr>
              <w:pStyle w:val="Compact"/>
            </w:pPr>
            <w:r>
              <w:rPr>
                <w:sz w:val="17"/>
              </w:rPr>
              <w:t xml:space="preserve">Exonération</w:t>
            </w:r>
          </w:p>
        </w:tc>
        <w:tc>
          <w:tcPr/>
          <w:p>
            <w:pPr>
              <w:pStyle w:val="Compact"/>
            </w:pPr>
            <w:r>
              <w:rPr>
                <w:sz w:val="17"/>
              </w:rPr>
              <w:t xml:space="preserve">Agent de régie</w:t>
            </w:r>
          </w:p>
        </w:tc>
        <w:tc>
          <w:tcPr/>
          <w:p>
            <w:pPr>
              <w:pStyle w:val="Compact"/>
            </w:pPr>
            <w:r>
              <w:rPr>
                <w:sz w:val="17"/>
              </w:rPr>
              <w:t xml:space="preserve">Juriste</w:t>
            </w:r>
          </w:p>
        </w:tc>
        <w:tc>
          <w:tcPr/>
          <w:p>
            <w:pPr>
              <w:pStyle w:val="Compact"/>
            </w:pPr>
            <w:r>
              <w:rPr>
                <w:sz w:val="17"/>
              </w:rPr>
              <w:t xml:space="preserve">Chef de service + (au-delà d’un seuil) directeur</w:t>
            </w:r>
          </w:p>
        </w:tc>
        <w:tc>
          <w:tcPr/>
          <w:p>
            <w:pPr>
              <w:pStyle w:val="Compact"/>
            </w:pPr>
            <w:r>
              <w:rPr>
                <w:sz w:val="17"/>
              </w:rPr>
              <w:t xml:space="preserve">Fondement légal, pièce, durée ; alerte de concentration</w:t>
            </w:r>
          </w:p>
        </w:tc>
      </w:tr>
      <w:tr>
        <w:tc>
          <w:tcPr>
            <w:shd w:val="clear" w:color="auto" w:fill="F5F7FB"/>
          </w:tcPr>
          <w:p>
            <w:pPr>
              <w:pStyle w:val="Compact"/>
            </w:pPr>
            <w:r>
              <w:rPr>
                <w:sz w:val="17"/>
              </w:rPr>
              <w:t xml:space="preserve">Annulation / rectification d’obligation</w:t>
            </w:r>
          </w:p>
        </w:tc>
        <w:tc>
          <w:tcPr>
            <w:shd w:val="clear" w:color="auto" w:fill="F5F7FB"/>
          </w:tcPr>
          <w:p>
            <w:pPr>
              <w:pStyle w:val="Compact"/>
            </w:pPr>
            <w:r>
              <w:rPr>
                <w:sz w:val="17"/>
              </w:rPr>
              <w:t xml:space="preserve">Contrôleur</w:t>
            </w:r>
          </w:p>
        </w:tc>
        <w:tc>
          <w:tcPr>
            <w:shd w:val="clear" w:color="auto" w:fill="F5F7FB"/>
          </w:tcPr>
          <w:p>
            <w:pPr>
              <w:pStyle w:val="Compact"/>
            </w:pPr>
            <w:r>
              <w:rPr>
                <w:sz w:val="17"/>
              </w:rPr>
              <w:t xml:space="preserve">Chef de service</w:t>
            </w:r>
          </w:p>
        </w:tc>
        <w:tc>
          <w:tcPr>
            <w:shd w:val="clear" w:color="auto" w:fill="F5F7FB"/>
          </w:tcPr>
          <w:p>
            <w:pPr>
              <w:pStyle w:val="Compact"/>
            </w:pPr>
            <w:r>
              <w:rPr>
                <w:sz w:val="17"/>
              </w:rPr>
              <w:t xml:space="preserve">Directeur au-delà d’un seuil</w:t>
            </w:r>
          </w:p>
        </w:tc>
        <w:tc>
          <w:tcPr>
            <w:shd w:val="clear" w:color="auto" w:fill="F5F7FB"/>
          </w:tcPr>
          <w:p>
            <w:pPr>
              <w:pStyle w:val="Compact"/>
            </w:pPr>
            <w:r>
              <w:rPr>
                <w:sz w:val="17"/>
              </w:rPr>
              <w:t xml:space="preserve">Motif codifié ; contre-écriture</w:t>
            </w:r>
          </w:p>
        </w:tc>
      </w:tr>
      <w:tr>
        <w:tc>
          <w:tcPr/>
          <w:p>
            <w:pPr>
              <w:pStyle w:val="Compact"/>
            </w:pPr>
            <w:r>
              <w:rPr>
                <w:sz w:val="17"/>
              </w:rPr>
              <w:t xml:space="preserve">Remboursement</w:t>
            </w:r>
          </w:p>
        </w:tc>
        <w:tc>
          <w:tcPr/>
          <w:p>
            <w:pPr>
              <w:pStyle w:val="Compact"/>
            </w:pPr>
            <w:r>
              <w:rPr>
                <w:sz w:val="17"/>
              </w:rPr>
              <w:t xml:space="preserve">Régie</w:t>
            </w:r>
          </w:p>
        </w:tc>
        <w:tc>
          <w:tcPr/>
          <w:p>
            <w:pPr>
              <w:pStyle w:val="Compact"/>
            </w:pPr>
            <w:r>
              <w:rPr>
                <w:sz w:val="17"/>
              </w:rPr>
              <w:t xml:space="preserve">Trésor</w:t>
            </w:r>
          </w:p>
        </w:tc>
        <w:tc>
          <w:tcPr/>
          <w:p>
            <w:pPr>
              <w:pStyle w:val="Compact"/>
            </w:pPr>
            <w:r>
              <w:rPr>
                <w:sz w:val="17"/>
              </w:rPr>
              <w:t xml:space="preserve">Deux approbateurs</w:t>
            </w:r>
          </w:p>
        </w:tc>
        <w:tc>
          <w:tcPr/>
          <w:p>
            <w:pPr>
              <w:pStyle w:val="Compact"/>
            </w:pPr>
            <w:r>
              <w:rPr>
                <w:sz w:val="17"/>
              </w:rPr>
              <w:t xml:space="preserve">Plafond ; vers le compte d’origine uniquement ; délai</w:t>
            </w:r>
          </w:p>
        </w:tc>
      </w:tr>
      <w:tr>
        <w:tc>
          <w:tcPr>
            <w:shd w:val="clear" w:color="auto" w:fill="F5F7FB"/>
          </w:tcPr>
          <w:p>
            <w:pPr>
              <w:pStyle w:val="Compact"/>
            </w:pPr>
            <w:r>
              <w:rPr>
                <w:sz w:val="17"/>
              </w:rPr>
              <w:t xml:space="preserve">Contrepassement de paiement</w:t>
            </w:r>
          </w:p>
        </w:tc>
        <w:tc>
          <w:tcPr>
            <w:shd w:val="clear" w:color="auto" w:fill="F5F7FB"/>
          </w:tcPr>
          <w:p>
            <w:pPr>
              <w:pStyle w:val="Compact"/>
            </w:pPr>
            <w:r>
              <w:rPr>
                <w:sz w:val="17"/>
              </w:rPr>
              <w:t xml:space="preserve">Trésor</w:t>
            </w:r>
          </w:p>
        </w:tc>
        <w:tc>
          <w:tcPr>
            <w:shd w:val="clear" w:color="auto" w:fill="F5F7FB"/>
          </w:tcPr>
          <w:p>
            <w:pPr>
              <w:pStyle w:val="Compact"/>
            </w:pPr>
            <w:r>
              <w:rPr>
                <w:sz w:val="17"/>
              </w:rPr>
              <w:t xml:space="preserve">Analyste</w:t>
            </w:r>
          </w:p>
        </w:tc>
        <w:tc>
          <w:tcPr>
            <w:shd w:val="clear" w:color="auto" w:fill="F5F7FB"/>
          </w:tcPr>
          <w:p>
            <w:pPr>
              <w:pStyle w:val="Compact"/>
            </w:pPr>
            <w:r>
              <w:rPr>
                <w:sz w:val="17"/>
              </w:rPr>
              <w:t xml:space="preserve">Chef comptable</w:t>
            </w:r>
          </w:p>
        </w:tc>
        <w:tc>
          <w:tcPr>
            <w:shd w:val="clear" w:color="auto" w:fill="F5F7FB"/>
          </w:tcPr>
          <w:p>
            <w:pPr>
              <w:pStyle w:val="Compact"/>
            </w:pPr>
            <w:r>
              <w:rPr>
                <w:sz w:val="17"/>
              </w:rPr>
              <w:t xml:space="preserve">Preuve prestataire</w:t>
            </w:r>
          </w:p>
        </w:tc>
      </w:tr>
      <w:tr>
        <w:tc>
          <w:tcPr/>
          <w:p>
            <w:pPr>
              <w:pStyle w:val="Compact"/>
            </w:pPr>
            <w:r>
              <w:rPr>
                <w:sz w:val="17"/>
              </w:rPr>
              <w:t xml:space="preserve">Attribution d’un rôle sensible</w:t>
            </w:r>
          </w:p>
        </w:tc>
        <w:tc>
          <w:tcPr/>
          <w:p>
            <w:pPr>
              <w:pStyle w:val="Compact"/>
            </w:pPr>
            <w:r>
              <w:rPr>
                <w:sz w:val="17"/>
              </w:rPr>
              <w:t xml:space="preserve">Responsable d’entité</w:t>
            </w:r>
          </w:p>
        </w:tc>
        <w:tc>
          <w:tcPr/>
          <w:p>
            <w:pPr>
              <w:pStyle w:val="Compact"/>
            </w:pPr>
            <w:r>
              <w:rPr>
                <w:sz w:val="17"/>
              </w:rPr>
              <w:t xml:space="preserve">Sécurité</w:t>
            </w:r>
          </w:p>
        </w:tc>
        <w:tc>
          <w:tcPr/>
          <w:p>
            <w:pPr>
              <w:pStyle w:val="Compact"/>
            </w:pPr>
            <w:r>
              <w:rPr>
                <w:sz w:val="17"/>
              </w:rPr>
              <w:t xml:space="preserve">Comité des accès</w:t>
            </w:r>
          </w:p>
        </w:tc>
        <w:tc>
          <w:tcPr/>
          <w:p>
            <w:pPr>
              <w:pStyle w:val="Compact"/>
            </w:pPr>
            <w:r>
              <w:rPr>
                <w:sz w:val="17"/>
              </w:rPr>
              <w:t xml:space="preserve">Durée limitée</w:t>
            </w:r>
          </w:p>
        </w:tc>
      </w:tr>
      <w:tr>
        <w:tc>
          <w:tcPr>
            <w:shd w:val="clear" w:color="auto" w:fill="F5F7FB"/>
          </w:tcPr>
          <w:p>
            <w:pPr>
              <w:pStyle w:val="Compact"/>
            </w:pPr>
            <w:r>
              <w:rPr>
                <w:sz w:val="17"/>
              </w:rPr>
              <w:t xml:space="preserve">Mise en production logicielle</w:t>
            </w:r>
          </w:p>
        </w:tc>
        <w:tc>
          <w:tcPr>
            <w:shd w:val="clear" w:color="auto" w:fill="F5F7FB"/>
          </w:tcPr>
          <w:p>
            <w:pPr>
              <w:pStyle w:val="Compact"/>
            </w:pPr>
            <w:r>
              <w:rPr>
                <w:sz w:val="17"/>
              </w:rPr>
              <w:t xml:space="preserve">Équipe</w:t>
            </w:r>
          </w:p>
        </w:tc>
        <w:tc>
          <w:tcPr>
            <w:shd w:val="clear" w:color="auto" w:fill="F5F7FB"/>
          </w:tcPr>
          <w:p>
            <w:pPr>
              <w:pStyle w:val="Compact"/>
            </w:pPr>
            <w:r>
              <w:rPr>
                <w:sz w:val="17"/>
              </w:rPr>
              <w:t xml:space="preserve">Revue de code et sécurité</w:t>
            </w:r>
          </w:p>
        </w:tc>
        <w:tc>
          <w:tcPr>
            <w:shd w:val="clear" w:color="auto" w:fill="F5F7FB"/>
          </w:tcPr>
          <w:p>
            <w:pPr>
              <w:pStyle w:val="Compact"/>
            </w:pPr>
            <w:r>
              <w:rPr>
                <w:sz w:val="17"/>
              </w:rPr>
              <w:t xml:space="preserve">Comité de contrôle des changements</w:t>
            </w:r>
          </w:p>
        </w:tc>
        <w:tc>
          <w:tcPr>
            <w:shd w:val="clear" w:color="auto" w:fill="F5F7FB"/>
          </w:tcPr>
          <w:p>
            <w:pPr>
              <w:pStyle w:val="Compact"/>
            </w:pPr>
            <w:r>
              <w:rPr>
                <w:sz w:val="17"/>
              </w:rPr>
              <w:t xml:space="preserve">Signature des artefacts ; déploiement reproductible</w:t>
            </w:r>
          </w:p>
        </w:tc>
      </w:tr>
      <w:tr>
        <w:tc>
          <w:tcPr/>
          <w:p>
            <w:pPr>
              <w:pStyle w:val="Compact"/>
            </w:pPr>
            <w:r>
              <w:rPr>
                <w:sz w:val="17"/>
              </w:rPr>
              <w:t xml:space="preserve">Accès privilégié à la production</w:t>
            </w:r>
          </w:p>
        </w:tc>
        <w:tc>
          <w:tcPr/>
          <w:p>
            <w:pPr>
              <w:pStyle w:val="Compact"/>
            </w:pPr>
            <w:r>
              <w:rPr>
                <w:sz w:val="17"/>
              </w:rPr>
              <w:t xml:space="preserve">Ingénieur</w:t>
            </w:r>
          </w:p>
        </w:tc>
        <w:tc>
          <w:tcPr/>
          <w:p>
            <w:pPr>
              <w:pStyle w:val="Compact"/>
            </w:pPr>
            <w:r>
              <w:rPr>
                <w:sz w:val="17"/>
              </w:rPr>
              <w:t xml:space="preserve">RSSI</w:t>
            </w:r>
          </w:p>
        </w:tc>
        <w:tc>
          <w:tcPr/>
          <w:p>
            <w:pPr>
              <w:pStyle w:val="Compact"/>
            </w:pPr>
            <w:r>
              <w:rPr>
                <w:sz w:val="17"/>
              </w:rPr>
              <w:t xml:space="preserve">Responsable d’exploitation</w:t>
            </w:r>
          </w:p>
        </w:tc>
        <w:tc>
          <w:tcPr/>
          <w:p>
            <w:pPr>
              <w:pStyle w:val="Compact"/>
            </w:pPr>
            <w:r>
              <w:rPr>
                <w:sz w:val="17"/>
              </w:rPr>
              <w:t xml:space="preserve">Juste-à-temps, session enregistrée</w:t>
            </w:r>
          </w:p>
        </w:tc>
      </w:tr>
    </w:tbl>
    <w:bookmarkEnd w:id="137"/>
    <w:bookmarkStart w:id="138" w:name="Xb479af101e74367fda6b0cd51c3f32246fa6ac9"/>
    <w:p>
      <w:pPr>
        <w:pStyle w:val="Heading2"/>
      </w:pPr>
      <w:r>
        <w:t xml:space="preserve">12.7 Accès des agents publics : invitation en cascade</w:t>
      </w:r>
    </w:p>
    <w:p>
      <w:pPr>
        <w:pStyle w:val="FirstParagraph"/>
      </w:pPr>
      <w:r>
        <w:t xml:space="preserve">L’inscription publique est réservée aux contribuables. Les comptes de travail ne sont créés</w:t>
      </w:r>
      <w:r>
        <w:t xml:space="preserve"> </w:t>
      </w:r>
      <w:r>
        <w:rPr>
          <w:b/>
          <w:bCs/>
        </w:rPr>
        <w:t xml:space="preserve">que sur invitation</w:t>
      </w:r>
      <w:r>
        <w:t xml:space="preserve"> </w:t>
      </w:r>
      <w:r>
        <w:t xml:space="preserve">: le Comité de pilotage invite les responsables d’entité, qui invitent leurs directeurs, qui invitent leurs agents, chacun dans son périmètre et sans pouvoir accorder plus de droits qu’il n’en détient. Une invitation est nominative, limitée dans le temps, liée à une adresse ou un numéro vérifié, et finalisée par la personne invitée elle-même (ou par l’opérateur d’accès de son entité, en sa présence). Tout compte de travail inactif 60 jours est suspendu.</w:t>
      </w:r>
    </w:p>
    <w:bookmarkEnd w:id="138"/>
    <w:bookmarkEnd w:id="139"/>
    <w:bookmarkStart w:id="151" w:name="parcours-des-contribuables"/>
    <w:p>
      <w:pPr>
        <w:pStyle w:val="Heading1"/>
      </w:pPr>
      <w:r>
        <w:t xml:space="preserve">13. Parcours des contribuables</w:t>
      </w:r>
    </w:p>
    <w:bookmarkStart w:id="143" w:name="Xb1c714b7982a5a1ddb352f93e79fdb6bbb9f1c5"/>
    <w:p>
      <w:pPr>
        <w:pStyle w:val="Heading2"/>
      </w:pPr>
      <w:r>
        <w:t xml:space="preserve">13.1 Inscription et rattachement d’un bien (propriétaire)</w:t>
      </w:r>
    </w:p>
    <w:p>
      <w:pPr>
        <w:pStyle w:val="FirstParagraph"/>
      </w:pPr>
      <w:r>
        <w:drawing>
          <wp:inline>
            <wp:extent cx="6108700" cy="3537435"/>
            <wp:effectExtent b="0" l="0" r="0" t="0"/>
            <wp:docPr descr="" title="" id="141" name="Picture"/>
            <a:graphic>
              <a:graphicData uri="http://schemas.openxmlformats.org/drawingml/2006/picture">
                <pic:pic>
                  <pic:nvPicPr>
                    <pic:cNvPr descr="figures/mermaid/mmd-6e4beee0b24a.png" id="142" name="Picture"/>
                    <pic:cNvPicPr>
                      <a:picLocks noChangeArrowheads="1" noChangeAspect="1"/>
                    </pic:cNvPicPr>
                  </pic:nvPicPr>
                  <pic:blipFill>
                    <a:blip r:embed="rId140"/>
                    <a:stretch>
                      <a:fillRect/>
                    </a:stretch>
                  </pic:blipFill>
                  <pic:spPr bwMode="auto">
                    <a:xfrm>
                      <a:off x="0" y="0"/>
                      <a:ext cx="6108700" cy="3537435"/>
                    </a:xfrm>
                    <a:prstGeom prst="rect">
                      <a:avLst/>
                    </a:prstGeom>
                    <a:noFill/>
                    <a:ln w="9525">
                      <a:noFill/>
                      <a:headEnd/>
                      <a:tailEnd/>
                    </a:ln>
                  </pic:spPr>
                </pic:pic>
              </a:graphicData>
            </a:graphic>
          </wp:inline>
        </w:drawing>
      </w:r>
    </w:p>
    <w:p>
      <w:pPr>
        <w:pStyle w:val="BodyText"/>
      </w:pPr>
      <w:r>
        <w:t xml:space="preserve">Critère d’acceptation :</w:t>
      </w:r>
      <w:r>
        <w:t xml:space="preserve"> </w:t>
      </w:r>
      <w:r>
        <w:rPr>
          <w:b/>
          <w:bCs/>
        </w:rPr>
        <w:t xml:space="preserve">Étant donné</w:t>
      </w:r>
      <w:r>
        <w:t xml:space="preserve"> </w:t>
      </w:r>
      <w:r>
        <w:t xml:space="preserve">un contribuable N1 déclarant être propriétaire d’une parcelle déjà rattachée à un autre compte,</w:t>
      </w:r>
      <w:r>
        <w:t xml:space="preserve"> </w:t>
      </w:r>
      <w:r>
        <w:rPr>
          <w:b/>
          <w:bCs/>
        </w:rPr>
        <w:t xml:space="preserve">lorsqu’il</w:t>
      </w:r>
      <w:r>
        <w:t xml:space="preserve"> </w:t>
      </w:r>
      <w:r>
        <w:t xml:space="preserve">soumet sa demande,</w:t>
      </w:r>
      <w:r>
        <w:t xml:space="preserve"> </w:t>
      </w:r>
      <w:r>
        <w:rPr>
          <w:b/>
          <w:bCs/>
        </w:rPr>
        <w:t xml:space="preserve">alors</w:t>
      </w:r>
      <w:r>
        <w:t xml:space="preserve"> </w:t>
      </w:r>
      <w:r>
        <w:t xml:space="preserve">aucune donnée de l’autre compte ne lui est montrée, un dossier de conflit est ouvert, et aucune obligation n’est déplacée tant que le dossier n’est pas tranché.</w:t>
      </w:r>
    </w:p>
    <w:bookmarkEnd w:id="143"/>
    <w:bookmarkStart w:id="144" w:name="déclaration-et-paiement-annuels"/>
    <w:p>
      <w:pPr>
        <w:pStyle w:val="Heading2"/>
      </w:pPr>
      <w:r>
        <w:t xml:space="preserve">13.2 Déclaration et paiement annuels</w:t>
      </w:r>
    </w:p>
    <w:p>
      <w:pPr>
        <w:pStyle w:val="Compact"/>
        <w:numPr>
          <w:ilvl w:val="0"/>
          <w:numId w:val="1014"/>
        </w:numPr>
      </w:pPr>
      <w:r>
        <w:rPr>
          <w:b/>
          <w:bCs/>
        </w:rPr>
        <w:t xml:space="preserve">J−45</w:t>
      </w:r>
      <w:r>
        <w:t xml:space="preserve"> </w:t>
      </w:r>
      <w:r>
        <w:t xml:space="preserve">avant l’échéance : notification « votre déclaration est prête » (SMS, application, USSD).</w:t>
      </w:r>
    </w:p>
    <w:p>
      <w:pPr>
        <w:pStyle w:val="Compact"/>
        <w:numPr>
          <w:ilvl w:val="0"/>
          <w:numId w:val="1014"/>
        </w:numPr>
      </w:pPr>
      <w:r>
        <w:t xml:space="preserve">Le contribuable ouvre sa déclaration</w:t>
      </w:r>
      <w:r>
        <w:t xml:space="preserve"> </w:t>
      </w:r>
      <w:r>
        <w:rPr>
          <w:b/>
          <w:bCs/>
        </w:rPr>
        <w:t xml:space="preserve">pré-remplie</w:t>
      </w:r>
      <w:r>
        <w:t xml:space="preserve"> </w:t>
      </w:r>
      <w:r>
        <w:t xml:space="preserve">(objets vérifiés, baux déclarés, rang de localité).</w:t>
      </w:r>
    </w:p>
    <w:p>
      <w:pPr>
        <w:pStyle w:val="Compact"/>
        <w:numPr>
          <w:ilvl w:val="0"/>
          <w:numId w:val="1014"/>
        </w:numPr>
      </w:pPr>
      <w:r>
        <w:t xml:space="preserve">Il confirme ou corrige (toute correction à la baisse d’un élément vérifié ouvre une vérification, sans bloquer le paiement de la partie non contestée).</w:t>
      </w:r>
    </w:p>
    <w:p>
      <w:pPr>
        <w:pStyle w:val="Compact"/>
        <w:numPr>
          <w:ilvl w:val="0"/>
          <w:numId w:val="1014"/>
        </w:numPr>
      </w:pPr>
      <w:r>
        <w:t xml:space="preserve">Le moteur liquide et affiche l’</w:t>
      </w:r>
      <w:r>
        <w:rPr>
          <w:b/>
          <w:bCs/>
        </w:rPr>
        <w:t xml:space="preserve">explication</w:t>
      </w:r>
      <w:r>
        <w:t xml:space="preserve"> </w:t>
      </w:r>
      <w:r>
        <w:t xml:space="preserve">: règle, version, base légale, assiette, formule, montant, échéance, voie de recours.</w:t>
      </w:r>
    </w:p>
    <w:p>
      <w:pPr>
        <w:pStyle w:val="Compact"/>
        <w:numPr>
          <w:ilvl w:val="0"/>
          <w:numId w:val="1014"/>
        </w:numPr>
      </w:pPr>
      <w:r>
        <w:t xml:space="preserve">Le contribuable choisit un canal ; une référence unique est émise.</w:t>
      </w:r>
    </w:p>
    <w:p>
      <w:pPr>
        <w:pStyle w:val="Compact"/>
        <w:numPr>
          <w:ilvl w:val="0"/>
          <w:numId w:val="1014"/>
        </w:numPr>
      </w:pPr>
      <w:r>
        <w:t xml:space="preserve">Paiement ; confirmation du prestataire ;</w:t>
      </w:r>
      <w:r>
        <w:t xml:space="preserve"> </w:t>
      </w:r>
      <w:r>
        <w:rPr>
          <w:b/>
          <w:bCs/>
        </w:rPr>
        <w:t xml:space="preserve">quittance électronique</w:t>
      </w:r>
      <w:r>
        <w:t xml:space="preserve"> </w:t>
      </w:r>
      <w:r>
        <w:t xml:space="preserve">émise avec statut « en attente de règlement », puis « définitive » après rapprochement.</w:t>
      </w:r>
    </w:p>
    <w:p>
      <w:pPr>
        <w:pStyle w:val="Compact"/>
        <w:numPr>
          <w:ilvl w:val="0"/>
          <w:numId w:val="1014"/>
        </w:numPr>
      </w:pPr>
      <w:r>
        <w:t xml:space="preserve">Quitus fiscal mis à jour automatiquement.</w:t>
      </w:r>
    </w:p>
    <w:bookmarkEnd w:id="144"/>
    <w:bookmarkStart w:id="145" w:name="parcours-locataire"/>
    <w:p>
      <w:pPr>
        <w:pStyle w:val="Heading2"/>
      </w:pPr>
      <w:r>
        <w:t xml:space="preserve">13.3 Parcours locataire</w:t>
      </w:r>
    </w:p>
    <w:p>
      <w:pPr>
        <w:pStyle w:val="FirstParagraph"/>
      </w:pPr>
      <w:r>
        <w:t xml:space="preserve">Le locataire déclare son bail (bailleur, unité, loyer, preuve). Si le locataire est une personne morale ou une administration soumise à la retenue [À VÉRIFIER J3], la plateforme calcule la retenue par échéance de loyer, émet la référence de reversement, puis délivre au locataire une attestation de retenue et crédite l’obligation du bailleur. Le locataire personne physique</w:t>
      </w:r>
      <w:r>
        <w:t xml:space="preserve"> </w:t>
      </w:r>
      <w:r>
        <w:rPr>
          <w:b/>
          <w:bCs/>
        </w:rPr>
        <w:t xml:space="preserve">n’est jamais rendu débiteur de l’impôt du bailleur</w:t>
      </w:r>
      <w:r>
        <w:t xml:space="preserve"> </w:t>
      </w:r>
      <w:r>
        <w:t xml:space="preserve">sans texte ; sa déclaration sert de signal et de preuve, protégée contre les représailles (le bailleur ne voit pas qui a déclaré).</w:t>
      </w:r>
    </w:p>
    <w:bookmarkEnd w:id="145"/>
    <w:bookmarkStart w:id="146" w:name="contestation"/>
    <w:p>
      <w:pPr>
        <w:pStyle w:val="Heading2"/>
      </w:pPr>
      <w:r>
        <w:t xml:space="preserve">13.4 Contestation</w:t>
      </w:r>
    </w:p>
    <w:p>
      <w:pPr>
        <w:pStyle w:val="FirstParagraph"/>
      </w:pPr>
      <w:r>
        <w:t xml:space="preserve">Depuis chaque objet ou obligation : bouton « Contester ». Le contribuable choisit le motif codifié (je ne suis pas propriétaire, surface erronée, bien non loué, montant erroné, déjà payé, exonéré), joint ses pièces et reçoit un accusé de réception horodaté avec le délai légal de réponse [À VÉRIFIER J4]. Le statut « contesté » est visible ; l’effet suspensif éventuel s’applique selon le texte ; la partie non contestée reste payable.</w:t>
      </w:r>
    </w:p>
    <w:bookmarkEnd w:id="146"/>
    <w:bookmarkStart w:id="147" w:name="parcours-diaspora"/>
    <w:p>
      <w:pPr>
        <w:pStyle w:val="Heading2"/>
      </w:pPr>
      <w:r>
        <w:t xml:space="preserve">13.5 Parcours diaspora</w:t>
      </w:r>
    </w:p>
    <w:p>
      <w:pPr>
        <w:pStyle w:val="FirstParagraph"/>
      </w:pPr>
      <w:r>
        <w:t xml:space="preserve">Inscription à distance (passeport, vidéo-vérification si l’acte le permet), paiement par carte internationale ou virement vers le compte public, désignation d’un mandataire local aux droits limités (consulter, déclarer, recevoir les notifications — pas modifier les coordonnées bancaires ni fermer le compte), téléchargement des quittances et du quitus.</w:t>
      </w:r>
    </w:p>
    <w:bookmarkEnd w:id="147"/>
    <w:bookmarkStart w:id="148" w:name="parcours-sans-smartphone-ni-lecture"/>
    <w:p>
      <w:pPr>
        <w:pStyle w:val="Heading2"/>
      </w:pPr>
      <w:r>
        <w:t xml:space="preserve">13.6 Parcours sans smartphone ni lecture</w:t>
      </w:r>
    </w:p>
    <w:p>
      <w:pPr>
        <w:pStyle w:val="Compact"/>
        <w:numPr>
          <w:ilvl w:val="0"/>
          <w:numId w:val="1015"/>
        </w:numPr>
      </w:pPr>
      <w:r>
        <w:t xml:space="preserve">Au guichet communal ou auprès d’un agent habilité : identification par pièce ; photo ; consentement oral enregistré ; empreinte comme marque de consentement si l’acte le permet.</w:t>
      </w:r>
    </w:p>
    <w:p>
      <w:pPr>
        <w:pStyle w:val="Compact"/>
        <w:numPr>
          <w:ilvl w:val="0"/>
          <w:numId w:val="1015"/>
        </w:numPr>
      </w:pPr>
      <w:r>
        <w:t xml:space="preserve">Remise d’une</w:t>
      </w:r>
      <w:r>
        <w:t xml:space="preserve"> </w:t>
      </w:r>
      <w:r>
        <w:rPr>
          <w:b/>
          <w:bCs/>
        </w:rPr>
        <w:t xml:space="preserve">carte MOSOLO</w:t>
      </w:r>
      <w:r>
        <w:t xml:space="preserve"> </w:t>
      </w:r>
      <w:r>
        <w:t xml:space="preserve">(QR + code court) ; le numéro de téléphone d’un proche peut être associé comme canal, pas comme identité.</w:t>
      </w:r>
    </w:p>
    <w:p>
      <w:pPr>
        <w:pStyle w:val="Compact"/>
        <w:numPr>
          <w:ilvl w:val="0"/>
          <w:numId w:val="1015"/>
        </w:numPr>
      </w:pPr>
      <w:r>
        <w:t xml:space="preserve">Consultation et paiement par</w:t>
      </w:r>
      <w:r>
        <w:t xml:space="preserve"> </w:t>
      </w:r>
      <w:r>
        <w:rPr>
          <w:b/>
          <w:bCs/>
        </w:rPr>
        <w:t xml:space="preserve">SVI</w:t>
      </w:r>
      <w:r>
        <w:t xml:space="preserve"> </w:t>
      </w:r>
      <w:r>
        <w:t xml:space="preserve">(serveur vocal) en lingala, swahili, kikongo, tshiluba ou français, ou chez un point de paiement agréé qui scanne la carte.</w:t>
      </w:r>
    </w:p>
    <w:p>
      <w:pPr>
        <w:pStyle w:val="Compact"/>
        <w:numPr>
          <w:ilvl w:val="0"/>
          <w:numId w:val="1015"/>
        </w:numPr>
      </w:pPr>
      <w:r>
        <w:t xml:space="preserve">Quittance imprimée avec QR, vérifiable par quiconque.</w:t>
      </w:r>
    </w:p>
    <w:bookmarkEnd w:id="148"/>
    <w:bookmarkStart w:id="149" w:name="parcours-entreprise"/>
    <w:p>
      <w:pPr>
        <w:pStyle w:val="Heading2"/>
      </w:pPr>
      <w:r>
        <w:t xml:space="preserve">13.7 Parcours entreprise</w:t>
      </w:r>
    </w:p>
    <w:p>
      <w:pPr>
        <w:pStyle w:val="FirstParagraph"/>
      </w:pPr>
      <w:r>
        <w:t xml:space="preserve">Inscription par le représentant légal (N3 : RCCM, NIF, mandat), création de l’espace entreprise, déclaration des établissements, désignation de mandataires internes (comptable, juriste) avec droits séparés (préparer / valider / payer), déclarations mensuelles structurées (retenues IRL, volumes pour les grands redevables), API pour les grands redevables, quitus fiscal téléchargeable pour les soumissions.</w:t>
      </w:r>
    </w:p>
    <w:bookmarkEnd w:id="149"/>
    <w:bookmarkStart w:id="150" w:name="Xda3bc3803ef9431d5efb12ba5b89d2b74f3605b"/>
    <w:p>
      <w:pPr>
        <w:pStyle w:val="Heading2"/>
      </w:pPr>
      <w:r>
        <w:t xml:space="preserve">13.8 Parcours des opérateurs spécialisés (synthèse)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Profil</w:t>
            </w:r>
          </w:p>
        </w:tc>
        <w:tc>
          <w:tcPr>
            <w:shd w:val="clear" w:color="auto" w:fill="232C6B"/>
          </w:tcPr>
          <w:p>
            <w:pPr>
              <w:pStyle w:val="Compact"/>
            </w:pPr>
            <w:r>
              <w:rPr>
                <w:b/>
                <w:color w:val="FFFFFF"/>
                <w:sz w:val="17"/>
              </w:rPr>
              <w:t xml:space="preserve">Objet principal</w:t>
            </w:r>
          </w:p>
        </w:tc>
        <w:tc>
          <w:tcPr>
            <w:shd w:val="clear" w:color="auto" w:fill="232C6B"/>
          </w:tcPr>
          <w:p>
            <w:pPr>
              <w:pStyle w:val="Compact"/>
            </w:pPr>
            <w:r>
              <w:rPr>
                <w:b/>
                <w:color w:val="FFFFFF"/>
                <w:sz w:val="17"/>
              </w:rPr>
              <w:t xml:space="preserve">Titre ou obligation</w:t>
            </w:r>
          </w:p>
        </w:tc>
        <w:tc>
          <w:tcPr>
            <w:shd w:val="clear" w:color="auto" w:fill="232C6B"/>
          </w:tcPr>
          <w:p>
            <w:pPr>
              <w:pStyle w:val="Compact"/>
            </w:pPr>
            <w:r>
              <w:rPr>
                <w:b/>
                <w:color w:val="FFFFFF"/>
                <w:sz w:val="17"/>
              </w:rPr>
              <w:t xml:space="preserve">Canal privilégié</w:t>
            </w:r>
          </w:p>
        </w:tc>
      </w:tr>
      <w:tr>
        <w:tc>
          <w:tcPr/>
          <w:p>
            <w:pPr>
              <w:pStyle w:val="Compact"/>
            </w:pPr>
            <w:r>
              <w:rPr>
                <w:sz w:val="17"/>
              </w:rPr>
              <w:t xml:space="preserve">Transporteur</w:t>
            </w:r>
          </w:p>
        </w:tc>
        <w:tc>
          <w:tcPr/>
          <w:p>
            <w:pPr>
              <w:pStyle w:val="Compact"/>
            </w:pPr>
            <w:r>
              <w:rPr>
                <w:sz w:val="17"/>
              </w:rPr>
              <w:t xml:space="preserve">Véhicule, ligne</w:t>
            </w:r>
          </w:p>
        </w:tc>
        <w:tc>
          <w:tcPr/>
          <w:p>
            <w:pPr>
              <w:pStyle w:val="Compact"/>
            </w:pPr>
            <w:r>
              <w:rPr>
                <w:sz w:val="17"/>
              </w:rPr>
              <w:t xml:space="preserve">Autorisation de transport ; embarquement</w:t>
            </w:r>
          </w:p>
        </w:tc>
        <w:tc>
          <w:tcPr/>
          <w:p>
            <w:pPr>
              <w:pStyle w:val="Compact"/>
            </w:pPr>
            <w:r>
              <w:rPr>
                <w:sz w:val="17"/>
              </w:rPr>
              <w:t xml:space="preserve">Application, USSD</w:t>
            </w:r>
          </w:p>
        </w:tc>
      </w:tr>
      <w:tr>
        <w:tc>
          <w:tcPr>
            <w:shd w:val="clear" w:color="auto" w:fill="F5F7FB"/>
          </w:tcPr>
          <w:p>
            <w:pPr>
              <w:pStyle w:val="Compact"/>
            </w:pPr>
            <w:r>
              <w:rPr>
                <w:sz w:val="17"/>
              </w:rPr>
              <w:t xml:space="preserve">Moto-taxi (wewa)</w:t>
            </w:r>
          </w:p>
        </w:tc>
        <w:tc>
          <w:tcPr>
            <w:shd w:val="clear" w:color="auto" w:fill="F5F7FB"/>
          </w:tcPr>
          <w:p>
            <w:pPr>
              <w:pStyle w:val="Compact"/>
            </w:pPr>
            <w:r>
              <w:rPr>
                <w:sz w:val="17"/>
              </w:rPr>
              <w:t xml:space="preserve">Moto, conducteur</w:t>
            </w:r>
          </w:p>
        </w:tc>
        <w:tc>
          <w:tcPr>
            <w:shd w:val="clear" w:color="auto" w:fill="F5F7FB"/>
          </w:tcPr>
          <w:p>
            <w:pPr>
              <w:pStyle w:val="Compact"/>
            </w:pPr>
            <w:r>
              <w:rPr>
                <w:sz w:val="17"/>
              </w:rPr>
              <w:t xml:space="preserve">Pass wewa RakaPay — jour, semaine, mois (après acte)</w:t>
            </w:r>
          </w:p>
        </w:tc>
        <w:tc>
          <w:tcPr>
            <w:shd w:val="clear" w:color="auto" w:fill="F5F7FB"/>
          </w:tcPr>
          <w:p>
            <w:pPr>
              <w:pStyle w:val="Compact"/>
            </w:pPr>
            <w:r>
              <w:rPr>
                <w:sz w:val="17"/>
              </w:rPr>
              <w:t xml:space="preserve">USSD, coopérative</w:t>
            </w:r>
          </w:p>
        </w:tc>
      </w:tr>
      <w:tr>
        <w:tc>
          <w:tcPr/>
          <w:p>
            <w:pPr>
              <w:pStyle w:val="Compact"/>
            </w:pPr>
            <w:r>
              <w:rPr>
                <w:sz w:val="17"/>
              </w:rPr>
              <w:t xml:space="preserve">Commerçant de marché</w:t>
            </w:r>
          </w:p>
        </w:tc>
        <w:tc>
          <w:tcPr/>
          <w:p>
            <w:pPr>
              <w:pStyle w:val="Compact"/>
            </w:pPr>
            <w:r>
              <w:rPr>
                <w:sz w:val="17"/>
              </w:rPr>
              <w:t xml:space="preserve">Étal</w:t>
            </w:r>
          </w:p>
        </w:tc>
        <w:tc>
          <w:tcPr/>
          <w:p>
            <w:pPr>
              <w:pStyle w:val="Compact"/>
            </w:pPr>
            <w:r>
              <w:rPr>
                <w:sz w:val="17"/>
              </w:rPr>
              <w:t xml:space="preserve">Titre journalier à mensuel</w:t>
            </w:r>
          </w:p>
        </w:tc>
        <w:tc>
          <w:tcPr/>
          <w:p>
            <w:pPr>
              <w:pStyle w:val="Compact"/>
            </w:pPr>
            <w:r>
              <w:rPr>
                <w:sz w:val="17"/>
              </w:rPr>
              <w:t xml:space="preserve">USSD, carte MOSOLO</w:t>
            </w:r>
          </w:p>
        </w:tc>
      </w:tr>
      <w:tr>
        <w:tc>
          <w:tcPr>
            <w:shd w:val="clear" w:color="auto" w:fill="F5F7FB"/>
          </w:tcPr>
          <w:p>
            <w:pPr>
              <w:pStyle w:val="Compact"/>
            </w:pPr>
            <w:r>
              <w:rPr>
                <w:sz w:val="17"/>
              </w:rPr>
              <w:t xml:space="preserve">Annonceur</w:t>
            </w:r>
          </w:p>
        </w:tc>
        <w:tc>
          <w:tcPr>
            <w:shd w:val="clear" w:color="auto" w:fill="F5F7FB"/>
          </w:tcPr>
          <w:p>
            <w:pPr>
              <w:pStyle w:val="Compact"/>
            </w:pPr>
            <w:r>
              <w:rPr>
                <w:sz w:val="17"/>
              </w:rPr>
              <w:t xml:space="preserve">Support</w:t>
            </w:r>
          </w:p>
        </w:tc>
        <w:tc>
          <w:tcPr>
            <w:shd w:val="clear" w:color="auto" w:fill="F5F7FB"/>
          </w:tcPr>
          <w:p>
            <w:pPr>
              <w:pStyle w:val="Compact"/>
            </w:pPr>
            <w:r>
              <w:rPr>
                <w:sz w:val="17"/>
              </w:rPr>
              <w:t xml:space="preserve">Autorisation annuelle</w:t>
            </w:r>
          </w:p>
        </w:tc>
        <w:tc>
          <w:tcPr>
            <w:shd w:val="clear" w:color="auto" w:fill="F5F7FB"/>
          </w:tcPr>
          <w:p>
            <w:pPr>
              <w:pStyle w:val="Compact"/>
            </w:pPr>
            <w:r>
              <w:rPr>
                <w:sz w:val="17"/>
              </w:rPr>
              <w:t xml:space="preserve">Portail</w:t>
            </w:r>
          </w:p>
        </w:tc>
      </w:tr>
      <w:tr>
        <w:tc>
          <w:tcPr/>
          <w:p>
            <w:pPr>
              <w:pStyle w:val="Compact"/>
            </w:pPr>
            <w:r>
              <w:rPr>
                <w:sz w:val="17"/>
              </w:rPr>
              <w:t xml:space="preserve">Organisateur d’événements</w:t>
            </w:r>
          </w:p>
        </w:tc>
        <w:tc>
          <w:tcPr/>
          <w:p>
            <w:pPr>
              <w:pStyle w:val="Compact"/>
            </w:pPr>
            <w:r>
              <w:rPr>
                <w:sz w:val="17"/>
              </w:rPr>
              <w:t xml:space="preserve">Événement</w:t>
            </w:r>
          </w:p>
        </w:tc>
        <w:tc>
          <w:tcPr/>
          <w:p>
            <w:pPr>
              <w:pStyle w:val="Compact"/>
            </w:pPr>
            <w:r>
              <w:rPr>
                <w:sz w:val="17"/>
              </w:rPr>
              <w:t xml:space="preserve">Autorisation + déclaration de billetterie</w:t>
            </w:r>
          </w:p>
        </w:tc>
        <w:tc>
          <w:tcPr/>
          <w:p>
            <w:pPr>
              <w:pStyle w:val="Compact"/>
            </w:pPr>
            <w:r>
              <w:rPr>
                <w:sz w:val="17"/>
              </w:rPr>
              <w:t xml:space="preserve">Portail</w:t>
            </w:r>
          </w:p>
        </w:tc>
      </w:tr>
      <w:tr>
        <w:tc>
          <w:tcPr>
            <w:shd w:val="clear" w:color="auto" w:fill="F5F7FB"/>
          </w:tcPr>
          <w:p>
            <w:pPr>
              <w:pStyle w:val="Compact"/>
            </w:pPr>
            <w:r>
              <w:rPr>
                <w:sz w:val="17"/>
              </w:rPr>
              <w:t xml:space="preserve">Carrière</w:t>
            </w:r>
          </w:p>
        </w:tc>
        <w:tc>
          <w:tcPr>
            <w:shd w:val="clear" w:color="auto" w:fill="F5F7FB"/>
          </w:tcPr>
          <w:p>
            <w:pPr>
              <w:pStyle w:val="Compact"/>
            </w:pPr>
            <w:r>
              <w:rPr>
                <w:sz w:val="17"/>
              </w:rPr>
              <w:t xml:space="preserve">Site</w:t>
            </w:r>
          </w:p>
        </w:tc>
        <w:tc>
          <w:tcPr>
            <w:shd w:val="clear" w:color="auto" w:fill="F5F7FB"/>
          </w:tcPr>
          <w:p>
            <w:pPr>
              <w:pStyle w:val="Compact"/>
            </w:pPr>
            <w:r>
              <w:rPr>
                <w:sz w:val="17"/>
              </w:rPr>
              <w:t xml:space="preserve">Autorisation + déclarations</w:t>
            </w:r>
          </w:p>
        </w:tc>
        <w:tc>
          <w:tcPr>
            <w:shd w:val="clear" w:color="auto" w:fill="F5F7FB"/>
          </w:tcPr>
          <w:p>
            <w:pPr>
              <w:pStyle w:val="Compact"/>
            </w:pPr>
            <w:r>
              <w:rPr>
                <w:sz w:val="17"/>
              </w:rPr>
              <w:t xml:space="preserve">Portail</w:t>
            </w:r>
          </w:p>
        </w:tc>
      </w:tr>
      <w:tr>
        <w:tc>
          <w:tcPr/>
          <w:p>
            <w:pPr>
              <w:pStyle w:val="Compact"/>
            </w:pPr>
            <w:r>
              <w:rPr>
                <w:sz w:val="17"/>
              </w:rPr>
              <w:t xml:space="preserve">Batelier</w:t>
            </w:r>
          </w:p>
        </w:tc>
        <w:tc>
          <w:tcPr/>
          <w:p>
            <w:pPr>
              <w:pStyle w:val="Compact"/>
            </w:pPr>
            <w:r>
              <w:rPr>
                <w:sz w:val="17"/>
              </w:rPr>
              <w:t xml:space="preserve">Embarcation</w:t>
            </w:r>
          </w:p>
        </w:tc>
        <w:tc>
          <w:tcPr/>
          <w:p>
            <w:pPr>
              <w:pStyle w:val="Compact"/>
            </w:pPr>
            <w:r>
              <w:rPr>
                <w:sz w:val="17"/>
              </w:rPr>
              <w:t xml:space="preserve">Titre d’accostage / embarquement</w:t>
            </w:r>
          </w:p>
        </w:tc>
        <w:tc>
          <w:tcPr/>
          <w:p>
            <w:pPr>
              <w:pStyle w:val="Compact"/>
            </w:pPr>
            <w:r>
              <w:rPr>
                <w:sz w:val="17"/>
              </w:rPr>
              <w:t xml:space="preserve">USSD</w:t>
            </w:r>
          </w:p>
        </w:tc>
      </w:tr>
      <w:tr>
        <w:tc>
          <w:tcPr>
            <w:shd w:val="clear" w:color="auto" w:fill="F5F7FB"/>
          </w:tcPr>
          <w:p>
            <w:pPr>
              <w:pStyle w:val="Compact"/>
            </w:pPr>
            <w:r>
              <w:rPr>
                <w:sz w:val="17"/>
              </w:rPr>
              <w:t xml:space="preserve">Occupant du domaine public</w:t>
            </w:r>
          </w:p>
        </w:tc>
        <w:tc>
          <w:tcPr>
            <w:shd w:val="clear" w:color="auto" w:fill="F5F7FB"/>
          </w:tcPr>
          <w:p>
            <w:pPr>
              <w:pStyle w:val="Compact"/>
            </w:pPr>
            <w:r>
              <w:rPr>
                <w:sz w:val="17"/>
              </w:rPr>
              <w:t xml:space="preserve">Emprise</w:t>
            </w:r>
          </w:p>
        </w:tc>
        <w:tc>
          <w:tcPr>
            <w:shd w:val="clear" w:color="auto" w:fill="F5F7FB"/>
          </w:tcPr>
          <w:p>
            <w:pPr>
              <w:pStyle w:val="Compact"/>
            </w:pPr>
            <w:r>
              <w:rPr>
                <w:sz w:val="17"/>
              </w:rPr>
              <w:t xml:space="preserve">Autorisation d’occupation</w:t>
            </w:r>
          </w:p>
        </w:tc>
        <w:tc>
          <w:tcPr>
            <w:shd w:val="clear" w:color="auto" w:fill="F5F7FB"/>
          </w:tcPr>
          <w:p>
            <w:pPr>
              <w:pStyle w:val="Compact"/>
            </w:pPr>
            <w:r>
              <w:rPr>
                <w:sz w:val="17"/>
              </w:rPr>
              <w:t xml:space="preserve">Portail</w:t>
            </w:r>
          </w:p>
        </w:tc>
      </w:tr>
    </w:tbl>
    <w:bookmarkEnd w:id="150"/>
    <w:bookmarkEnd w:id="151"/>
    <w:bookmarkStart w:id="152" w:name="Xb032eee0945e97d5fca2f0dd74c7d2ed4974bdc"/>
    <w:p>
      <w:pPr>
        <w:pStyle w:val="Heading1"/>
      </w:pPr>
      <w:r>
        <w:t xml:space="preserve">14. Parcours des utilisateurs gouvernementaux</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Utilisateur</w:t>
            </w:r>
          </w:p>
        </w:tc>
        <w:tc>
          <w:tcPr>
            <w:shd w:val="clear" w:color="auto" w:fill="232C6B"/>
          </w:tcPr>
          <w:p>
            <w:pPr>
              <w:pStyle w:val="Compact"/>
            </w:pPr>
            <w:r>
              <w:rPr>
                <w:b/>
                <w:color w:val="FFFFFF"/>
                <w:sz w:val="17"/>
              </w:rPr>
              <w:t xml:space="preserve">Parcours type</w:t>
            </w:r>
          </w:p>
        </w:tc>
        <w:tc>
          <w:tcPr>
            <w:shd w:val="clear" w:color="auto" w:fill="232C6B"/>
          </w:tcPr>
          <w:p>
            <w:pPr>
              <w:pStyle w:val="Compact"/>
            </w:pPr>
            <w:r>
              <w:rPr>
                <w:b/>
                <w:color w:val="FFFFFF"/>
                <w:sz w:val="17"/>
              </w:rPr>
              <w:t xml:space="preserve">Ce que MOSOLO lui apporte</w:t>
            </w:r>
          </w:p>
        </w:tc>
      </w:tr>
      <w:tr>
        <w:tc>
          <w:tcPr/>
          <w:p>
            <w:pPr>
              <w:pStyle w:val="Compact"/>
            </w:pPr>
            <w:r>
              <w:rPr>
                <w:b/>
                <w:bCs/>
                <w:sz w:val="17"/>
              </w:rPr>
              <w:t xml:space="preserve">Gouverneur</w:t>
            </w:r>
          </w:p>
        </w:tc>
        <w:tc>
          <w:tcPr/>
          <w:p>
            <w:pPr>
              <w:pStyle w:val="Compact"/>
            </w:pPr>
            <w:r>
              <w:rPr>
                <w:sz w:val="17"/>
              </w:rPr>
              <w:t xml:space="preserve">Ouvre le centre de commandement le matin ; voit l’échelle de la recette du jour, les alertes critiques, les communes en retard ; demande une note d’analyse à l’agent de décision ; ordonne une enquête sur une alerte</w:t>
            </w:r>
          </w:p>
        </w:tc>
        <w:tc>
          <w:tcPr/>
          <w:p>
            <w:pPr>
              <w:pStyle w:val="Compact"/>
            </w:pPr>
            <w:r>
              <w:rPr>
                <w:sz w:val="17"/>
              </w:rPr>
              <w:t xml:space="preserve">Une vérité unique, sans rapport papier ; des recommandations argumentées</w:t>
            </w:r>
          </w:p>
        </w:tc>
      </w:tr>
      <w:tr>
        <w:tc>
          <w:tcPr>
            <w:shd w:val="clear" w:color="auto" w:fill="F5F7FB"/>
          </w:tcPr>
          <w:p>
            <w:pPr>
              <w:pStyle w:val="Compact"/>
            </w:pPr>
            <w:r>
              <w:rPr>
                <w:b/>
                <w:bCs/>
                <w:sz w:val="17"/>
              </w:rPr>
              <w:t xml:space="preserve">Directeur de cabinet</w:t>
            </w:r>
          </w:p>
        </w:tc>
        <w:tc>
          <w:tcPr>
            <w:shd w:val="clear" w:color="auto" w:fill="F5F7FB"/>
          </w:tcPr>
          <w:p>
            <w:pPr>
              <w:pStyle w:val="Compact"/>
            </w:pPr>
            <w:r>
              <w:rPr>
                <w:sz w:val="17"/>
              </w:rPr>
              <w:t xml:space="preserve">Suit les décisions du Gouverneur, les délais de mise en œuvre, prépare les réunions de performance</w:t>
            </w:r>
          </w:p>
        </w:tc>
        <w:tc>
          <w:tcPr>
            <w:shd w:val="clear" w:color="auto" w:fill="F5F7FB"/>
          </w:tcPr>
          <w:p>
            <w:pPr>
              <w:pStyle w:val="Compact"/>
            </w:pPr>
            <w:r>
              <w:rPr>
                <w:sz w:val="17"/>
              </w:rPr>
              <w:t xml:space="preserve">Tableau de suivi des décisions et des engagements</w:t>
            </w:r>
          </w:p>
        </w:tc>
      </w:tr>
      <w:tr>
        <w:tc>
          <w:tcPr/>
          <w:p>
            <w:pPr>
              <w:pStyle w:val="Compact"/>
            </w:pPr>
            <w:r>
              <w:rPr>
                <w:b/>
                <w:bCs/>
                <w:sz w:val="17"/>
              </w:rPr>
              <w:t xml:space="preserve">Secrétaire général</w:t>
            </w:r>
          </w:p>
        </w:tc>
        <w:tc>
          <w:tcPr/>
          <w:p>
            <w:pPr>
              <w:pStyle w:val="Compact"/>
            </w:pPr>
            <w:r>
              <w:rPr>
                <w:sz w:val="17"/>
              </w:rPr>
              <w:t xml:space="preserve">Suit les actes (édits, arrêtés) nécessaires, leur état d’adoption et leur effet dans la plateforme</w:t>
            </w:r>
          </w:p>
        </w:tc>
        <w:tc>
          <w:tcPr/>
          <w:p>
            <w:pPr>
              <w:pStyle w:val="Compact"/>
            </w:pPr>
            <w:r>
              <w:rPr>
                <w:sz w:val="17"/>
              </w:rPr>
              <w:t xml:space="preserve">Lien acte → règles → effet</w:t>
            </w:r>
          </w:p>
        </w:tc>
      </w:tr>
      <w:tr>
        <w:tc>
          <w:tcPr>
            <w:shd w:val="clear" w:color="auto" w:fill="F5F7FB"/>
          </w:tcPr>
          <w:p>
            <w:pPr>
              <w:pStyle w:val="Compact"/>
            </w:pPr>
            <w:r>
              <w:rPr>
                <w:b/>
                <w:bCs/>
                <w:sz w:val="17"/>
              </w:rPr>
              <w:t xml:space="preserve">Ministre provincial</w:t>
            </w:r>
          </w:p>
        </w:tc>
        <w:tc>
          <w:tcPr>
            <w:shd w:val="clear" w:color="auto" w:fill="F5F7FB"/>
          </w:tcPr>
          <w:p>
            <w:pPr>
              <w:pStyle w:val="Compact"/>
            </w:pPr>
            <w:r>
              <w:rPr>
                <w:sz w:val="17"/>
              </w:rPr>
              <w:t xml:space="preserve">Consulte les recettes et les indicateurs de son périmètre ; valide les tarifs de sa compétence ; reçoit les recommandations</w:t>
            </w:r>
          </w:p>
        </w:tc>
        <w:tc>
          <w:tcPr>
            <w:shd w:val="clear" w:color="auto" w:fill="F5F7FB"/>
          </w:tcPr>
          <w:p>
            <w:pPr>
              <w:pStyle w:val="Compact"/>
            </w:pPr>
            <w:r>
              <w:rPr>
                <w:sz w:val="17"/>
              </w:rPr>
              <w:t xml:space="preserve">Pilotage sectoriel sans accès nominatif hors finalité</w:t>
            </w:r>
          </w:p>
        </w:tc>
      </w:tr>
      <w:tr>
        <w:tc>
          <w:tcPr/>
          <w:p>
            <w:pPr>
              <w:pStyle w:val="Compact"/>
            </w:pPr>
            <w:r>
              <w:rPr>
                <w:b/>
                <w:bCs/>
                <w:sz w:val="17"/>
              </w:rPr>
              <w:t xml:space="preserve">DG de régie</w:t>
            </w:r>
          </w:p>
        </w:tc>
        <w:tc>
          <w:tcPr/>
          <w:p>
            <w:pPr>
              <w:pStyle w:val="Compact"/>
            </w:pPr>
            <w:r>
              <w:rPr>
                <w:sz w:val="17"/>
              </w:rPr>
              <w:t xml:space="preserve">Pilote les campagnes, les assignations, la performance des services et des équipes ; approuve les actes de 2e niveau</w:t>
            </w:r>
          </w:p>
        </w:tc>
        <w:tc>
          <w:tcPr/>
          <w:p>
            <w:pPr>
              <w:pStyle w:val="Compact"/>
            </w:pPr>
            <w:r>
              <w:rPr>
                <w:sz w:val="17"/>
              </w:rPr>
              <w:t xml:space="preserve">Tableau opérationnel, files d’approbation</w:t>
            </w:r>
          </w:p>
        </w:tc>
      </w:tr>
      <w:tr>
        <w:tc>
          <w:tcPr>
            <w:shd w:val="clear" w:color="auto" w:fill="F5F7FB"/>
          </w:tcPr>
          <w:p>
            <w:pPr>
              <w:pStyle w:val="Compact"/>
            </w:pPr>
            <w:r>
              <w:rPr>
                <w:b/>
                <w:bCs/>
                <w:sz w:val="17"/>
              </w:rPr>
              <w:t xml:space="preserve">Chef de service d’assiette</w:t>
            </w:r>
          </w:p>
        </w:tc>
        <w:tc>
          <w:tcPr>
            <w:shd w:val="clear" w:color="auto" w:fill="F5F7FB"/>
          </w:tcPr>
          <w:p>
            <w:pPr>
              <w:pStyle w:val="Compact"/>
            </w:pPr>
            <w:r>
              <w:rPr>
                <w:sz w:val="17"/>
              </w:rPr>
              <w:t xml:space="preserve">Traite les demandes de rattachement, valide les objets, prépare les campagnes</w:t>
            </w:r>
          </w:p>
        </w:tc>
        <w:tc>
          <w:tcPr>
            <w:shd w:val="clear" w:color="auto" w:fill="F5F7FB"/>
          </w:tcPr>
          <w:p>
            <w:pPr>
              <w:pStyle w:val="Compact"/>
            </w:pPr>
            <w:r>
              <w:rPr>
                <w:sz w:val="17"/>
              </w:rPr>
              <w:t xml:space="preserve">Files de travail priorisées par l’IA</w:t>
            </w:r>
          </w:p>
        </w:tc>
      </w:tr>
      <w:tr>
        <w:tc>
          <w:tcPr/>
          <w:p>
            <w:pPr>
              <w:pStyle w:val="Compact"/>
            </w:pPr>
            <w:r>
              <w:rPr>
                <w:b/>
                <w:bCs/>
                <w:sz w:val="17"/>
              </w:rPr>
              <w:t xml:space="preserve">Contrôleur</w:t>
            </w:r>
          </w:p>
        </w:tc>
        <w:tc>
          <w:tcPr/>
          <w:p>
            <w:pPr>
              <w:pStyle w:val="Compact"/>
            </w:pPr>
            <w:r>
              <w:rPr>
                <w:sz w:val="17"/>
              </w:rPr>
              <w:t xml:space="preserve">Ouvre un dossier préparé (historique, preuves, anomalies), planifie la visite, rédige le procès-verbal assisté par le copilote</w:t>
            </w:r>
          </w:p>
        </w:tc>
        <w:tc>
          <w:tcPr/>
          <w:p>
            <w:pPr>
              <w:pStyle w:val="Compact"/>
            </w:pPr>
            <w:r>
              <w:rPr>
                <w:sz w:val="17"/>
              </w:rPr>
              <w:t xml:space="preserve">Dossiers complets, rédaction assistée</w:t>
            </w:r>
          </w:p>
        </w:tc>
      </w:tr>
      <w:tr>
        <w:tc>
          <w:tcPr>
            <w:shd w:val="clear" w:color="auto" w:fill="F5F7FB"/>
          </w:tcPr>
          <w:p>
            <w:pPr>
              <w:pStyle w:val="Compact"/>
            </w:pPr>
            <w:r>
              <w:rPr>
                <w:b/>
                <w:bCs/>
                <w:sz w:val="17"/>
              </w:rPr>
              <w:t xml:space="preserve">Juriste</w:t>
            </w:r>
          </w:p>
        </w:tc>
        <w:tc>
          <w:tcPr>
            <w:shd w:val="clear" w:color="auto" w:fill="F5F7FB"/>
          </w:tcPr>
          <w:p>
            <w:pPr>
              <w:pStyle w:val="Compact"/>
            </w:pPr>
            <w:r>
              <w:rPr>
                <w:sz w:val="17"/>
              </w:rPr>
              <w:t xml:space="preserve">Rédige une fiche de règle, l’accompagne de cas de test, la soumet ; suit l’état des textes</w:t>
            </w:r>
          </w:p>
        </w:tc>
        <w:tc>
          <w:tcPr>
            <w:shd w:val="clear" w:color="auto" w:fill="F5F7FB"/>
          </w:tcPr>
          <w:p>
            <w:pPr>
              <w:pStyle w:val="Compact"/>
            </w:pPr>
            <w:r>
              <w:rPr>
                <w:sz w:val="17"/>
              </w:rPr>
              <w:t xml:space="preserve">Atelier de règles avec simulateur</w:t>
            </w:r>
          </w:p>
        </w:tc>
      </w:tr>
      <w:tr>
        <w:tc>
          <w:tcPr/>
          <w:p>
            <w:pPr>
              <w:pStyle w:val="Compact"/>
            </w:pPr>
            <w:r>
              <w:rPr>
                <w:b/>
                <w:bCs/>
                <w:sz w:val="17"/>
              </w:rPr>
              <w:t xml:space="preserve">Comptable du Trésor</w:t>
            </w:r>
          </w:p>
        </w:tc>
        <w:tc>
          <w:tcPr/>
          <w:p>
            <w:pPr>
              <w:pStyle w:val="Compact"/>
            </w:pPr>
            <w:r>
              <w:rPr>
                <w:sz w:val="17"/>
              </w:rPr>
              <w:t xml:space="preserve">Rapproche les relevés du jour, traite les exceptions, clôture la journée</w:t>
            </w:r>
          </w:p>
        </w:tc>
        <w:tc>
          <w:tcPr/>
          <w:p>
            <w:pPr>
              <w:pStyle w:val="Compact"/>
            </w:pPr>
            <w:r>
              <w:rPr>
                <w:sz w:val="17"/>
              </w:rPr>
              <w:t xml:space="preserve">Rapprochement automatique à plus de 95 % visé, exceptions expliquées</w:t>
            </w:r>
          </w:p>
        </w:tc>
      </w:tr>
      <w:tr>
        <w:tc>
          <w:tcPr>
            <w:shd w:val="clear" w:color="auto" w:fill="F5F7FB"/>
          </w:tcPr>
          <w:p>
            <w:pPr>
              <w:pStyle w:val="Compact"/>
            </w:pPr>
            <w:r>
              <w:rPr>
                <w:b/>
                <w:bCs/>
                <w:sz w:val="17"/>
              </w:rPr>
              <w:t xml:space="preserve">Auditeur</w:t>
            </w:r>
          </w:p>
        </w:tc>
        <w:tc>
          <w:tcPr>
            <w:shd w:val="clear" w:color="auto" w:fill="F5F7FB"/>
          </w:tcPr>
          <w:p>
            <w:pPr>
              <w:pStyle w:val="Compact"/>
            </w:pPr>
            <w:r>
              <w:rPr>
                <w:sz w:val="17"/>
              </w:rPr>
              <w:t xml:space="preserve">Reconstitue la vie d’une obligation ou d’un paiement ; extrait un dossier de preuve signé</w:t>
            </w:r>
          </w:p>
        </w:tc>
        <w:tc>
          <w:tcPr>
            <w:shd w:val="clear" w:color="auto" w:fill="F5F7FB"/>
          </w:tcPr>
          <w:p>
            <w:pPr>
              <w:pStyle w:val="Compact"/>
            </w:pPr>
            <w:r>
              <w:rPr>
                <w:sz w:val="17"/>
              </w:rPr>
              <w:t xml:space="preserve">Chaîne de preuve complète</w:t>
            </w:r>
          </w:p>
        </w:tc>
      </w:tr>
      <w:tr>
        <w:tc>
          <w:tcPr/>
          <w:p>
            <w:pPr>
              <w:pStyle w:val="Compact"/>
            </w:pPr>
            <w:r>
              <w:rPr>
                <w:b/>
                <w:bCs/>
                <w:sz w:val="17"/>
              </w:rPr>
              <w:t xml:space="preserve">Enquêteur anti-fraude</w:t>
            </w:r>
          </w:p>
        </w:tc>
        <w:tc>
          <w:tcPr/>
          <w:p>
            <w:pPr>
              <w:pStyle w:val="Compact"/>
            </w:pPr>
            <w:r>
              <w:rPr>
                <w:sz w:val="17"/>
              </w:rPr>
              <w:t xml:space="preserve">Reçoit une alerte expliquée, ouvre un dossier, rassemble les preuves, propose des mesures</w:t>
            </w:r>
          </w:p>
        </w:tc>
        <w:tc>
          <w:tcPr/>
          <w:p>
            <w:pPr>
              <w:pStyle w:val="Compact"/>
            </w:pPr>
            <w:r>
              <w:rPr>
                <w:sz w:val="17"/>
              </w:rPr>
              <w:t xml:space="preserve">Graphe des liens, historique, preuves scellées</w:t>
            </w:r>
          </w:p>
        </w:tc>
      </w:tr>
    </w:tbl>
    <w:p>
      <w:pPr>
        <w:pStyle w:val="BodyText"/>
      </w:pPr>
      <w:r>
        <w:t xml:space="preserve">Critère d’acceptation (auditeur) :</w:t>
      </w:r>
      <w:r>
        <w:t xml:space="preserve"> </w:t>
      </w:r>
      <w:r>
        <w:rPr>
          <w:b/>
          <w:bCs/>
        </w:rPr>
        <w:t xml:space="preserve">Étant donné</w:t>
      </w:r>
      <w:r>
        <w:t xml:space="preserve"> </w:t>
      </w:r>
      <w:r>
        <w:t xml:space="preserve">une obligation ou un paiement,</w:t>
      </w:r>
      <w:r>
        <w:t xml:space="preserve"> </w:t>
      </w:r>
      <w:r>
        <w:rPr>
          <w:b/>
          <w:bCs/>
        </w:rPr>
        <w:t xml:space="preserve">lorsque</w:t>
      </w:r>
      <w:r>
        <w:t xml:space="preserve"> </w:t>
      </w:r>
      <w:r>
        <w:t xml:space="preserve">l’auditeur consulte la piste d’audit,</w:t>
      </w:r>
      <w:r>
        <w:t xml:space="preserve"> </w:t>
      </w:r>
      <w:r>
        <w:rPr>
          <w:b/>
          <w:bCs/>
        </w:rPr>
        <w:t xml:space="preserve">alors</w:t>
      </w:r>
      <w:r>
        <w:t xml:space="preserve"> </w:t>
      </w:r>
      <w:r>
        <w:t xml:space="preserve">il voit chaque événement, son auteur, ses approbations, son horodatage et ses contre-écritures, sans trou dans la chaîne de hachage.</w:t>
      </w:r>
    </w:p>
    <w:bookmarkEnd w:id="152"/>
    <w:bookmarkStart w:id="157" w:name="parcours-de-lagent-de-terrain"/>
    <w:p>
      <w:pPr>
        <w:pStyle w:val="Heading1"/>
      </w:pPr>
      <w:r>
        <w:t xml:space="preserve">15. Parcours de l’agent de terrain</w:t>
      </w:r>
    </w:p>
    <w:bookmarkStart w:id="153" w:name="avant-la-mission"/>
    <w:p>
      <w:pPr>
        <w:pStyle w:val="Heading2"/>
      </w:pPr>
      <w:r>
        <w:t xml:space="preserve">15.1 Avant la mission</w:t>
      </w:r>
    </w:p>
    <w:p>
      <w:pPr>
        <w:pStyle w:val="FirstParagraph"/>
      </w:pPr>
      <w:r>
        <w:t xml:space="preserve">Le superviseur (ou l’agent de mission IA, sous validation du superviseur) crée une mission : polygone, liste d’objets prioritaires, objectifs, durée. L’agent synchronise son terminal au bureau : la mission, les objets de la zone avec les</w:t>
      </w:r>
      <w:r>
        <w:t xml:space="preserve"> </w:t>
      </w:r>
      <w:r>
        <w:rPr>
          <w:b/>
          <w:bCs/>
        </w:rPr>
        <w:t xml:space="preserve">données minimales</w:t>
      </w:r>
      <w:r>
        <w:t xml:space="preserve"> </w:t>
      </w:r>
      <w:r>
        <w:t xml:space="preserve">(identifiant, catégorie, statut de couleur, adresse, dernier constat —</w:t>
      </w:r>
      <w:r>
        <w:t xml:space="preserve"> </w:t>
      </w:r>
      <w:r>
        <w:rPr>
          <w:b/>
          <w:bCs/>
        </w:rPr>
        <w:t xml:space="preserve">jamais</w:t>
      </w:r>
      <w:r>
        <w:t xml:space="preserve"> </w:t>
      </w:r>
      <w:r>
        <w:t xml:space="preserve">le montant dû détaillé ni les données personnelles non nécessaires), les fonds de carte hors ligne et les formulaires. Les données de mission expirent automatiquement (72 heures par défaut).</w:t>
      </w:r>
    </w:p>
    <w:bookmarkEnd w:id="153"/>
    <w:bookmarkStart w:id="154" w:name="sur-le-terrain"/>
    <w:p>
      <w:pPr>
        <w:pStyle w:val="Heading2"/>
      </w:pPr>
      <w:r>
        <w:t xml:space="preserve">15.2 Sur le terrain</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Étape</w:t>
            </w:r>
          </w:p>
        </w:tc>
        <w:tc>
          <w:tcPr>
            <w:shd w:val="clear" w:color="auto" w:fill="232C6B"/>
          </w:tcPr>
          <w:p>
            <w:pPr>
              <w:pStyle w:val="Compact"/>
            </w:pPr>
            <w:r>
              <w:rPr>
                <w:b/>
                <w:color w:val="FFFFFF"/>
                <w:sz w:val="17"/>
              </w:rPr>
              <w:t xml:space="preserve">Action</w:t>
            </w:r>
          </w:p>
        </w:tc>
        <w:tc>
          <w:tcPr>
            <w:shd w:val="clear" w:color="auto" w:fill="232C6B"/>
          </w:tcPr>
          <w:p>
            <w:pPr>
              <w:pStyle w:val="Compact"/>
            </w:pPr>
            <w:r>
              <w:rPr>
                <w:b/>
                <w:color w:val="FFFFFF"/>
                <w:sz w:val="17"/>
              </w:rPr>
              <w:t xml:space="preserve">Contrôle automatique</w:t>
            </w:r>
          </w:p>
        </w:tc>
      </w:tr>
      <w:tr>
        <w:tc>
          <w:tcPr/>
          <w:p>
            <w:pPr>
              <w:pStyle w:val="Compact"/>
            </w:pPr>
            <w:r>
              <w:rPr>
                <w:sz w:val="17"/>
              </w:rPr>
              <w:t xml:space="preserve">1</w:t>
            </w:r>
          </w:p>
        </w:tc>
        <w:tc>
          <w:tcPr/>
          <w:p>
            <w:pPr>
              <w:pStyle w:val="Compact"/>
            </w:pPr>
            <w:r>
              <w:rPr>
                <w:sz w:val="17"/>
              </w:rPr>
              <w:t xml:space="preserve">Ouverture de session (biométrie locale du terminal + PIN)</w:t>
            </w:r>
          </w:p>
        </w:tc>
        <w:tc>
          <w:tcPr/>
          <w:p>
            <w:pPr>
              <w:pStyle w:val="Compact"/>
            </w:pPr>
            <w:r>
              <w:rPr>
                <w:sz w:val="17"/>
              </w:rPr>
              <w:t xml:space="preserve">Terminal enrôlé ; mission active ; plage horaire</w:t>
            </w:r>
          </w:p>
        </w:tc>
      </w:tr>
      <w:tr>
        <w:tc>
          <w:tcPr>
            <w:shd w:val="clear" w:color="auto" w:fill="F5F7FB"/>
          </w:tcPr>
          <w:p>
            <w:pPr>
              <w:pStyle w:val="Compact"/>
            </w:pPr>
            <w:r>
              <w:rPr>
                <w:sz w:val="17"/>
              </w:rPr>
              <w:t xml:space="preserve">2</w:t>
            </w:r>
          </w:p>
        </w:tc>
        <w:tc>
          <w:tcPr>
            <w:shd w:val="clear" w:color="auto" w:fill="F5F7FB"/>
          </w:tcPr>
          <w:p>
            <w:pPr>
              <w:pStyle w:val="Compact"/>
            </w:pPr>
            <w:r>
              <w:rPr>
                <w:sz w:val="17"/>
              </w:rPr>
              <w:t xml:space="preserve">Navigation vers l’objet ; carte avec couleurs de statut</w:t>
            </w:r>
          </w:p>
        </w:tc>
        <w:tc>
          <w:tcPr>
            <w:shd w:val="clear" w:color="auto" w:fill="F5F7FB"/>
          </w:tcPr>
          <w:p>
            <w:pPr>
              <w:pStyle w:val="Compact"/>
            </w:pPr>
            <w:r>
              <w:rPr>
                <w:sz w:val="17"/>
              </w:rPr>
              <w:t xml:space="preserve">Géorepérage : alerte si hors zone</w:t>
            </w:r>
          </w:p>
        </w:tc>
      </w:tr>
      <w:tr>
        <w:tc>
          <w:tcPr/>
          <w:p>
            <w:pPr>
              <w:pStyle w:val="Compact"/>
            </w:pPr>
            <w:r>
              <w:rPr>
                <w:sz w:val="17"/>
              </w:rPr>
              <w:t xml:space="preserve">3</w:t>
            </w:r>
          </w:p>
        </w:tc>
        <w:tc>
          <w:tcPr/>
          <w:p>
            <w:pPr>
              <w:pStyle w:val="Compact"/>
            </w:pPr>
            <w:r>
              <w:rPr>
                <w:sz w:val="17"/>
              </w:rPr>
              <w:t xml:space="preserve">Scan du QR de plaque ou création d’un objet provisoire</w:t>
            </w:r>
          </w:p>
        </w:tc>
        <w:tc>
          <w:tcPr/>
          <w:p>
            <w:pPr>
              <w:pStyle w:val="Compact"/>
            </w:pPr>
            <w:r>
              <w:rPr>
                <w:sz w:val="17"/>
              </w:rPr>
              <w:t xml:space="preserve">QR signé vérifié hors ligne</w:t>
            </w:r>
          </w:p>
        </w:tc>
      </w:tr>
      <w:tr>
        <w:tc>
          <w:tcPr>
            <w:shd w:val="clear" w:color="auto" w:fill="F5F7FB"/>
          </w:tcPr>
          <w:p>
            <w:pPr>
              <w:pStyle w:val="Compact"/>
            </w:pPr>
            <w:r>
              <w:rPr>
                <w:sz w:val="17"/>
              </w:rPr>
              <w:t xml:space="preserve">4</w:t>
            </w:r>
          </w:p>
        </w:tc>
        <w:tc>
          <w:tcPr>
            <w:shd w:val="clear" w:color="auto" w:fill="F5F7FB"/>
          </w:tcPr>
          <w:p>
            <w:pPr>
              <w:pStyle w:val="Compact"/>
            </w:pPr>
            <w:r>
              <w:rPr>
                <w:sz w:val="17"/>
              </w:rPr>
              <w:t xml:space="preserve">Capture GPS (avec précision), photos contrôlées (appareil photo de l’application uniquement, horodatées, empreinte hachée)</w:t>
            </w:r>
          </w:p>
        </w:tc>
        <w:tc>
          <w:tcPr>
            <w:shd w:val="clear" w:color="auto" w:fill="F5F7FB"/>
          </w:tcPr>
          <w:p>
            <w:pPr>
              <w:pStyle w:val="Compact"/>
            </w:pPr>
            <w:r>
              <w:rPr>
                <w:sz w:val="17"/>
              </w:rPr>
              <w:t xml:space="preserve">Plausibilité GPS (précision, vitesse de déplacement, cohérence avec le polygone)</w:t>
            </w:r>
          </w:p>
        </w:tc>
      </w:tr>
      <w:tr>
        <w:tc>
          <w:tcPr/>
          <w:p>
            <w:pPr>
              <w:pStyle w:val="Compact"/>
            </w:pPr>
            <w:r>
              <w:rPr>
                <w:sz w:val="17"/>
              </w:rPr>
              <w:t xml:space="preserve">5</w:t>
            </w:r>
          </w:p>
        </w:tc>
        <w:tc>
          <w:tcPr/>
          <w:p>
            <w:pPr>
              <w:pStyle w:val="Compact"/>
            </w:pPr>
            <w:r>
              <w:rPr>
                <w:sz w:val="17"/>
              </w:rPr>
              <w:t xml:space="preserve">Relevé des caractéristiques (usage, niveaux, unités, occupation, activité)</w:t>
            </w:r>
          </w:p>
        </w:tc>
        <w:tc>
          <w:tcPr/>
          <w:p>
            <w:pPr>
              <w:pStyle w:val="Compact"/>
            </w:pPr>
            <w:r>
              <w:rPr>
                <w:sz w:val="17"/>
              </w:rPr>
              <w:t xml:space="preserve">Formulaires dynamiques par type d’objet</w:t>
            </w:r>
          </w:p>
        </w:tc>
      </w:tr>
      <w:tr>
        <w:tc>
          <w:tcPr>
            <w:shd w:val="clear" w:color="auto" w:fill="F5F7FB"/>
          </w:tcPr>
          <w:p>
            <w:pPr>
              <w:pStyle w:val="Compact"/>
            </w:pPr>
            <w:r>
              <w:rPr>
                <w:sz w:val="17"/>
              </w:rPr>
              <w:t xml:space="preserve">6</w:t>
            </w:r>
          </w:p>
        </w:tc>
        <w:tc>
          <w:tcPr>
            <w:shd w:val="clear" w:color="auto" w:fill="F5F7FB"/>
          </w:tcPr>
          <w:p>
            <w:pPr>
              <w:pStyle w:val="Compact"/>
            </w:pPr>
            <w:r>
              <w:rPr>
                <w:sz w:val="17"/>
              </w:rPr>
              <w:t xml:space="preserve">Vérification de l’occupation déclarée</w:t>
            </w:r>
          </w:p>
        </w:tc>
        <w:tc>
          <w:tcPr>
            <w:shd w:val="clear" w:color="auto" w:fill="F5F7FB"/>
          </w:tcPr>
          <w:p>
            <w:pPr>
              <w:pStyle w:val="Compact"/>
            </w:pPr>
            <w:r>
              <w:rPr>
                <w:sz w:val="17"/>
              </w:rPr>
              <w:t xml:space="preserve">Comparaison avec la déclaration, écart signalé</w:t>
            </w:r>
          </w:p>
        </w:tc>
      </w:tr>
      <w:tr>
        <w:tc>
          <w:tcPr/>
          <w:p>
            <w:pPr>
              <w:pStyle w:val="Compact"/>
            </w:pPr>
            <w:r>
              <w:rPr>
                <w:sz w:val="17"/>
              </w:rPr>
              <w:t xml:space="preserve">7</w:t>
            </w:r>
          </w:p>
        </w:tc>
        <w:tc>
          <w:tcPr/>
          <w:p>
            <w:pPr>
              <w:pStyle w:val="Compact"/>
            </w:pPr>
            <w:r>
              <w:rPr>
                <w:sz w:val="17"/>
              </w:rPr>
              <w:t xml:space="preserve">Remise d’une notification lorsque la loi l’autorise (avis de passage, invitation à régulariser)</w:t>
            </w:r>
          </w:p>
        </w:tc>
        <w:tc>
          <w:tcPr/>
          <w:p>
            <w:pPr>
              <w:pStyle w:val="Compact"/>
            </w:pPr>
            <w:r>
              <w:rPr>
                <w:sz w:val="17"/>
              </w:rPr>
              <w:t xml:space="preserve">Modèle approuvé ; accusé de réception (signature sur écran, photo, ou mention de refus)</w:t>
            </w:r>
          </w:p>
        </w:tc>
      </w:tr>
      <w:tr>
        <w:tc>
          <w:tcPr>
            <w:shd w:val="clear" w:color="auto" w:fill="F5F7FB"/>
          </w:tcPr>
          <w:p>
            <w:pPr>
              <w:pStyle w:val="Compact"/>
            </w:pPr>
            <w:r>
              <w:rPr>
                <w:sz w:val="17"/>
              </w:rPr>
              <w:t xml:space="preserve">8</w:t>
            </w:r>
          </w:p>
        </w:tc>
        <w:tc>
          <w:tcPr>
            <w:shd w:val="clear" w:color="auto" w:fill="F5F7FB"/>
          </w:tcPr>
          <w:p>
            <w:pPr>
              <w:pStyle w:val="Compact"/>
            </w:pPr>
            <w:r>
              <w:rPr>
                <w:sz w:val="17"/>
              </w:rPr>
              <w:t xml:space="preserve">Enregistrement d’une absence ou d’un refus</w:t>
            </w:r>
          </w:p>
        </w:tc>
        <w:tc>
          <w:tcPr>
            <w:shd w:val="clear" w:color="auto" w:fill="F5F7FB"/>
          </w:tcPr>
          <w:p>
            <w:pPr>
              <w:pStyle w:val="Compact"/>
            </w:pPr>
            <w:r>
              <w:rPr>
                <w:sz w:val="17"/>
              </w:rPr>
              <w:t xml:space="preserve">Motif codifié ; photo de façade</w:t>
            </w:r>
          </w:p>
        </w:tc>
      </w:tr>
      <w:tr>
        <w:tc>
          <w:tcPr/>
          <w:p>
            <w:pPr>
              <w:pStyle w:val="Compact"/>
            </w:pPr>
            <w:r>
              <w:rPr>
                <w:sz w:val="17"/>
              </w:rPr>
              <w:t xml:space="preserve">9</w:t>
            </w:r>
          </w:p>
        </w:tc>
        <w:tc>
          <w:tcPr/>
          <w:p>
            <w:pPr>
              <w:pStyle w:val="Compact"/>
            </w:pPr>
            <w:r>
              <w:rPr>
                <w:sz w:val="17"/>
              </w:rPr>
              <w:t xml:space="preserve">Signalement d’incohérence (compteurs multiples, activité non déclarée)</w:t>
            </w:r>
          </w:p>
        </w:tc>
        <w:tc>
          <w:tcPr/>
          <w:p>
            <w:pPr>
              <w:pStyle w:val="Compact"/>
            </w:pPr>
            <w:r>
              <w:rPr>
                <w:sz w:val="17"/>
              </w:rPr>
              <w:t xml:space="preserve">Crée un signal, jamais une dette</w:t>
            </w:r>
          </w:p>
        </w:tc>
      </w:tr>
      <w:tr>
        <w:tc>
          <w:tcPr>
            <w:shd w:val="clear" w:color="auto" w:fill="F5F7FB"/>
          </w:tcPr>
          <w:p>
            <w:pPr>
              <w:pStyle w:val="Compact"/>
            </w:pPr>
            <w:r>
              <w:rPr>
                <w:sz w:val="17"/>
              </w:rPr>
              <w:t xml:space="preserve">10</w:t>
            </w:r>
          </w:p>
        </w:tc>
        <w:tc>
          <w:tcPr>
            <w:shd w:val="clear" w:color="auto" w:fill="F5F7FB"/>
          </w:tcPr>
          <w:p>
            <w:pPr>
              <w:pStyle w:val="Compact"/>
            </w:pPr>
            <w:r>
              <w:rPr>
                <w:sz w:val="17"/>
              </w:rPr>
              <w:t xml:space="preserve">Vérification du statut d’une quittance présentée</w:t>
            </w:r>
          </w:p>
        </w:tc>
        <w:tc>
          <w:tcPr>
            <w:shd w:val="clear" w:color="auto" w:fill="F5F7FB"/>
          </w:tcPr>
          <w:p>
            <w:pPr>
              <w:pStyle w:val="Compact"/>
            </w:pPr>
            <w:r>
              <w:rPr>
                <w:sz w:val="17"/>
              </w:rPr>
              <w:t xml:space="preserve">Par QR : vérification de signature hors ligne + statut en ligne si réseau (§ 19.4)</w:t>
            </w:r>
          </w:p>
        </w:tc>
      </w:tr>
    </w:tbl>
    <w:p>
      <w:pPr>
        <w:pStyle w:val="BodyText"/>
      </w:pPr>
      <w:r>
        <w:rPr>
          <w:b/>
          <w:bCs/>
        </w:rPr>
        <w:t xml:space="preserve">Interdits codés dans l’application :</w:t>
      </w:r>
      <w:r>
        <w:t xml:space="preserve"> </w:t>
      </w:r>
      <w:r>
        <w:t xml:space="preserve">l’agent ne peut ni déterminer la propriété, ni créer une obligation définitive, ni voir ou modifier un montant, ni enregistrer un paiement, ni encaisser d’espèces. Toute proposition d’argent par un contribuable doit être refusée ; l’application affiche à l’écran le moyen de paiement officiel et le numéro de signalement.</w:t>
      </w:r>
    </w:p>
    <w:bookmarkEnd w:id="154"/>
    <w:bookmarkStart w:id="155" w:name="après-la-mission"/>
    <w:p>
      <w:pPr>
        <w:pStyle w:val="Heading2"/>
      </w:pPr>
      <w:r>
        <w:t xml:space="preserve">15.3 Après la mission</w:t>
      </w:r>
    </w:p>
    <w:p>
      <w:pPr>
        <w:pStyle w:val="FirstParagraph"/>
      </w:pPr>
      <w:r>
        <w:t xml:space="preserve">Synchronisation automatique dès que le réseau revient ; contrôle qualité par un vérificateur distinct sur un échantillon (au moins 5 % aléatoire + 100 % des cas à risque) ; validation des objets par le chef de service ; indicateurs de qualité par agent (précision, taux de rejet, doublons, plaintes) — pas d’indicateur de « montant généré » par agent.</w:t>
      </w:r>
    </w:p>
    <w:bookmarkEnd w:id="155"/>
    <w:bookmarkStart w:id="156" w:name="identification-des-agents-par-le-public"/>
    <w:p>
      <w:pPr>
        <w:pStyle w:val="Heading2"/>
      </w:pPr>
      <w:r>
        <w:t xml:space="preserve">15.4 Identification des agents par le public</w:t>
      </w:r>
    </w:p>
    <w:p>
      <w:pPr>
        <w:pStyle w:val="FirstParagraph"/>
      </w:pPr>
      <w:r>
        <w:t xml:space="preserve">Chaque agent porte un badge avec QR et code court ; tout citoyen peut vérifier par SMS ou USSD que l’agent est habilité, pour quelle mission, dans quelle zone et à quelle date. Un faux agent est signalable en un geste.</w:t>
      </w:r>
    </w:p>
    <w:bookmarkEnd w:id="156"/>
    <w:bookmarkEnd w:id="157"/>
    <w:bookmarkStart w:id="170" w:name="modèle-foncier-et-intelligence-locative"/>
    <w:p>
      <w:pPr>
        <w:pStyle w:val="Heading1"/>
      </w:pPr>
      <w:r>
        <w:t xml:space="preserve">16. Modèle foncier et intelligence locative</w:t>
      </w:r>
    </w:p>
    <w:p>
      <w:pPr>
        <w:pStyle w:val="FirstParagraph"/>
      </w:pPr>
      <w:r>
        <w:t xml:space="preserve">Le module de l’intelligence foncière et locative (module 9, verticales Property et Rental) porte le gisement le plus important et le plus sensible. Il combine carte, enrôlement vérifié, recensement terrain, auto-déclaration, données administratives autorisées et détection d’anomalies assistée par l’IA.</w:t>
      </w:r>
    </w:p>
    <w:bookmarkStart w:id="161" w:name="structure-des-données"/>
    <w:p>
      <w:pPr>
        <w:pStyle w:val="Heading2"/>
      </w:pPr>
      <w:r>
        <w:t xml:space="preserve">16.1 Structure des données</w:t>
      </w:r>
    </w:p>
    <w:p>
      <w:pPr>
        <w:pStyle w:val="FirstParagraph"/>
      </w:pPr>
      <w:r>
        <w:drawing>
          <wp:inline>
            <wp:extent cx="6108700" cy="6358034"/>
            <wp:effectExtent b="0" l="0" r="0" t="0"/>
            <wp:docPr descr="" title="" id="159" name="Picture"/>
            <a:graphic>
              <a:graphicData uri="http://schemas.openxmlformats.org/drawingml/2006/picture">
                <pic:pic>
                  <pic:nvPicPr>
                    <pic:cNvPr descr="figures/mermaid/mmd-afa647b24d16.png" id="160" name="Picture"/>
                    <pic:cNvPicPr>
                      <a:picLocks noChangeArrowheads="1" noChangeAspect="1"/>
                    </pic:cNvPicPr>
                  </pic:nvPicPr>
                  <pic:blipFill>
                    <a:blip r:embed="rId158"/>
                    <a:stretch>
                      <a:fillRect/>
                    </a:stretch>
                  </pic:blipFill>
                  <pic:spPr bwMode="auto">
                    <a:xfrm>
                      <a:off x="0" y="0"/>
                      <a:ext cx="6108700" cy="6358034"/>
                    </a:xfrm>
                    <a:prstGeom prst="rect">
                      <a:avLst/>
                    </a:prstGeom>
                    <a:noFill/>
                    <a:ln w="9525">
                      <a:noFill/>
                      <a:headEnd/>
                      <a:tailEnd/>
                    </a:ln>
                  </pic:spPr>
                </pic:pic>
              </a:graphicData>
            </a:graphic>
          </wp:inline>
        </w:drawing>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Niveau</w:t>
            </w:r>
          </w:p>
        </w:tc>
        <w:tc>
          <w:tcPr>
            <w:shd w:val="clear" w:color="auto" w:fill="232C6B"/>
          </w:tcPr>
          <w:p>
            <w:pPr>
              <w:pStyle w:val="Compact"/>
            </w:pPr>
            <w:r>
              <w:rPr>
                <w:b/>
                <w:color w:val="FFFFFF"/>
                <w:sz w:val="17"/>
              </w:rPr>
              <w:t xml:space="preserve">Champs principaux</w:t>
            </w:r>
          </w:p>
        </w:tc>
        <w:tc>
          <w:tcPr>
            <w:shd w:val="clear" w:color="auto" w:fill="232C6B"/>
          </w:tcPr>
          <w:p>
            <w:pPr>
              <w:pStyle w:val="Compact"/>
            </w:pPr>
            <w:r>
              <w:rPr>
                <w:b/>
                <w:color w:val="FFFFFF"/>
                <w:sz w:val="17"/>
              </w:rPr>
              <w:t xml:space="preserve">Usage fiscal</w:t>
            </w:r>
          </w:p>
        </w:tc>
      </w:tr>
      <w:tr>
        <w:tc>
          <w:tcPr/>
          <w:p>
            <w:pPr>
              <w:pStyle w:val="Compact"/>
            </w:pPr>
            <w:r>
              <w:rPr>
                <w:b/>
                <w:bCs/>
                <w:sz w:val="17"/>
              </w:rPr>
              <w:t xml:space="preserve">Parcelle</w:t>
            </w:r>
          </w:p>
        </w:tc>
        <w:tc>
          <w:tcPr/>
          <w:p>
            <w:pPr>
              <w:pStyle w:val="Compact"/>
            </w:pPr>
            <w:r>
              <w:rPr>
                <w:sz w:val="17"/>
              </w:rPr>
              <w:t xml:space="preserve">IGF, référence cadastrale ou coutumière, polygone ou point, superficie (déclarée / mesurée), rang de localité, bâtie ou non bâtie, statut foncier déclaré</w:t>
            </w:r>
          </w:p>
        </w:tc>
        <w:tc>
          <w:tcPr/>
          <w:p>
            <w:pPr>
              <w:pStyle w:val="Compact"/>
            </w:pPr>
            <w:r>
              <w:rPr>
                <w:sz w:val="17"/>
              </w:rPr>
              <w:t xml:space="preserve">Impôt foncier</w:t>
            </w:r>
          </w:p>
        </w:tc>
      </w:tr>
      <w:tr>
        <w:tc>
          <w:tcPr>
            <w:shd w:val="clear" w:color="auto" w:fill="F5F7FB"/>
          </w:tcPr>
          <w:p>
            <w:pPr>
              <w:pStyle w:val="Compact"/>
            </w:pPr>
            <w:r>
              <w:rPr>
                <w:b/>
                <w:bCs/>
                <w:sz w:val="17"/>
              </w:rPr>
              <w:t xml:space="preserve">Bâtiment</w:t>
            </w:r>
          </w:p>
        </w:tc>
        <w:tc>
          <w:tcPr>
            <w:shd w:val="clear" w:color="auto" w:fill="F5F7FB"/>
          </w:tcPr>
          <w:p>
            <w:pPr>
              <w:pStyle w:val="Compact"/>
            </w:pPr>
            <w:r>
              <w:rPr>
                <w:sz w:val="17"/>
              </w:rPr>
              <w:t xml:space="preserve">IGF, parcelle, nombre de niveaux, usage dominant, année approximative, emprise, matériaux (facultatif), photos</w:t>
            </w:r>
          </w:p>
        </w:tc>
        <w:tc>
          <w:tcPr>
            <w:shd w:val="clear" w:color="auto" w:fill="F5F7FB"/>
          </w:tcPr>
          <w:p>
            <w:pPr>
              <w:pStyle w:val="Compact"/>
            </w:pPr>
            <w:r>
              <w:rPr>
                <w:sz w:val="17"/>
              </w:rPr>
              <w:t xml:space="preserve">Impôt foncier, requalification</w:t>
            </w:r>
          </w:p>
        </w:tc>
      </w:tr>
      <w:tr>
        <w:tc>
          <w:tcPr/>
          <w:p>
            <w:pPr>
              <w:pStyle w:val="Compact"/>
            </w:pPr>
            <w:r>
              <w:rPr>
                <w:b/>
                <w:bCs/>
                <w:sz w:val="17"/>
              </w:rPr>
              <w:t xml:space="preserve">Étage</w:t>
            </w:r>
          </w:p>
        </w:tc>
        <w:tc>
          <w:tcPr/>
          <w:p>
            <w:pPr>
              <w:pStyle w:val="Compact"/>
            </w:pPr>
            <w:r>
              <w:rPr>
                <w:sz w:val="17"/>
              </w:rPr>
              <w:t xml:space="preserve">Numéro, usage</w:t>
            </w:r>
          </w:p>
        </w:tc>
        <w:tc>
          <w:tcPr/>
          <w:p>
            <w:pPr>
              <w:pStyle w:val="Compact"/>
            </w:pPr>
            <w:r>
              <w:rPr>
                <w:sz w:val="17"/>
              </w:rPr>
              <w:t xml:space="preserve">Structuration des unités</w:t>
            </w:r>
          </w:p>
        </w:tc>
      </w:tr>
      <w:tr>
        <w:tc>
          <w:tcPr>
            <w:shd w:val="clear" w:color="auto" w:fill="F5F7FB"/>
          </w:tcPr>
          <w:p>
            <w:pPr>
              <w:pStyle w:val="Compact"/>
            </w:pPr>
            <w:r>
              <w:rPr>
                <w:b/>
                <w:bCs/>
                <w:sz w:val="17"/>
              </w:rPr>
              <w:t xml:space="preserve">Unité</w:t>
            </w:r>
          </w:p>
        </w:tc>
        <w:tc>
          <w:tcPr>
            <w:shd w:val="clear" w:color="auto" w:fill="F5F7FB"/>
          </w:tcPr>
          <w:p>
            <w:pPr>
              <w:pStyle w:val="Compact"/>
            </w:pPr>
            <w:r>
              <w:rPr>
                <w:sz w:val="17"/>
              </w:rPr>
              <w:t xml:space="preserve">IGF, type (appartement, chambre, local commercial, annexe, dépendance), surface, usage (habitation, commerce, bureau, mixte), statut d’occupation</w:t>
            </w:r>
          </w:p>
        </w:tc>
        <w:tc>
          <w:tcPr>
            <w:shd w:val="clear" w:color="auto" w:fill="F5F7FB"/>
          </w:tcPr>
          <w:p>
            <w:pPr>
              <w:pStyle w:val="Compact"/>
            </w:pPr>
            <w:r>
              <w:rPr>
                <w:sz w:val="17"/>
              </w:rPr>
              <w:t xml:space="preserve">IRL, patente éventuelle</w:t>
            </w:r>
          </w:p>
        </w:tc>
      </w:tr>
      <w:tr>
        <w:tc>
          <w:tcPr/>
          <w:p>
            <w:pPr>
              <w:pStyle w:val="Compact"/>
            </w:pPr>
            <w:r>
              <w:rPr>
                <w:b/>
                <w:bCs/>
                <w:sz w:val="17"/>
              </w:rPr>
              <w:t xml:space="preserve">Relation de propriété</w:t>
            </w:r>
          </w:p>
        </w:tc>
        <w:tc>
          <w:tcPr/>
          <w:p>
            <w:pPr>
              <w:pStyle w:val="Compact"/>
            </w:pPr>
            <w:r>
              <w:rPr>
                <w:sz w:val="17"/>
              </w:rPr>
              <w:t xml:space="preserve">Contribuable, rôle (propriétaire, copropriétaire, usufruitier, héritier présumé, gestionnaire), quote-part, preuve, statut probant, dates</w:t>
            </w:r>
          </w:p>
        </w:tc>
        <w:tc>
          <w:tcPr/>
          <w:p>
            <w:pPr>
              <w:pStyle w:val="Compact"/>
            </w:pPr>
            <w:r>
              <w:rPr>
                <w:sz w:val="17"/>
              </w:rPr>
              <w:t xml:space="preserve">Détermination du redevable</w:t>
            </w:r>
          </w:p>
        </w:tc>
      </w:tr>
      <w:tr>
        <w:tc>
          <w:tcPr>
            <w:shd w:val="clear" w:color="auto" w:fill="F5F7FB"/>
          </w:tcPr>
          <w:p>
            <w:pPr>
              <w:pStyle w:val="Compact"/>
            </w:pPr>
            <w:r>
              <w:rPr>
                <w:b/>
                <w:bCs/>
                <w:sz w:val="17"/>
              </w:rPr>
              <w:t xml:space="preserve">Bail</w:t>
            </w:r>
          </w:p>
        </w:tc>
        <w:tc>
          <w:tcPr>
            <w:shd w:val="clear" w:color="auto" w:fill="F5F7FB"/>
          </w:tcPr>
          <w:p>
            <w:pPr>
              <w:pStyle w:val="Compact"/>
            </w:pPr>
            <w:r>
              <w:rPr>
                <w:sz w:val="17"/>
              </w:rPr>
              <w:t xml:space="preserve">Unité, bailleur, locataire, sous-locataire éventuel, loyer, périodicité, devise, date de début, date de fin, garantie, preuve, source (déclaré par bailleur / par locataire / observé)</w:t>
            </w:r>
          </w:p>
        </w:tc>
        <w:tc>
          <w:tcPr>
            <w:shd w:val="clear" w:color="auto" w:fill="F5F7FB"/>
          </w:tcPr>
          <w:p>
            <w:pPr>
              <w:pStyle w:val="Compact"/>
            </w:pPr>
            <w:r>
              <w:rPr>
                <w:sz w:val="17"/>
              </w:rPr>
              <w:t xml:space="preserve">Base de l’IRL et de la retenue</w:t>
            </w:r>
          </w:p>
        </w:tc>
      </w:tr>
      <w:tr>
        <w:tc>
          <w:tcPr/>
          <w:p>
            <w:pPr>
              <w:pStyle w:val="Compact"/>
            </w:pPr>
            <w:r>
              <w:rPr>
                <w:b/>
                <w:bCs/>
                <w:sz w:val="17"/>
              </w:rPr>
              <w:t xml:space="preserve">Occupation</w:t>
            </w:r>
          </w:p>
        </w:tc>
        <w:tc>
          <w:tcPr/>
          <w:p>
            <w:pPr>
              <w:pStyle w:val="Compact"/>
            </w:pPr>
            <w:r>
              <w:rPr>
                <w:sz w:val="17"/>
              </w:rPr>
              <w:t xml:space="preserve">Occupant, qualité (propriétaire occupant, locataire, sous-locataire, occupant autorisé, locataire commercial, logé gratuitement, vacant), date de constat</w:t>
            </w:r>
          </w:p>
        </w:tc>
        <w:tc>
          <w:tcPr/>
          <w:p>
            <w:pPr>
              <w:pStyle w:val="Compact"/>
            </w:pPr>
            <w:r>
              <w:rPr>
                <w:sz w:val="17"/>
              </w:rPr>
              <w:t xml:space="preserve">Contrôle et qualification</w:t>
            </w:r>
          </w:p>
        </w:tc>
      </w:tr>
      <w:tr>
        <w:tc>
          <w:tcPr>
            <w:shd w:val="clear" w:color="auto" w:fill="F5F7FB"/>
          </w:tcPr>
          <w:p>
            <w:pPr>
              <w:pStyle w:val="Compact"/>
            </w:pPr>
            <w:r>
              <w:rPr>
                <w:b/>
                <w:bCs/>
                <w:sz w:val="17"/>
              </w:rPr>
              <w:t xml:space="preserve">Constat</w:t>
            </w:r>
          </w:p>
        </w:tc>
        <w:tc>
          <w:tcPr>
            <w:shd w:val="clear" w:color="auto" w:fill="F5F7FB"/>
          </w:tcPr>
          <w:p>
            <w:pPr>
              <w:pStyle w:val="Compact"/>
            </w:pPr>
            <w:r>
              <w:rPr>
                <w:sz w:val="17"/>
              </w:rPr>
              <w:t xml:space="preserve">Agent, date, GPS, photos, observations, écarts avec déclaration</w:t>
            </w:r>
          </w:p>
        </w:tc>
        <w:tc>
          <w:tcPr>
            <w:shd w:val="clear" w:color="auto" w:fill="F5F7FB"/>
          </w:tcPr>
          <w:p>
            <w:pPr>
              <w:pStyle w:val="Compact"/>
            </w:pPr>
            <w:r>
              <w:rPr>
                <w:sz w:val="17"/>
              </w:rPr>
              <w:t xml:space="preserve">Preuve terrain</w:t>
            </w:r>
          </w:p>
        </w:tc>
      </w:tr>
      <w:tr>
        <w:tc>
          <w:tcPr/>
          <w:p>
            <w:pPr>
              <w:pStyle w:val="Compact"/>
            </w:pPr>
            <w:r>
              <w:rPr>
                <w:b/>
                <w:bCs/>
                <w:sz w:val="17"/>
              </w:rPr>
              <w:t xml:space="preserve">Contestation</w:t>
            </w:r>
          </w:p>
        </w:tc>
        <w:tc>
          <w:tcPr/>
          <w:p>
            <w:pPr>
              <w:pStyle w:val="Compact"/>
            </w:pPr>
            <w:r>
              <w:rPr>
                <w:sz w:val="17"/>
              </w:rPr>
              <w:t xml:space="preserve">Objet, motif, statut, décision</w:t>
            </w:r>
          </w:p>
        </w:tc>
        <w:tc>
          <w:tcPr/>
          <w:p>
            <w:pPr>
              <w:pStyle w:val="Compact"/>
            </w:pPr>
            <w:r>
              <w:rPr>
                <w:sz w:val="17"/>
              </w:rPr>
              <w:t xml:space="preserve">Protection des droits</w:t>
            </w:r>
          </w:p>
        </w:tc>
      </w:tr>
    </w:tbl>
    <w:bookmarkEnd w:id="161"/>
    <w:bookmarkStart w:id="162" w:name="X578189ecabac5996ad7086993fa45fdb53c6cfc"/>
    <w:p>
      <w:pPr>
        <w:pStyle w:val="Heading2"/>
      </w:pPr>
      <w:r>
        <w:t xml:space="preserve">16.2 Valeur probante et chaîne de responsabilité</w:t>
      </w:r>
    </w:p>
    <w:p>
      <w:pPr>
        <w:pStyle w:val="FirstParagraph"/>
      </w:pPr>
      <w:r>
        <w:t xml:space="preserve">Chaque information porte l’un des quatre statuts probants :</w:t>
      </w:r>
      <w:r>
        <w:t xml:space="preserve"> </w:t>
      </w:r>
      <w:r>
        <w:rPr>
          <w:b/>
          <w:bCs/>
        </w:rPr>
        <w:t xml:space="preserve">DÉCLARÉ</w:t>
      </w:r>
      <w:r>
        <w:t xml:space="preserve"> </w:t>
      </w:r>
      <w:r>
        <w:t xml:space="preserve">(par le contribuable ou un tiers),</w:t>
      </w:r>
      <w:r>
        <w:t xml:space="preserve"> </w:t>
      </w:r>
      <w:r>
        <w:rPr>
          <w:b/>
          <w:bCs/>
        </w:rPr>
        <w:t xml:space="preserve">OBSERVÉ</w:t>
      </w:r>
      <w:r>
        <w:t xml:space="preserve"> </w:t>
      </w:r>
      <w:r>
        <w:t xml:space="preserve">(constaté sur le terrain),</w:t>
      </w:r>
      <w:r>
        <w:t xml:space="preserve"> </w:t>
      </w:r>
      <w:r>
        <w:rPr>
          <w:b/>
          <w:bCs/>
        </w:rPr>
        <w:t xml:space="preserve">VÉRIFIÉ</w:t>
      </w:r>
      <w:r>
        <w:t xml:space="preserve"> </w:t>
      </w:r>
      <w:r>
        <w:t xml:space="preserve">(validé par un agent habilité à partir de preuves concordantes),</w:t>
      </w:r>
      <w:r>
        <w:t xml:space="preserve"> </w:t>
      </w:r>
      <w:r>
        <w:rPr>
          <w:b/>
          <w:bCs/>
        </w:rPr>
        <w:t xml:space="preserve">CONTESTÉ</w:t>
      </w:r>
      <w:r>
        <w:t xml:space="preserve"> </w:t>
      </w:r>
      <w:r>
        <w:t xml:space="preserve">(en litige). La même échelle s’applique à la propriété.</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Qui</w:t>
            </w:r>
          </w:p>
        </w:tc>
        <w:tc>
          <w:tcPr>
            <w:shd w:val="clear" w:color="auto" w:fill="232C6B"/>
          </w:tcPr>
          <w:p>
            <w:pPr>
              <w:pStyle w:val="Compact"/>
            </w:pPr>
            <w:r>
              <w:rPr>
                <w:b/>
                <w:color w:val="FFFFFF"/>
                <w:sz w:val="17"/>
              </w:rPr>
              <w:t xml:space="preserve">Fait</w:t>
            </w:r>
          </w:p>
        </w:tc>
        <w:tc>
          <w:tcPr>
            <w:shd w:val="clear" w:color="auto" w:fill="232C6B"/>
          </w:tcPr>
          <w:p>
            <w:pPr>
              <w:pStyle w:val="Compact"/>
            </w:pPr>
            <w:r>
              <w:rPr>
                <w:b/>
                <w:color w:val="FFFFFF"/>
                <w:sz w:val="17"/>
              </w:rPr>
              <w:t xml:space="preserve">Ne fait jamais</w:t>
            </w:r>
          </w:p>
        </w:tc>
      </w:tr>
      <w:tr>
        <w:tc>
          <w:tcPr/>
          <w:p>
            <w:pPr>
              <w:pStyle w:val="Compact"/>
            </w:pPr>
            <w:r>
              <w:rPr>
                <w:sz w:val="17"/>
              </w:rPr>
              <w:t xml:space="preserve">Contribuable</w:t>
            </w:r>
          </w:p>
        </w:tc>
        <w:tc>
          <w:tcPr/>
          <w:p>
            <w:pPr>
              <w:pStyle w:val="Compact"/>
            </w:pPr>
            <w:r>
              <w:rPr>
                <w:sz w:val="17"/>
              </w:rPr>
              <w:t xml:space="preserve">Déclare son rôle, ses unités, ses baux</w:t>
            </w:r>
          </w:p>
        </w:tc>
        <w:tc>
          <w:tcPr/>
          <w:p>
            <w:pPr>
              <w:pStyle w:val="Compact"/>
            </w:pPr>
            <w:r>
              <w:rPr>
                <w:sz w:val="17"/>
              </w:rPr>
              <w:t xml:space="preserve">—</w:t>
            </w:r>
          </w:p>
        </w:tc>
      </w:tr>
      <w:tr>
        <w:tc>
          <w:tcPr>
            <w:shd w:val="clear" w:color="auto" w:fill="F5F7FB"/>
          </w:tcPr>
          <w:p>
            <w:pPr>
              <w:pStyle w:val="Compact"/>
            </w:pPr>
            <w:r>
              <w:rPr>
                <w:sz w:val="17"/>
              </w:rPr>
              <w:t xml:space="preserve">IA</w:t>
            </w:r>
          </w:p>
        </w:tc>
        <w:tc>
          <w:tcPr>
            <w:shd w:val="clear" w:color="auto" w:fill="F5F7FB"/>
          </w:tcPr>
          <w:p>
            <w:pPr>
              <w:pStyle w:val="Compact"/>
            </w:pPr>
            <w:r>
              <w:rPr>
                <w:sz w:val="17"/>
              </w:rPr>
              <w:t xml:space="preserve">Détecte incohérences et signaux de location</w:t>
            </w:r>
          </w:p>
        </w:tc>
        <w:tc>
          <w:tcPr>
            <w:shd w:val="clear" w:color="auto" w:fill="F5F7FB"/>
          </w:tcPr>
          <w:p>
            <w:pPr>
              <w:pStyle w:val="Compact"/>
            </w:pPr>
            <w:r>
              <w:rPr>
                <w:sz w:val="17"/>
              </w:rPr>
              <w:t xml:space="preserve">Créer une obligation ou désigner un redevable</w:t>
            </w:r>
          </w:p>
        </w:tc>
      </w:tr>
      <w:tr>
        <w:tc>
          <w:tcPr/>
          <w:p>
            <w:pPr>
              <w:pStyle w:val="Compact"/>
            </w:pPr>
            <w:r>
              <w:rPr>
                <w:sz w:val="17"/>
              </w:rPr>
              <w:t xml:space="preserve">Agent de terrain</w:t>
            </w:r>
          </w:p>
        </w:tc>
        <w:tc>
          <w:tcPr/>
          <w:p>
            <w:pPr>
              <w:pStyle w:val="Compact"/>
            </w:pPr>
            <w:r>
              <w:rPr>
                <w:sz w:val="17"/>
              </w:rPr>
              <w:t xml:space="preserve">Observe et documente</w:t>
            </w:r>
          </w:p>
        </w:tc>
        <w:tc>
          <w:tcPr/>
          <w:p>
            <w:pPr>
              <w:pStyle w:val="Compact"/>
            </w:pPr>
            <w:r>
              <w:rPr>
                <w:sz w:val="17"/>
              </w:rPr>
              <w:t xml:space="preserve">Trancher la propriété ou la dette</w:t>
            </w:r>
          </w:p>
        </w:tc>
      </w:tr>
      <w:tr>
        <w:tc>
          <w:tcPr>
            <w:shd w:val="clear" w:color="auto" w:fill="F5F7FB"/>
          </w:tcPr>
          <w:p>
            <w:pPr>
              <w:pStyle w:val="Compact"/>
            </w:pPr>
            <w:r>
              <w:rPr>
                <w:sz w:val="17"/>
              </w:rPr>
              <w:t xml:space="preserve">Contrôleur</w:t>
            </w:r>
          </w:p>
        </w:tc>
        <w:tc>
          <w:tcPr>
            <w:shd w:val="clear" w:color="auto" w:fill="F5F7FB"/>
          </w:tcPr>
          <w:p>
            <w:pPr>
              <w:pStyle w:val="Compact"/>
            </w:pPr>
            <w:r>
              <w:rPr>
                <w:sz w:val="17"/>
              </w:rPr>
              <w:t xml:space="preserve">Vérifie et propose la qualification</w:t>
            </w:r>
          </w:p>
        </w:tc>
        <w:tc>
          <w:tcPr>
            <w:shd w:val="clear" w:color="auto" w:fill="F5F7FB"/>
          </w:tcPr>
          <w:p>
            <w:pPr>
              <w:pStyle w:val="Compact"/>
            </w:pPr>
            <w:r>
              <w:rPr>
                <w:sz w:val="17"/>
              </w:rPr>
              <w:t xml:space="preserve">Publier seul une rectification au-delà du seuil</w:t>
            </w:r>
          </w:p>
        </w:tc>
      </w:tr>
      <w:tr>
        <w:tc>
          <w:tcPr/>
          <w:p>
            <w:pPr>
              <w:pStyle w:val="Compact"/>
            </w:pPr>
            <w:r>
              <w:rPr>
                <w:sz w:val="17"/>
              </w:rPr>
              <w:t xml:space="preserve">Chef de service</w:t>
            </w:r>
          </w:p>
        </w:tc>
        <w:tc>
          <w:tcPr/>
          <w:p>
            <w:pPr>
              <w:pStyle w:val="Compact"/>
            </w:pPr>
            <w:r>
              <w:rPr>
                <w:sz w:val="17"/>
              </w:rPr>
              <w:t xml:space="preserve">Valide la qualification</w:t>
            </w:r>
          </w:p>
        </w:tc>
        <w:tc>
          <w:tcPr/>
          <w:p>
            <w:pPr>
              <w:pStyle w:val="Compact"/>
            </w:pPr>
            <w:r>
              <w:rPr>
                <w:sz w:val="17"/>
              </w:rPr>
              <w:t xml:space="preserve">Modifier la règle</w:t>
            </w:r>
          </w:p>
        </w:tc>
      </w:tr>
      <w:tr>
        <w:tc>
          <w:tcPr>
            <w:shd w:val="clear" w:color="auto" w:fill="F5F7FB"/>
          </w:tcPr>
          <w:p>
            <w:pPr>
              <w:pStyle w:val="Compact"/>
            </w:pPr>
            <w:r>
              <w:rPr>
                <w:sz w:val="17"/>
              </w:rPr>
              <w:t xml:space="preserve">Moteur de liquidation</w:t>
            </w:r>
          </w:p>
        </w:tc>
        <w:tc>
          <w:tcPr>
            <w:shd w:val="clear" w:color="auto" w:fill="F5F7FB"/>
          </w:tcPr>
          <w:p>
            <w:pPr>
              <w:pStyle w:val="Compact"/>
            </w:pPr>
            <w:r>
              <w:rPr>
                <w:sz w:val="17"/>
              </w:rPr>
              <w:t xml:space="preserve">Calcule selon la règle active sur les faits vérifiés (ou déclarés si la procédure est déclarative)</w:t>
            </w:r>
          </w:p>
        </w:tc>
        <w:tc>
          <w:tcPr>
            <w:shd w:val="clear" w:color="auto" w:fill="F5F7FB"/>
          </w:tcPr>
          <w:p>
            <w:pPr>
              <w:pStyle w:val="Compact"/>
            </w:pPr>
            <w:r>
              <w:rPr>
                <w:sz w:val="17"/>
              </w:rPr>
              <w:t xml:space="preserve">Calculer sur un simple signal</w:t>
            </w:r>
          </w:p>
        </w:tc>
      </w:tr>
    </w:tbl>
    <w:p>
      <w:pPr>
        <w:pStyle w:val="BodyText"/>
      </w:pPr>
      <w:r>
        <w:rPr>
          <w:b/>
          <w:bCs/>
        </w:rPr>
        <w:t xml:space="preserve">La réponse de l’utilisateur à la question « êtes-vous propriétaire, bailleur, locataire… ? » n’est jamais une preuve suffisante de propriété ni d’assujettissement.</w:t>
      </w:r>
      <w:r>
        <w:t xml:space="preserve"> </w:t>
      </w:r>
      <w:r>
        <w:t xml:space="preserve">Elle ouvre une instruction.</w:t>
      </w:r>
    </w:p>
    <w:bookmarkEnd w:id="162"/>
    <w:bookmarkStart w:id="163" w:name="Xd34602f94651700ec2bb6b741c5b1e8c58c6dc2"/>
    <w:p>
      <w:pPr>
        <w:pStyle w:val="Heading2"/>
      </w:pPr>
      <w:r>
        <w:t xml:space="preserve">16.3 Question posée à l’inscription et à chaque changement d’adresse</w:t>
      </w:r>
    </w:p>
    <w:p>
      <w:pPr>
        <w:pStyle w:val="FirstParagraph"/>
      </w:pPr>
      <w:r>
        <w:t xml:space="preserve">« Quelle est votre situation à cette adresse ? » — propriétaire occupant ; bailleur (je loue tout ou partie) ; locataire ; sous-locataire ; occupant autorisé (logé par un tiers) ; gestionnaire immobilier ; locataire commercial ; autre occupant légalement reconnu. Chaque réponse déclenche un bloc court et des pièces facultatives ou requises selon le rôle (chapitre 9).</w:t>
      </w:r>
    </w:p>
    <w:bookmarkEnd w:id="163"/>
    <w:bookmarkStart w:id="164" w:name="taux-retenue-et-élargissement-dassiette"/>
    <w:p>
      <w:pPr>
        <w:pStyle w:val="Heading2"/>
      </w:pPr>
      <w:r>
        <w:t xml:space="preserve">16.4 Taux, retenue et élargissement d’assiette</w:t>
      </w:r>
    </w:p>
    <w:p>
      <w:pPr>
        <w:pStyle w:val="FirstParagraph"/>
      </w:pPr>
      <w:r>
        <w:t xml:space="preserve">Voir § 6.4 : taux de 22 % (1er rang) et 17 % (autres rangs), retenue de 20 % et 15 % [taux CONFIRMÉS par la presse, arrêté À VÉRIFIER] ; innovations 2026 sur les baux emphytéotiques, les sociétés immobilières et les indemnités de logement [À VÉRIFIER]. Ces valeurs sont paramétrées dans le registre juridique, jamais dans le code, et revalidées à chaque édit budgétaire.</w:t>
      </w:r>
    </w:p>
    <w:bookmarkEnd w:id="164"/>
    <w:bookmarkStart w:id="165" w:name="moteur-de-détection-danomalies-locatives"/>
    <w:p>
      <w:pPr>
        <w:pStyle w:val="Heading2"/>
      </w:pPr>
      <w:r>
        <w:t xml:space="preserve">16.5 Moteur de détection d’anomalies locatives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Signal</w:t>
            </w:r>
          </w:p>
        </w:tc>
        <w:tc>
          <w:tcPr>
            <w:shd w:val="clear" w:color="auto" w:fill="232C6B"/>
          </w:tcPr>
          <w:p>
            <w:pPr>
              <w:pStyle w:val="Compact"/>
            </w:pPr>
            <w:r>
              <w:rPr>
                <w:b/>
                <w:color w:val="FFFFFF"/>
                <w:sz w:val="17"/>
              </w:rPr>
              <w:t xml:space="preserve">Source (sous protocole)</w:t>
            </w:r>
          </w:p>
        </w:tc>
        <w:tc>
          <w:tcPr>
            <w:shd w:val="clear" w:color="auto" w:fill="232C6B"/>
          </w:tcPr>
          <w:p>
            <w:pPr>
              <w:pStyle w:val="Compact"/>
            </w:pPr>
            <w:r>
              <w:rPr>
                <w:b/>
                <w:color w:val="FFFFFF"/>
                <w:sz w:val="17"/>
              </w:rPr>
              <w:t xml:space="preserve">Règle</w:t>
            </w:r>
          </w:p>
        </w:tc>
        <w:tc>
          <w:tcPr>
            <w:shd w:val="clear" w:color="auto" w:fill="232C6B"/>
          </w:tcPr>
          <w:p>
            <w:pPr>
              <w:pStyle w:val="Compact"/>
            </w:pPr>
            <w:r>
              <w:rPr>
                <w:b/>
                <w:color w:val="FFFFFF"/>
                <w:sz w:val="17"/>
              </w:rPr>
              <w:t xml:space="preserve">Sortie</w:t>
            </w:r>
          </w:p>
        </w:tc>
      </w:tr>
      <w:tr>
        <w:tc>
          <w:tcPr/>
          <w:p>
            <w:pPr>
              <w:pStyle w:val="Compact"/>
            </w:pPr>
            <w:r>
              <w:rPr>
                <w:sz w:val="17"/>
              </w:rPr>
              <w:t xml:space="preserve">Plusieurs compteurs d’électricité ou d’eau sur une parcelle</w:t>
            </w:r>
          </w:p>
        </w:tc>
        <w:tc>
          <w:tcPr/>
          <w:p>
            <w:pPr>
              <w:pStyle w:val="Compact"/>
            </w:pPr>
            <w:r>
              <w:rPr>
                <w:sz w:val="17"/>
              </w:rPr>
              <w:t xml:space="preserve">Distributeurs</w:t>
            </w:r>
          </w:p>
        </w:tc>
        <w:tc>
          <w:tcPr/>
          <w:p>
            <w:pPr>
              <w:pStyle w:val="Compact"/>
            </w:pPr>
            <w:r>
              <w:rPr>
                <w:sz w:val="17"/>
              </w:rPr>
              <w:t xml:space="preserve">Aucune déclaration locative</w:t>
            </w:r>
          </w:p>
        </w:tc>
        <w:tc>
          <w:tcPr/>
          <w:p>
            <w:pPr>
              <w:pStyle w:val="Compact"/>
            </w:pPr>
            <w:r>
              <w:rPr>
                <w:sz w:val="17"/>
              </w:rPr>
              <w:t xml:space="preserve">Probable bien loué → file de vérification</w:t>
            </w:r>
          </w:p>
        </w:tc>
      </w:tr>
      <w:tr>
        <w:tc>
          <w:tcPr>
            <w:shd w:val="clear" w:color="auto" w:fill="F5F7FB"/>
          </w:tcPr>
          <w:p>
            <w:pPr>
              <w:pStyle w:val="Compact"/>
            </w:pPr>
            <w:r>
              <w:rPr>
                <w:sz w:val="17"/>
              </w:rPr>
              <w:t xml:space="preserve">Indemnités de logement en paie</w:t>
            </w:r>
          </w:p>
        </w:tc>
        <w:tc>
          <w:tcPr>
            <w:shd w:val="clear" w:color="auto" w:fill="F5F7FB"/>
          </w:tcPr>
          <w:p>
            <w:pPr>
              <w:pStyle w:val="Compact"/>
            </w:pPr>
            <w:r>
              <w:rPr>
                <w:sz w:val="17"/>
              </w:rPr>
              <w:t xml:space="preserve">Employeurs (grands redevables)</w:t>
            </w:r>
          </w:p>
        </w:tc>
        <w:tc>
          <w:tcPr>
            <w:shd w:val="clear" w:color="auto" w:fill="F5F7FB"/>
          </w:tcPr>
          <w:p>
            <w:pPr>
              <w:pStyle w:val="Compact"/>
            </w:pPr>
            <w:r>
              <w:rPr>
                <w:sz w:val="17"/>
              </w:rPr>
              <w:t xml:space="preserve">Pas de retenue IRL correspondante</w:t>
            </w:r>
          </w:p>
        </w:tc>
        <w:tc>
          <w:tcPr>
            <w:shd w:val="clear" w:color="auto" w:fill="F5F7FB"/>
          </w:tcPr>
          <w:p>
            <w:pPr>
              <w:pStyle w:val="Compact"/>
            </w:pPr>
            <w:r>
              <w:rPr>
                <w:sz w:val="17"/>
              </w:rPr>
              <w:t xml:space="preserve">Notification à l’employeur</w:t>
            </w:r>
          </w:p>
        </w:tc>
      </w:tr>
      <w:tr>
        <w:tc>
          <w:tcPr/>
          <w:p>
            <w:pPr>
              <w:pStyle w:val="Compact"/>
            </w:pPr>
            <w:r>
              <w:rPr>
                <w:sz w:val="17"/>
              </w:rPr>
              <w:t xml:space="preserve">Annonce ou mandat d’agence</w:t>
            </w:r>
          </w:p>
        </w:tc>
        <w:tc>
          <w:tcPr/>
          <w:p>
            <w:pPr>
              <w:pStyle w:val="Compact"/>
            </w:pPr>
            <w:r>
              <w:rPr>
                <w:sz w:val="17"/>
              </w:rPr>
              <w:t xml:space="preserve">Agences, annonces publiques</w:t>
            </w:r>
          </w:p>
        </w:tc>
        <w:tc>
          <w:tcPr/>
          <w:p>
            <w:pPr>
              <w:pStyle w:val="Compact"/>
            </w:pPr>
            <w:r>
              <w:rPr>
                <w:sz w:val="17"/>
              </w:rPr>
              <w:t xml:space="preserve">Bien non rattaché</w:t>
            </w:r>
          </w:p>
        </w:tc>
        <w:tc>
          <w:tcPr/>
          <w:p>
            <w:pPr>
              <w:pStyle w:val="Compact"/>
            </w:pPr>
            <w:r>
              <w:rPr>
                <w:sz w:val="17"/>
              </w:rPr>
              <w:t xml:space="preserve">Enquête documentaire</w:t>
            </w:r>
          </w:p>
        </w:tc>
      </w:tr>
      <w:tr>
        <w:tc>
          <w:tcPr>
            <w:shd w:val="clear" w:color="auto" w:fill="F5F7FB"/>
          </w:tcPr>
          <w:p>
            <w:pPr>
              <w:pStyle w:val="Compact"/>
            </w:pPr>
            <w:r>
              <w:rPr>
                <w:sz w:val="17"/>
              </w:rPr>
              <w:t xml:space="preserve">Bail d’entreprise déclaré au fisc national</w:t>
            </w:r>
          </w:p>
        </w:tc>
        <w:tc>
          <w:tcPr>
            <w:shd w:val="clear" w:color="auto" w:fill="F5F7FB"/>
          </w:tcPr>
          <w:p>
            <w:pPr>
              <w:pStyle w:val="Compact"/>
            </w:pPr>
            <w:r>
              <w:rPr>
                <w:sz w:val="17"/>
              </w:rPr>
              <w:t xml:space="preserve">Protocole DGI</w:t>
            </w:r>
          </w:p>
        </w:tc>
        <w:tc>
          <w:tcPr>
            <w:shd w:val="clear" w:color="auto" w:fill="F5F7FB"/>
          </w:tcPr>
          <w:p>
            <w:pPr>
              <w:pStyle w:val="Compact"/>
            </w:pPr>
            <w:r>
              <w:rPr>
                <w:sz w:val="17"/>
              </w:rPr>
              <w:t xml:space="preserve">Bailleur inconnu du registre provincial</w:t>
            </w:r>
          </w:p>
        </w:tc>
        <w:tc>
          <w:tcPr>
            <w:shd w:val="clear" w:color="auto" w:fill="F5F7FB"/>
          </w:tcPr>
          <w:p>
            <w:pPr>
              <w:pStyle w:val="Compact"/>
            </w:pPr>
            <w:r>
              <w:rPr>
                <w:sz w:val="17"/>
              </w:rPr>
              <w:t xml:space="preserve">Rapprochement inter-administrations</w:t>
            </w:r>
          </w:p>
        </w:tc>
      </w:tr>
      <w:tr>
        <w:tc>
          <w:tcPr/>
          <w:p>
            <w:pPr>
              <w:pStyle w:val="Compact"/>
            </w:pPr>
            <w:r>
              <w:rPr>
                <w:sz w:val="17"/>
              </w:rPr>
              <w:t xml:space="preserve">Parcelle déclarée non bâtie</w:t>
            </w:r>
          </w:p>
        </w:tc>
        <w:tc>
          <w:tcPr/>
          <w:p>
            <w:pPr>
              <w:pStyle w:val="Compact"/>
            </w:pPr>
            <w:r>
              <w:rPr>
                <w:sz w:val="17"/>
              </w:rPr>
              <w:t xml:space="preserve">Imagerie, permis</w:t>
            </w:r>
          </w:p>
        </w:tc>
        <w:tc>
          <w:tcPr/>
          <w:p>
            <w:pPr>
              <w:pStyle w:val="Compact"/>
            </w:pPr>
            <w:r>
              <w:rPr>
                <w:sz w:val="17"/>
              </w:rPr>
              <w:t xml:space="preserve">Construction visible</w:t>
            </w:r>
          </w:p>
        </w:tc>
        <w:tc>
          <w:tcPr/>
          <w:p>
            <w:pPr>
              <w:pStyle w:val="Compact"/>
            </w:pPr>
            <w:r>
              <w:rPr>
                <w:sz w:val="17"/>
              </w:rPr>
              <w:t xml:space="preserve">Requalification contrôlée</w:t>
            </w:r>
          </w:p>
        </w:tc>
      </w:tr>
      <w:tr>
        <w:tc>
          <w:tcPr>
            <w:shd w:val="clear" w:color="auto" w:fill="F5F7FB"/>
          </w:tcPr>
          <w:p>
            <w:pPr>
              <w:pStyle w:val="Compact"/>
            </w:pPr>
            <w:r>
              <w:rPr>
                <w:sz w:val="17"/>
              </w:rPr>
              <w:t xml:space="preserve">Immeuble neuf réceptionné</w:t>
            </w:r>
          </w:p>
        </w:tc>
        <w:tc>
          <w:tcPr>
            <w:shd w:val="clear" w:color="auto" w:fill="F5F7FB"/>
          </w:tcPr>
          <w:p>
            <w:pPr>
              <w:pStyle w:val="Compact"/>
            </w:pPr>
            <w:r>
              <w:rPr>
                <w:sz w:val="17"/>
              </w:rPr>
              <w:t xml:space="preserve">Permis de bâtir</w:t>
            </w:r>
          </w:p>
        </w:tc>
        <w:tc>
          <w:tcPr>
            <w:shd w:val="clear" w:color="auto" w:fill="F5F7FB"/>
          </w:tcPr>
          <w:p>
            <w:pPr>
              <w:pStyle w:val="Compact"/>
            </w:pPr>
            <w:r>
              <w:rPr>
                <w:sz w:val="17"/>
              </w:rPr>
              <w:t xml:space="preserve">Pas d’unité déclarée après 12 mois</w:t>
            </w:r>
          </w:p>
        </w:tc>
        <w:tc>
          <w:tcPr>
            <w:shd w:val="clear" w:color="auto" w:fill="F5F7FB"/>
          </w:tcPr>
          <w:p>
            <w:pPr>
              <w:pStyle w:val="Compact"/>
            </w:pPr>
            <w:r>
              <w:rPr>
                <w:sz w:val="17"/>
              </w:rPr>
              <w:t xml:space="preserve">Visite de recensement</w:t>
            </w:r>
          </w:p>
        </w:tc>
      </w:tr>
      <w:tr>
        <w:tc>
          <w:tcPr/>
          <w:p>
            <w:pPr>
              <w:pStyle w:val="Compact"/>
            </w:pPr>
            <w:r>
              <w:rPr>
                <w:sz w:val="17"/>
              </w:rPr>
              <w:t xml:space="preserve">Immeuble multi-unités déclaré vacant</w:t>
            </w:r>
          </w:p>
        </w:tc>
        <w:tc>
          <w:tcPr/>
          <w:p>
            <w:pPr>
              <w:pStyle w:val="Compact"/>
            </w:pPr>
            <w:r>
              <w:rPr>
                <w:sz w:val="17"/>
              </w:rPr>
              <w:t xml:space="preserve">Déclarations</w:t>
            </w:r>
          </w:p>
        </w:tc>
        <w:tc>
          <w:tcPr/>
          <w:p>
            <w:pPr>
              <w:pStyle w:val="Compact"/>
            </w:pPr>
            <w:r>
              <w:rPr>
                <w:sz w:val="17"/>
              </w:rPr>
              <w:t xml:space="preserve">Vacance longue et répétée</w:t>
            </w:r>
          </w:p>
        </w:tc>
        <w:tc>
          <w:tcPr/>
          <w:p>
            <w:pPr>
              <w:pStyle w:val="Compact"/>
            </w:pPr>
            <w:r>
              <w:rPr>
                <w:sz w:val="17"/>
              </w:rPr>
              <w:t xml:space="preserve">Vérification</w:t>
            </w:r>
          </w:p>
        </w:tc>
      </w:tr>
      <w:tr>
        <w:tc>
          <w:tcPr>
            <w:shd w:val="clear" w:color="auto" w:fill="F5F7FB"/>
          </w:tcPr>
          <w:p>
            <w:pPr>
              <w:pStyle w:val="Compact"/>
            </w:pPr>
            <w:r>
              <w:rPr>
                <w:sz w:val="17"/>
              </w:rPr>
              <w:t xml:space="preserve">Loyer atypique</w:t>
            </w:r>
          </w:p>
        </w:tc>
        <w:tc>
          <w:tcPr>
            <w:shd w:val="clear" w:color="auto" w:fill="F5F7FB"/>
          </w:tcPr>
          <w:p>
            <w:pPr>
              <w:pStyle w:val="Compact"/>
            </w:pPr>
            <w:r>
              <w:rPr>
                <w:sz w:val="17"/>
              </w:rPr>
              <w:t xml:space="preserve">Déclarations</w:t>
            </w:r>
          </w:p>
        </w:tc>
        <w:tc>
          <w:tcPr>
            <w:shd w:val="clear" w:color="auto" w:fill="F5F7FB"/>
          </w:tcPr>
          <w:p>
            <w:pPr>
              <w:pStyle w:val="Compact"/>
            </w:pPr>
            <w:r>
              <w:rPr>
                <w:sz w:val="17"/>
              </w:rPr>
              <w:t xml:space="preserve">Écart fort par rapport aux loyers du même quartier et type</w:t>
            </w:r>
          </w:p>
        </w:tc>
        <w:tc>
          <w:tcPr>
            <w:shd w:val="clear" w:color="auto" w:fill="F5F7FB"/>
          </w:tcPr>
          <w:p>
            <w:pPr>
              <w:pStyle w:val="Compact"/>
            </w:pPr>
            <w:r>
              <w:rPr>
                <w:sz w:val="17"/>
              </w:rPr>
              <w:t xml:space="preserve">Vérification (jamais rehaussement automatique)</w:t>
            </w:r>
          </w:p>
        </w:tc>
      </w:tr>
      <w:tr>
        <w:tc>
          <w:tcPr/>
          <w:p>
            <w:pPr>
              <w:pStyle w:val="Compact"/>
            </w:pPr>
            <w:r>
              <w:rPr>
                <w:sz w:val="17"/>
              </w:rPr>
              <w:t xml:space="preserve">Bail déclaré par le locataire, non déclaré par le bailleur</w:t>
            </w:r>
          </w:p>
        </w:tc>
        <w:tc>
          <w:tcPr/>
          <w:p>
            <w:pPr>
              <w:pStyle w:val="Compact"/>
            </w:pPr>
            <w:r>
              <w:rPr>
                <w:sz w:val="17"/>
              </w:rPr>
              <w:t xml:space="preserve">Déclarations croisées</w:t>
            </w:r>
          </w:p>
        </w:tc>
        <w:tc>
          <w:tcPr/>
          <w:p>
            <w:pPr>
              <w:pStyle w:val="Compact"/>
            </w:pPr>
            <w:r>
              <w:rPr>
                <w:sz w:val="17"/>
              </w:rPr>
              <w:t xml:space="preserve">Discordance</w:t>
            </w:r>
          </w:p>
        </w:tc>
        <w:tc>
          <w:tcPr/>
          <w:p>
            <w:pPr>
              <w:pStyle w:val="Compact"/>
            </w:pPr>
            <w:r>
              <w:rPr>
                <w:sz w:val="17"/>
              </w:rPr>
              <w:t xml:space="preserve">Invitation du bailleur à déclarer</w:t>
            </w:r>
          </w:p>
        </w:tc>
      </w:tr>
    </w:tbl>
    <w:p>
      <w:pPr>
        <w:pStyle w:val="BodyText"/>
      </w:pPr>
      <w:r>
        <w:t xml:space="preserve">Chaque signal a un</w:t>
      </w:r>
      <w:r>
        <w:t xml:space="preserve"> </w:t>
      </w:r>
      <w:r>
        <w:rPr>
          <w:b/>
          <w:bCs/>
        </w:rPr>
        <w:t xml:space="preserve">score explicable</w:t>
      </w:r>
      <w:r>
        <w:t xml:space="preserve"> </w:t>
      </w:r>
      <w:r>
        <w:t xml:space="preserve">(facteurs contributifs affichés) ; un superviseur décide de l’ouverture d’une mission ; les biais sont surveillés (sur-ciblage d’une commune ou d’une catégorie de population, chapitre 23).</w:t>
      </w:r>
    </w:p>
    <w:bookmarkEnd w:id="165"/>
    <w:bookmarkStart w:id="166" w:name="carte-et-niveaux-de-visibilité"/>
    <w:p>
      <w:pPr>
        <w:pStyle w:val="Heading2"/>
      </w:pPr>
      <w:r>
        <w:t xml:space="preserve">16.6 Carte et niveaux de visibilité</w:t>
      </w:r>
    </w:p>
    <w:p>
      <w:pPr>
        <w:pStyle w:val="FirstParagraph"/>
      </w:pPr>
      <w:r>
        <w:rPr>
          <w:b/>
          <w:bCs/>
        </w:rPr>
        <w:t xml:space="preserve">Couche de situation fiscale</w:t>
      </w:r>
      <w:r>
        <w:t xml:space="preserve"> </w:t>
      </w:r>
      <w:r>
        <w:t xml:space="preserve">(interne) :</w:t>
      </w:r>
    </w:p>
    <w:tbl>
      <w:tblPr>
        <w:tblStyle w:val="Table"/>
        <w:tblW w:type="auto" w:w="0"/>
        <w:tblBorders>
          <w:top w:val="single" w:sz="4" w:color="CFE9E4"/>
          <w:left w:val="single" w:sz="4" w:color="CFE9E4"/>
          <w:bottom w:val="single" w:sz="4" w:color="CFE9E4"/>
          <w:right w:val="single" w:sz="4" w:color="CFE9E4"/>
          <w:insideH w:val="single" w:sz="4" w:color="CFE9E4"/>
          <w:insideV w:val="single" w:sz="4" w:color="CFE9E4"/>
        </w:tblBorders>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Couleur</w:t>
            </w:r>
          </w:p>
        </w:tc>
        <w:tc>
          <w:tcPr>
            <w:shd w:val="clear" w:color="auto" w:fill="232C6B"/>
          </w:tcPr>
          <w:p>
            <w:pPr>
              <w:pStyle w:val="Compact"/>
            </w:pPr>
            <w:r>
              <w:rPr>
                <w:b/>
                <w:color w:val="FFFFFF"/>
                <w:sz w:val="17"/>
              </w:rPr>
              <w:t xml:space="preserve">Signification</w:t>
            </w:r>
          </w:p>
        </w:tc>
      </w:tr>
      <w:tr>
        <w:tc>
          <w:tcPr/>
          <w:p>
            <w:pPr>
              <w:pStyle w:val="Compact"/>
            </w:pPr>
            <w:r>
              <w:rPr>
                <w:sz w:val="17"/>
              </w:rPr>
              <w:t xml:space="preserve">🟢 Vert</w:t>
            </w:r>
          </w:p>
        </w:tc>
        <w:tc>
          <w:tcPr/>
          <w:p>
            <w:pPr>
              <w:pStyle w:val="Compact"/>
            </w:pPr>
            <w:r>
              <w:rPr>
                <w:sz w:val="17"/>
              </w:rPr>
              <w:t xml:space="preserve">Obligation régularisée</w:t>
            </w:r>
          </w:p>
        </w:tc>
      </w:tr>
      <w:tr>
        <w:tc>
          <w:tcPr>
            <w:shd w:val="clear" w:color="auto" w:fill="F5F7FB"/>
          </w:tcPr>
          <w:p>
            <w:pPr>
              <w:pStyle w:val="Compact"/>
            </w:pPr>
            <w:r>
              <w:rPr>
                <w:sz w:val="17"/>
              </w:rPr>
              <w:t xml:space="preserve">🟠 Ambre</w:t>
            </w:r>
          </w:p>
        </w:tc>
        <w:tc>
          <w:tcPr>
            <w:shd w:val="clear" w:color="auto" w:fill="F5F7FB"/>
          </w:tcPr>
          <w:p>
            <w:pPr>
              <w:pStyle w:val="Compact"/>
            </w:pPr>
            <w:r>
              <w:rPr>
                <w:sz w:val="17"/>
              </w:rPr>
              <w:t xml:space="preserve">Paiement partiel, échéance proche ou revue nécessaire</w:t>
            </w:r>
          </w:p>
        </w:tc>
      </w:tr>
      <w:tr>
        <w:tc>
          <w:tcPr/>
          <w:p>
            <w:pPr>
              <w:pStyle w:val="Compact"/>
            </w:pPr>
            <w:r>
              <w:rPr>
                <w:sz w:val="17"/>
              </w:rPr>
              <w:t xml:space="preserve">🔴 Rouge</w:t>
            </w:r>
          </w:p>
        </w:tc>
        <w:tc>
          <w:tcPr/>
          <w:p>
            <w:pPr>
              <w:pStyle w:val="Compact"/>
            </w:pPr>
            <w:r>
              <w:rPr>
                <w:sz w:val="17"/>
              </w:rPr>
              <w:t xml:space="preserve">En retard ou non régularisé</w:t>
            </w:r>
            <w:r>
              <w:rPr>
                <w:sz w:val="17"/>
              </w:rPr>
              <w:t xml:space="preserve"> </w:t>
            </w:r>
            <w:r>
              <w:rPr>
                <w:b/>
                <w:bCs/>
                <w:sz w:val="17"/>
              </w:rPr>
              <w:t xml:space="preserve">après vérification</w:t>
            </w:r>
          </w:p>
        </w:tc>
      </w:tr>
      <w:tr>
        <w:tc>
          <w:tcPr>
            <w:shd w:val="clear" w:color="auto" w:fill="F5F7FB"/>
          </w:tcPr>
          <w:p>
            <w:pPr>
              <w:pStyle w:val="Compact"/>
            </w:pPr>
            <w:r>
              <w:rPr>
                <w:sz w:val="17"/>
              </w:rPr>
              <w:t xml:space="preserve">⚪ Gris</w:t>
            </w:r>
          </w:p>
        </w:tc>
        <w:tc>
          <w:tcPr>
            <w:shd w:val="clear" w:color="auto" w:fill="F5F7FB"/>
          </w:tcPr>
          <w:p>
            <w:pPr>
              <w:pStyle w:val="Compact"/>
            </w:pPr>
            <w:r>
              <w:rPr>
                <w:sz w:val="17"/>
              </w:rPr>
              <w:t xml:space="preserve">Non enregistré ou données insuffisantes</w:t>
            </w:r>
          </w:p>
        </w:tc>
      </w:tr>
      <w:tr>
        <w:tc>
          <w:tcPr/>
          <w:p>
            <w:pPr>
              <w:pStyle w:val="Compact"/>
            </w:pPr>
            <w:r>
              <w:rPr>
                <w:sz w:val="17"/>
              </w:rPr>
              <w:t xml:space="preserve">🔵 Bleu</w:t>
            </w:r>
          </w:p>
        </w:tc>
        <w:tc>
          <w:tcPr/>
          <w:p>
            <w:pPr>
              <w:pStyle w:val="Compact"/>
            </w:pPr>
            <w:r>
              <w:rPr>
                <w:sz w:val="17"/>
              </w:rPr>
              <w:t xml:space="preserve">En litige ou en revue formelle</w:t>
            </w:r>
          </w:p>
        </w:tc>
      </w:tr>
    </w:tbl>
    <w:p>
      <w:pPr>
        <w:pStyle w:val="BodyText"/>
      </w:pPr>
      <w:r>
        <w:rPr>
          <w:b/>
          <w:bCs/>
        </w:rPr>
        <w:t xml:space="preserve">Couche opérationnelle de vérification</w:t>
      </w:r>
      <w:r>
        <w:t xml:space="preserve"> </w:t>
      </w:r>
      <w:r>
        <w:t xml:space="preserve">(superviseurs, terrain) : vert vérifié ; ambre à vérifier ; rouge anomalie détectée ; gris inconnu ; bleu dossier en instruction.</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Public</w:t>
            </w:r>
          </w:p>
        </w:tc>
        <w:tc>
          <w:tcPr>
            <w:shd w:val="clear" w:color="auto" w:fill="232C6B"/>
          </w:tcPr>
          <w:p>
            <w:pPr>
              <w:pStyle w:val="Compact"/>
            </w:pPr>
            <w:r>
              <w:rPr>
                <w:b/>
                <w:color w:val="FFFFFF"/>
                <w:sz w:val="17"/>
              </w:rPr>
              <w:t xml:space="preserve">Ce qu’il voit</w:t>
            </w:r>
          </w:p>
        </w:tc>
      </w:tr>
      <w:tr>
        <w:tc>
          <w:tcPr/>
          <w:p>
            <w:pPr>
              <w:pStyle w:val="Compact"/>
            </w:pPr>
            <w:r>
              <w:rPr>
                <w:sz w:val="17"/>
              </w:rPr>
              <w:t xml:space="preserve">Grand public</w:t>
            </w:r>
          </w:p>
        </w:tc>
        <w:tc>
          <w:tcPr/>
          <w:p>
            <w:pPr>
              <w:pStyle w:val="Compact"/>
            </w:pPr>
            <w:r>
              <w:rPr>
                <w:sz w:val="17"/>
              </w:rPr>
              <w:t xml:space="preserve">Aucune situation fiscale individuelle ; cartes agrégées par quartier (couverture, recettes) avec seuil minimal d’agrégation (pas de maille de moins de 20 objets)</w:t>
            </w:r>
          </w:p>
        </w:tc>
      </w:tr>
      <w:tr>
        <w:tc>
          <w:tcPr>
            <w:shd w:val="clear" w:color="auto" w:fill="F5F7FB"/>
          </w:tcPr>
          <w:p>
            <w:pPr>
              <w:pStyle w:val="Compact"/>
            </w:pPr>
            <w:r>
              <w:rPr>
                <w:sz w:val="17"/>
              </w:rPr>
              <w:t xml:space="preserve">Contribuable</w:t>
            </w:r>
          </w:p>
        </w:tc>
        <w:tc>
          <w:tcPr>
            <w:shd w:val="clear" w:color="auto" w:fill="F5F7FB"/>
          </w:tcPr>
          <w:p>
            <w:pPr>
              <w:pStyle w:val="Compact"/>
            </w:pPr>
            <w:r>
              <w:rPr>
                <w:sz w:val="17"/>
              </w:rPr>
              <w:t xml:space="preserve">Ses propres objets et statuts</w:t>
            </w:r>
          </w:p>
        </w:tc>
      </w:tr>
      <w:tr>
        <w:tc>
          <w:tcPr/>
          <w:p>
            <w:pPr>
              <w:pStyle w:val="Compact"/>
            </w:pPr>
            <w:r>
              <w:rPr>
                <w:sz w:val="17"/>
              </w:rPr>
              <w:t xml:space="preserve">Agent de terrain</w:t>
            </w:r>
          </w:p>
        </w:tc>
        <w:tc>
          <w:tcPr/>
          <w:p>
            <w:pPr>
              <w:pStyle w:val="Compact"/>
            </w:pPr>
            <w:r>
              <w:rPr>
                <w:sz w:val="17"/>
              </w:rPr>
              <w:t xml:space="preserve">Objets de sa mission : couleur, adresse, identifiant, dernier constat ; pas de montant ni d’historique de paiement détaillé</w:t>
            </w:r>
          </w:p>
        </w:tc>
      </w:tr>
      <w:tr>
        <w:tc>
          <w:tcPr>
            <w:shd w:val="clear" w:color="auto" w:fill="F5F7FB"/>
          </w:tcPr>
          <w:p>
            <w:pPr>
              <w:pStyle w:val="Compact"/>
            </w:pPr>
            <w:r>
              <w:rPr>
                <w:sz w:val="17"/>
              </w:rPr>
              <w:t xml:space="preserve">Contrôleur</w:t>
            </w:r>
          </w:p>
        </w:tc>
        <w:tc>
          <w:tcPr>
            <w:shd w:val="clear" w:color="auto" w:fill="F5F7FB"/>
          </w:tcPr>
          <w:p>
            <w:pPr>
              <w:pStyle w:val="Compact"/>
            </w:pPr>
            <w:r>
              <w:rPr>
                <w:sz w:val="17"/>
              </w:rPr>
              <w:t xml:space="preserve">Dossier complet des objets assignés</w:t>
            </w:r>
          </w:p>
        </w:tc>
      </w:tr>
      <w:tr>
        <w:tc>
          <w:tcPr/>
          <w:p>
            <w:pPr>
              <w:pStyle w:val="Compact"/>
            </w:pPr>
            <w:r>
              <w:rPr>
                <w:sz w:val="17"/>
              </w:rPr>
              <w:t xml:space="preserve">Direction</w:t>
            </w:r>
          </w:p>
        </w:tc>
        <w:tc>
          <w:tcPr/>
          <w:p>
            <w:pPr>
              <w:pStyle w:val="Compact"/>
            </w:pPr>
            <w:r>
              <w:rPr>
                <w:sz w:val="17"/>
              </w:rPr>
              <w:t xml:space="preserve">Couches agrégées et nominatives dans son périmètre</w:t>
            </w:r>
          </w:p>
        </w:tc>
      </w:tr>
      <w:tr>
        <w:tc>
          <w:tcPr>
            <w:shd w:val="clear" w:color="auto" w:fill="F5F7FB"/>
          </w:tcPr>
          <w:p>
            <w:pPr>
              <w:pStyle w:val="Compact"/>
            </w:pPr>
            <w:r>
              <w:rPr>
                <w:sz w:val="17"/>
              </w:rPr>
              <w:t xml:space="preserve">Exécutif</w:t>
            </w:r>
          </w:p>
        </w:tc>
        <w:tc>
          <w:tcPr>
            <w:shd w:val="clear" w:color="auto" w:fill="F5F7FB"/>
          </w:tcPr>
          <w:p>
            <w:pPr>
              <w:pStyle w:val="Compact"/>
            </w:pPr>
            <w:r>
              <w:rPr>
                <w:sz w:val="17"/>
              </w:rPr>
              <w:t xml:space="preserve">Agrégats et cartes de chaleur</w:t>
            </w:r>
          </w:p>
        </w:tc>
      </w:tr>
    </w:tbl>
    <w:bookmarkEnd w:id="166"/>
    <w:bookmarkStart w:id="167" w:name="indicateurs-de-couverture-locative"/>
    <w:p>
      <w:pPr>
        <w:pStyle w:val="Heading2"/>
      </w:pPr>
      <w:r>
        <w:t xml:space="preserve">16.7 Indicateurs de couverture locative</w:t>
      </w:r>
    </w:p>
    <w:p>
      <w:pPr>
        <w:pStyle w:val="FirstParagraph"/>
      </w:pPr>
      <w:r>
        <w:t xml:space="preserve">Par avenue, quartier et commune : nombre estimé de parcelles, bâtiments et unités ; nombre enregistré ; unités occupées par le propriétaire ; unités louées ; bailleurs et locataires identifiés ; loyer déclaré ; base légalement imposable ; obligations émises, payées, impayées ; concentration géographique ; taux de couverture du recensement ; âge moyen de la dernière vérification.</w:t>
      </w:r>
    </w:p>
    <w:bookmarkEnd w:id="167"/>
    <w:bookmarkStart w:id="168" w:name="plaque-fiscale-immobilière"/>
    <w:p>
      <w:pPr>
        <w:pStyle w:val="Heading2"/>
      </w:pPr>
      <w:r>
        <w:t xml:space="preserve">16.8 Plaque fiscale immobilière</w:t>
      </w:r>
    </w:p>
    <w:p>
      <w:pPr>
        <w:pStyle w:val="FirstParagraph"/>
      </w:pPr>
      <w:r>
        <w:t xml:space="preserve">Chaque bâtiment reçoit une plaque normalisée portant l’identifiant géofiscal, un QR signé et un code court. Scan par un agent habilité : identifiant, statut d’occupation déclaré, couleur de situation. Scan public : « plaque authentique, bâtiment enregistré, commune, quartier »</w:t>
      </w:r>
      <w:r>
        <w:t xml:space="preserve"> </w:t>
      </w:r>
      <w:r>
        <w:rPr>
          <w:b/>
          <w:bCs/>
        </w:rPr>
        <w:t xml:space="preserve">et couleur de situation fiscale</w:t>
      </w:r>
      <w:r>
        <w:t xml:space="preserve"> </w:t>
      </w:r>
      <w:r>
        <w:t xml:space="preserve">(vert régularisé, orange partiel ou échéance proche, rouge en retard après vérification, gris non enregistré), avec sa légende générique — jamais le nom du propriétaire, l’adresse précise, un montant ou le détail des obligations. Une couleur rouge n’entraîne aucune mesure automatique : elle signale un dossier à traiter par une personne habilitée.</w:t>
      </w:r>
      <w:r>
        <w:t xml:space="preserve"> </w:t>
      </w:r>
      <w:r>
        <w:rPr>
          <w:i/>
          <w:iCs/>
        </w:rPr>
        <w:t xml:space="preserve">Décision de la Ville (26 septembre 2026) : le Cahier des exigences prévaut sur l’arbitrage ARB-76 de la version précédente, qui masquait la couleur au public.</w:t>
      </w:r>
      <w:r>
        <w:t xml:space="preserve"> </w:t>
      </w:r>
      <w:r>
        <w:t xml:space="preserve">Rendre la plaque obligatoire et interdire la mise en location d’un bien non immatriculé exige un acte [ACTE REQUIS].</w:t>
      </w:r>
    </w:p>
    <w:bookmarkEnd w:id="168"/>
    <w:bookmarkStart w:id="169" w:name="campagne-locative-prioritaire"/>
    <w:p>
      <w:pPr>
        <w:pStyle w:val="Heading2"/>
      </w:pPr>
      <w:r>
        <w:t xml:space="preserve">16.9 Campagne locative prioritaire</w:t>
      </w:r>
    </w:p>
    <w:p>
      <w:pPr>
        <w:pStyle w:val="Compact"/>
        <w:numPr>
          <w:ilvl w:val="0"/>
          <w:numId w:val="1016"/>
        </w:numPr>
      </w:pPr>
      <w:r>
        <w:t xml:space="preserve">Recensement des quartiers échantillons des communes pilotes (septembre 2026 → janvier 2027).</w:t>
      </w:r>
    </w:p>
    <w:p>
      <w:pPr>
        <w:pStyle w:val="Compact"/>
        <w:numPr>
          <w:ilvl w:val="0"/>
          <w:numId w:val="1016"/>
        </w:numPr>
      </w:pPr>
      <w:r>
        <w:t xml:space="preserve">Invitation à la régularisation volontaire avec délai clair.</w:t>
      </w:r>
    </w:p>
    <w:p>
      <w:pPr>
        <w:pStyle w:val="Compact"/>
        <w:numPr>
          <w:ilvl w:val="0"/>
          <w:numId w:val="1016"/>
        </w:numPr>
      </w:pPr>
      <w:r>
        <w:t xml:space="preserve">Déclaration simplifiée du bail et du loyer, pré-remplie à partir du recensement.</w:t>
      </w:r>
    </w:p>
    <w:p>
      <w:pPr>
        <w:pStyle w:val="Compact"/>
        <w:numPr>
          <w:ilvl w:val="0"/>
          <w:numId w:val="1016"/>
        </w:numPr>
      </w:pPr>
      <w:r>
        <w:t xml:space="preserve">Détection des incohérences ; visites ciblées après revue humaine et autorisation de mission.</w:t>
      </w:r>
    </w:p>
    <w:p>
      <w:pPr>
        <w:pStyle w:val="Compact"/>
        <w:numPr>
          <w:ilvl w:val="0"/>
          <w:numId w:val="1016"/>
        </w:numPr>
      </w:pPr>
      <w:r>
        <w:t xml:space="preserve">Liquidation selon la règle certifiée, avec explication.</w:t>
      </w:r>
    </w:p>
    <w:p>
      <w:pPr>
        <w:pStyle w:val="Compact"/>
        <w:numPr>
          <w:ilvl w:val="0"/>
          <w:numId w:val="1016"/>
        </w:numPr>
      </w:pPr>
      <w:r>
        <w:t xml:space="preserve">Mesure des résultats par rapport au groupe de comparaison (chapitre 45).</w:t>
      </w:r>
    </w:p>
    <w:bookmarkEnd w:id="169"/>
    <w:bookmarkEnd w:id="170"/>
    <w:bookmarkStart w:id="177" w:name="cadastre-fiscal-géospatial"/>
    <w:p>
      <w:pPr>
        <w:pStyle w:val="Heading1"/>
      </w:pPr>
      <w:r>
        <w:t xml:space="preserve">17. Cadastre fiscal géospatial</w:t>
      </w:r>
    </w:p>
    <w:bookmarkStart w:id="171" w:name="principes-1"/>
    <w:p>
      <w:pPr>
        <w:pStyle w:val="Heading2"/>
      </w:pPr>
      <w:r>
        <w:t xml:space="preserve">17.1 Principes</w:t>
      </w:r>
    </w:p>
    <w:p>
      <w:pPr>
        <w:pStyle w:val="FirstParagraph"/>
      </w:pPr>
      <w:r>
        <w:t xml:space="preserve">Le cadastre fiscal de MOSOLO est un</w:t>
      </w:r>
      <w:r>
        <w:t xml:space="preserve"> </w:t>
      </w:r>
      <w:r>
        <w:rPr>
          <w:b/>
          <w:bCs/>
        </w:rPr>
        <w:t xml:space="preserve">cadastre d’usage fiscal</w:t>
      </w:r>
      <w:r>
        <w:t xml:space="preserve">, pas un cadastre juridique : il localise et décrit les objets générateurs de recettes, il ne confère aucun droit de propriété. Il s’articule avec les services fonciers et cadastraux compétents, auxquels il ne se substitue pas.</w:t>
      </w:r>
    </w:p>
    <w:bookmarkEnd w:id="171"/>
    <w:bookmarkStart w:id="172" w:name="couches"/>
    <w:p>
      <w:pPr>
        <w:pStyle w:val="Heading2"/>
      </w:pPr>
      <w:r>
        <w:t xml:space="preserve">17.2 Couches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Groupe</w:t>
            </w:r>
          </w:p>
        </w:tc>
        <w:tc>
          <w:tcPr>
            <w:shd w:val="clear" w:color="auto" w:fill="232C6B"/>
          </w:tcPr>
          <w:p>
            <w:pPr>
              <w:pStyle w:val="Compact"/>
            </w:pPr>
            <w:r>
              <w:rPr>
                <w:b/>
                <w:color w:val="FFFFFF"/>
                <w:sz w:val="17"/>
              </w:rPr>
              <w:t xml:space="preserve">Couches</w:t>
            </w:r>
          </w:p>
        </w:tc>
      </w:tr>
      <w:tr>
        <w:tc>
          <w:tcPr/>
          <w:p>
            <w:pPr>
              <w:pStyle w:val="Compact"/>
            </w:pPr>
            <w:r>
              <w:rPr>
                <w:sz w:val="17"/>
              </w:rPr>
              <w:t xml:space="preserve">Territoire</w:t>
            </w:r>
          </w:p>
        </w:tc>
        <w:tc>
          <w:tcPr/>
          <w:p>
            <w:pPr>
              <w:pStyle w:val="Compact"/>
            </w:pPr>
            <w:r>
              <w:rPr>
                <w:sz w:val="17"/>
              </w:rPr>
              <w:t xml:space="preserve">Province, communes (24), quartiers, avenues, rues, îlots, rangs de localité</w:t>
            </w:r>
          </w:p>
        </w:tc>
      </w:tr>
      <w:tr>
        <w:tc>
          <w:tcPr>
            <w:shd w:val="clear" w:color="auto" w:fill="F5F7FB"/>
          </w:tcPr>
          <w:p>
            <w:pPr>
              <w:pStyle w:val="Compact"/>
            </w:pPr>
            <w:r>
              <w:rPr>
                <w:sz w:val="17"/>
              </w:rPr>
              <w:t xml:space="preserve">Foncier</w:t>
            </w:r>
          </w:p>
        </w:tc>
        <w:tc>
          <w:tcPr>
            <w:shd w:val="clear" w:color="auto" w:fill="F5F7FB"/>
          </w:tcPr>
          <w:p>
            <w:pPr>
              <w:pStyle w:val="Compact"/>
            </w:pPr>
            <w:r>
              <w:rPr>
                <w:sz w:val="17"/>
              </w:rPr>
              <w:t xml:space="preserve">Parcelles, bâtiments, unités</w:t>
            </w:r>
          </w:p>
        </w:tc>
      </w:tr>
      <w:tr>
        <w:tc>
          <w:tcPr/>
          <w:p>
            <w:pPr>
              <w:pStyle w:val="Compact"/>
            </w:pPr>
            <w:r>
              <w:rPr>
                <w:sz w:val="17"/>
              </w:rPr>
              <w:t xml:space="preserve">Économie</w:t>
            </w:r>
          </w:p>
        </w:tc>
        <w:tc>
          <w:tcPr/>
          <w:p>
            <w:pPr>
              <w:pStyle w:val="Compact"/>
            </w:pPr>
            <w:r>
              <w:rPr>
                <w:sz w:val="17"/>
              </w:rPr>
              <w:t xml:space="preserve">Commerces et établissements, marchés et étals, débits de boissons, carrières</w:t>
            </w:r>
          </w:p>
        </w:tc>
      </w:tr>
      <w:tr>
        <w:tc>
          <w:tcPr>
            <w:shd w:val="clear" w:color="auto" w:fill="F5F7FB"/>
          </w:tcPr>
          <w:p>
            <w:pPr>
              <w:pStyle w:val="Compact"/>
            </w:pPr>
            <w:r>
              <w:rPr>
                <w:sz w:val="17"/>
              </w:rPr>
              <w:t xml:space="preserve">Mobilité</w:t>
            </w:r>
          </w:p>
        </w:tc>
        <w:tc>
          <w:tcPr>
            <w:shd w:val="clear" w:color="auto" w:fill="F5F7FB"/>
          </w:tcPr>
          <w:p>
            <w:pPr>
              <w:pStyle w:val="Compact"/>
            </w:pPr>
            <w:r>
              <w:rPr>
                <w:sz w:val="17"/>
              </w:rPr>
              <w:t xml:space="preserve">Axes, zones de stationnement, gares routières, points d’embarquement, routes de transport, péages</w:t>
            </w:r>
          </w:p>
        </w:tc>
      </w:tr>
      <w:tr>
        <w:tc>
          <w:tcPr/>
          <w:p>
            <w:pPr>
              <w:pStyle w:val="Compact"/>
            </w:pPr>
            <w:r>
              <w:rPr>
                <w:sz w:val="17"/>
              </w:rPr>
              <w:t xml:space="preserve">Domaine public</w:t>
            </w:r>
          </w:p>
        </w:tc>
        <w:tc>
          <w:tcPr/>
          <w:p>
            <w:pPr>
              <w:pStyle w:val="Compact"/>
            </w:pPr>
            <w:r>
              <w:rPr>
                <w:sz w:val="17"/>
              </w:rPr>
              <w:t xml:space="preserve">Emprises, occupations temporaires</w:t>
            </w:r>
          </w:p>
        </w:tc>
      </w:tr>
      <w:tr>
        <w:tc>
          <w:tcPr>
            <w:shd w:val="clear" w:color="auto" w:fill="F5F7FB"/>
          </w:tcPr>
          <w:p>
            <w:pPr>
              <w:pStyle w:val="Compact"/>
            </w:pPr>
            <w:r>
              <w:rPr>
                <w:sz w:val="17"/>
              </w:rPr>
              <w:t xml:space="preserve">Réseaux</w:t>
            </w:r>
          </w:p>
        </w:tc>
        <w:tc>
          <w:tcPr>
            <w:shd w:val="clear" w:color="auto" w:fill="F5F7FB"/>
          </w:tcPr>
          <w:p>
            <w:pPr>
              <w:pStyle w:val="Compact"/>
            </w:pPr>
            <w:r>
              <w:rPr>
                <w:sz w:val="17"/>
              </w:rPr>
              <w:t xml:space="preserve">Supports publicitaires, antennes et pylônes</w:t>
            </w:r>
          </w:p>
        </w:tc>
      </w:tr>
      <w:tr>
        <w:tc>
          <w:tcPr/>
          <w:p>
            <w:pPr>
              <w:pStyle w:val="Compact"/>
            </w:pPr>
            <w:r>
              <w:rPr>
                <w:sz w:val="17"/>
              </w:rPr>
              <w:t xml:space="preserve">Fluvial</w:t>
            </w:r>
          </w:p>
        </w:tc>
        <w:tc>
          <w:tcPr/>
          <w:p>
            <w:pPr>
              <w:pStyle w:val="Compact"/>
            </w:pPr>
            <w:r>
              <w:rPr>
                <w:sz w:val="17"/>
              </w:rPr>
              <w:t xml:space="preserve">Ports, quais, embarcations (position au port d’attache)</w:t>
            </w:r>
          </w:p>
        </w:tc>
      </w:tr>
      <w:tr>
        <w:tc>
          <w:tcPr>
            <w:shd w:val="clear" w:color="auto" w:fill="F5F7FB"/>
          </w:tcPr>
          <w:p>
            <w:pPr>
              <w:pStyle w:val="Compact"/>
            </w:pPr>
            <w:r>
              <w:rPr>
                <w:sz w:val="17"/>
              </w:rPr>
              <w:t xml:space="preserve">Concessions</w:t>
            </w:r>
          </w:p>
        </w:tc>
        <w:tc>
          <w:tcPr>
            <w:shd w:val="clear" w:color="auto" w:fill="F5F7FB"/>
          </w:tcPr>
          <w:p>
            <w:pPr>
              <w:pStyle w:val="Compact"/>
            </w:pPr>
            <w:r>
              <w:rPr>
                <w:sz w:val="17"/>
              </w:rPr>
              <w:t xml:space="preserve">Concessions minières, forestières, carrières</w:t>
            </w:r>
          </w:p>
        </w:tc>
      </w:tr>
      <w:tr>
        <w:tc>
          <w:tcPr/>
          <w:p>
            <w:pPr>
              <w:pStyle w:val="Compact"/>
            </w:pPr>
            <w:r>
              <w:rPr>
                <w:sz w:val="17"/>
              </w:rPr>
              <w:t xml:space="preserve">Infrastructures publiques</w:t>
            </w:r>
          </w:p>
        </w:tc>
        <w:tc>
          <w:tcPr/>
          <w:p>
            <w:pPr>
              <w:pStyle w:val="Compact"/>
            </w:pPr>
            <w:r>
              <w:rPr>
                <w:sz w:val="17"/>
              </w:rPr>
              <w:t xml:space="preserve">Bâtiments publics, écoles, centres de santé, ouvrages de drainage</w:t>
            </w:r>
          </w:p>
        </w:tc>
      </w:tr>
      <w:tr>
        <w:tc>
          <w:tcPr>
            <w:shd w:val="clear" w:color="auto" w:fill="F5F7FB"/>
          </w:tcPr>
          <w:p>
            <w:pPr>
              <w:pStyle w:val="Compact"/>
            </w:pPr>
            <w:r>
              <w:rPr>
                <w:sz w:val="17"/>
              </w:rPr>
              <w:t xml:space="preserve">Opérations</w:t>
            </w:r>
          </w:p>
        </w:tc>
        <w:tc>
          <w:tcPr>
            <w:shd w:val="clear" w:color="auto" w:fill="F5F7FB"/>
          </w:tcPr>
          <w:p>
            <w:pPr>
              <w:pStyle w:val="Compact"/>
            </w:pPr>
            <w:r>
              <w:rPr>
                <w:sz w:val="17"/>
              </w:rPr>
              <w:t xml:space="preserve">Zones d’inspection, polygones de mission, traces de recensement, couverture</w:t>
            </w:r>
          </w:p>
        </w:tc>
      </w:tr>
      <w:tr>
        <w:tc>
          <w:tcPr/>
          <w:p>
            <w:pPr>
              <w:pStyle w:val="Compact"/>
            </w:pPr>
            <w:r>
              <w:rPr>
                <w:sz w:val="17"/>
              </w:rPr>
              <w:t xml:space="preserve">Analyse</w:t>
            </w:r>
          </w:p>
        </w:tc>
        <w:tc>
          <w:tcPr/>
          <w:p>
            <w:pPr>
              <w:pStyle w:val="Compact"/>
            </w:pPr>
            <w:r>
              <w:rPr>
                <w:sz w:val="17"/>
              </w:rPr>
              <w:t xml:space="preserve">Cartes de chaleur des recettes, de la conformité, du potentiel estimé, des anomalies</w:t>
            </w:r>
          </w:p>
        </w:tc>
      </w:tr>
    </w:tbl>
    <w:bookmarkEnd w:id="172"/>
    <w:bookmarkStart w:id="173" w:name="identifiant-géographique-fiscal-igf"/>
    <w:p>
      <w:pPr>
        <w:pStyle w:val="Heading2"/>
      </w:pPr>
      <w:r>
        <w:t xml:space="preserve">17.3 Identifiant géographique fiscal (IGF)</w:t>
      </w:r>
    </w:p>
    <w:p>
      <w:pPr>
        <w:pStyle w:val="FirstParagraph"/>
      </w:pPr>
      <w:r>
        <w:t xml:space="preserve">Chaque objet imposable reçoit un</w:t>
      </w:r>
      <w:r>
        <w:t xml:space="preserve"> </w:t>
      </w:r>
      <w:r>
        <w:rPr>
          <w:b/>
          <w:bCs/>
        </w:rPr>
        <w:t xml:space="preserve">identifiant interne aléatoire, non signifiant et permanent</w:t>
      </w:r>
      <w:r>
        <w:t xml:space="preserve"> </w:t>
      </w:r>
      <w:r>
        <w:t xml:space="preserve">(UUID) et un</w:t>
      </w:r>
      <w:r>
        <w:t xml:space="preserve"> </w:t>
      </w:r>
      <w:r>
        <w:rPr>
          <w:b/>
          <w:bCs/>
        </w:rPr>
        <w:t xml:space="preserve">code territorial lisible</w:t>
      </w:r>
      <w:r>
        <w:t xml:space="preserve"> </w:t>
      </w:r>
      <w:r>
        <w:t xml:space="preserve">pour l’usage humain, par exemple</w:t>
      </w:r>
      <w:r>
        <w:t xml:space="preserve"> </w:t>
      </w:r>
      <w:r>
        <w:rPr>
          <w:rStyle w:val="VerbatimChar"/>
        </w:rPr>
        <w:t xml:space="preserve">KIN-GOM-Q012-P004517-B01-U03</w:t>
      </w:r>
      <w:r>
        <w:t xml:space="preserve"> </w:t>
      </w:r>
      <w:r>
        <w:t xml:space="preserve">(commune, quartier, parcelle, bâtiment, unité). Le code lisible peut changer (redécoupage) ; l’identifiant interne jamais. L’IGF est relié à : localisation et géométrie, catégorie d’objet, relations avec les contribuables et leurs statuts probants, photographies, documents, historique d’inspection, règles applicables, obligations, paiements, quittances, litiges et journal d’audit.</w:t>
      </w:r>
    </w:p>
    <w:bookmarkEnd w:id="173"/>
    <w:bookmarkStart w:id="174" w:name="cas-difficiles"/>
    <w:p>
      <w:pPr>
        <w:pStyle w:val="Heading2"/>
      </w:pPr>
      <w:r>
        <w:t xml:space="preserve">17.4 Cas difficiles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Cas</w:t>
            </w:r>
          </w:p>
        </w:tc>
        <w:tc>
          <w:tcPr>
            <w:shd w:val="clear" w:color="auto" w:fill="232C6B"/>
          </w:tcPr>
          <w:p>
            <w:pPr>
              <w:pStyle w:val="Compact"/>
            </w:pPr>
            <w:r>
              <w:rPr>
                <w:b/>
                <w:color w:val="FFFFFF"/>
                <w:sz w:val="17"/>
              </w:rPr>
              <w:t xml:space="preserve">Procédure</w:t>
            </w:r>
          </w:p>
        </w:tc>
      </w:tr>
      <w:tr>
        <w:tc>
          <w:tcPr/>
          <w:p>
            <w:pPr>
              <w:pStyle w:val="Compact"/>
            </w:pPr>
            <w:r>
              <w:rPr>
                <w:sz w:val="17"/>
              </w:rPr>
              <w:t xml:space="preserve">Objet sans adresse formelle</w:t>
            </w:r>
          </w:p>
        </w:tc>
        <w:tc>
          <w:tcPr/>
          <w:p>
            <w:pPr>
              <w:pStyle w:val="Compact"/>
            </w:pPr>
            <w:r>
              <w:rPr>
                <w:sz w:val="17"/>
              </w:rPr>
              <w:t xml:space="preserve">Adresse descriptive + point GPS + photo de repère + code territorial ; plaque</w:t>
            </w:r>
          </w:p>
        </w:tc>
      </w:tr>
      <w:tr>
        <w:tc>
          <w:tcPr>
            <w:shd w:val="clear" w:color="auto" w:fill="F5F7FB"/>
          </w:tcPr>
          <w:p>
            <w:pPr>
              <w:pStyle w:val="Compact"/>
            </w:pPr>
            <w:r>
              <w:rPr>
                <w:sz w:val="17"/>
              </w:rPr>
              <w:t xml:space="preserve">Quartiers d’habitat informel</w:t>
            </w:r>
          </w:p>
        </w:tc>
        <w:tc>
          <w:tcPr>
            <w:shd w:val="clear" w:color="auto" w:fill="F5F7FB"/>
          </w:tcPr>
          <w:p>
            <w:pPr>
              <w:pStyle w:val="Compact"/>
            </w:pPr>
            <w:r>
              <w:rPr>
                <w:sz w:val="17"/>
              </w:rPr>
              <w:t xml:space="preserve">Recensement par îlot avec chefs de quartier ; identification de l’occupation sans préjuger du droit foncier ; mention explicite « situation foncière non établie »</w:t>
            </w:r>
          </w:p>
        </w:tc>
      </w:tr>
      <w:tr>
        <w:tc>
          <w:tcPr/>
          <w:p>
            <w:pPr>
              <w:pStyle w:val="Compact"/>
            </w:pPr>
            <w:r>
              <w:rPr>
                <w:sz w:val="17"/>
              </w:rPr>
              <w:t xml:space="preserve">GPS imprécis (&lt; 15 m de précision non atteinte)</w:t>
            </w:r>
          </w:p>
        </w:tc>
        <w:tc>
          <w:tcPr/>
          <w:p>
            <w:pPr>
              <w:pStyle w:val="Compact"/>
            </w:pPr>
            <w:r>
              <w:rPr>
                <w:sz w:val="17"/>
              </w:rPr>
              <w:t xml:space="preserve">Mode « pointage assisté » sur fond de carte, relevé multiple moyenné ; statut</w:t>
            </w:r>
            <w:r>
              <w:rPr>
                <w:sz w:val="17"/>
              </w:rPr>
              <w:t xml:space="preserve"> </w:t>
            </w:r>
            <w:r>
              <w:rPr>
                <w:rStyle w:val="VerbatimChar"/>
                <w:sz w:val="17"/>
              </w:rPr>
              <w:t xml:space="preserve">LOCALISATION_APPROXIMATIVE</w:t>
            </w:r>
            <w:r>
              <w:rPr>
                <w:sz w:val="17"/>
              </w:rPr>
              <w:t xml:space="preserve"> </w:t>
            </w:r>
            <w:r>
              <w:rPr>
                <w:sz w:val="17"/>
              </w:rPr>
              <w:t xml:space="preserve">; revue ultérieure</w:t>
            </w:r>
          </w:p>
        </w:tc>
      </w:tr>
      <w:tr>
        <w:tc>
          <w:tcPr>
            <w:shd w:val="clear" w:color="auto" w:fill="F5F7FB"/>
          </w:tcPr>
          <w:p>
            <w:pPr>
              <w:pStyle w:val="Compact"/>
            </w:pPr>
            <w:r>
              <w:rPr>
                <w:sz w:val="17"/>
              </w:rPr>
              <w:t xml:space="preserve">Conflit de limites entre parcelles</w:t>
            </w:r>
          </w:p>
        </w:tc>
        <w:tc>
          <w:tcPr>
            <w:shd w:val="clear" w:color="auto" w:fill="F5F7FB"/>
          </w:tcPr>
          <w:p>
            <w:pPr>
              <w:pStyle w:val="Compact"/>
            </w:pPr>
            <w:r>
              <w:rPr>
                <w:sz w:val="17"/>
              </w:rPr>
              <w:t xml:space="preserve">Statut</w:t>
            </w:r>
            <w:r>
              <w:rPr>
                <w:sz w:val="17"/>
              </w:rPr>
              <w:t xml:space="preserve"> </w:t>
            </w:r>
            <w:r>
              <w:rPr>
                <w:rStyle w:val="VerbatimChar"/>
                <w:sz w:val="17"/>
              </w:rPr>
              <w:t xml:space="preserve">CONTESTÉ</w:t>
            </w:r>
            <w:r>
              <w:rPr>
                <w:sz w:val="17"/>
              </w:rPr>
              <w:t xml:space="preserve"> </w:t>
            </w:r>
            <w:r>
              <w:rPr>
                <w:sz w:val="17"/>
              </w:rPr>
              <w:t xml:space="preserve">sur la géométrie ; aucune modification sans décision du service foncier compétent ; les obligations restent calculées sur la base non contestée</w:t>
            </w:r>
          </w:p>
        </w:tc>
      </w:tr>
      <w:tr>
        <w:tc>
          <w:tcPr/>
          <w:p>
            <w:pPr>
              <w:pStyle w:val="Compact"/>
            </w:pPr>
            <w:r>
              <w:rPr>
                <w:sz w:val="17"/>
              </w:rPr>
              <w:t xml:space="preserve">Plusieurs activités en un lieu</w:t>
            </w:r>
          </w:p>
        </w:tc>
        <w:tc>
          <w:tcPr/>
          <w:p>
            <w:pPr>
              <w:pStyle w:val="Compact"/>
            </w:pPr>
            <w:r>
              <w:rPr>
                <w:sz w:val="17"/>
              </w:rPr>
              <w:t xml:space="preserve">Un objet par activité, rattaché au même bâtiment ou à la même unité</w:t>
            </w:r>
          </w:p>
        </w:tc>
      </w:tr>
      <w:tr>
        <w:tc>
          <w:tcPr>
            <w:shd w:val="clear" w:color="auto" w:fill="F5F7FB"/>
          </w:tcPr>
          <w:p>
            <w:pPr>
              <w:pStyle w:val="Compact"/>
            </w:pPr>
            <w:r>
              <w:rPr>
                <w:sz w:val="17"/>
              </w:rPr>
              <w:t xml:space="preserve">Une entreprise, plusieurs établissements</w:t>
            </w:r>
          </w:p>
        </w:tc>
        <w:tc>
          <w:tcPr>
            <w:shd w:val="clear" w:color="auto" w:fill="F5F7FB"/>
          </w:tcPr>
          <w:p>
            <w:pPr>
              <w:pStyle w:val="Compact"/>
            </w:pPr>
            <w:r>
              <w:rPr>
                <w:sz w:val="17"/>
              </w:rPr>
              <w:t xml:space="preserve">Un compte, plusieurs établissements, chacun avec son IGF</w:t>
            </w:r>
          </w:p>
        </w:tc>
      </w:tr>
      <w:tr>
        <w:tc>
          <w:tcPr/>
          <w:p>
            <w:pPr>
              <w:pStyle w:val="Compact"/>
            </w:pPr>
            <w:r>
              <w:rPr>
                <w:sz w:val="17"/>
              </w:rPr>
              <w:t xml:space="preserve">Un bien, plusieurs unités louées ou commerciales</w:t>
            </w:r>
          </w:p>
        </w:tc>
        <w:tc>
          <w:tcPr/>
          <w:p>
            <w:pPr>
              <w:pStyle w:val="Compact"/>
            </w:pPr>
            <w:r>
              <w:rPr>
                <w:sz w:val="17"/>
              </w:rPr>
              <w:t xml:space="preserve">Modèle parcelle → bâtiment → étage → unité ; une obligation par unité et par période</w:t>
            </w:r>
          </w:p>
        </w:tc>
      </w:tr>
      <w:tr>
        <w:tc>
          <w:tcPr>
            <w:shd w:val="clear" w:color="auto" w:fill="F5F7FB"/>
          </w:tcPr>
          <w:p>
            <w:pPr>
              <w:pStyle w:val="Compact"/>
            </w:pPr>
            <w:r>
              <w:rPr>
                <w:sz w:val="17"/>
              </w:rPr>
              <w:t xml:space="preserve">Doublon d’objet (deux recensements)</w:t>
            </w:r>
          </w:p>
        </w:tc>
        <w:tc>
          <w:tcPr>
            <w:shd w:val="clear" w:color="auto" w:fill="F5F7FB"/>
          </w:tcPr>
          <w:p>
            <w:pPr>
              <w:pStyle w:val="Compact"/>
            </w:pPr>
            <w:r>
              <w:rPr>
                <w:sz w:val="17"/>
              </w:rPr>
              <w:t xml:space="preserve">Fusion d’objets par maker-checker ; aucun historique perdu</w:t>
            </w:r>
          </w:p>
        </w:tc>
      </w:tr>
      <w:tr>
        <w:tc>
          <w:tcPr/>
          <w:p>
            <w:pPr>
              <w:pStyle w:val="Compact"/>
            </w:pPr>
            <w:r>
              <w:rPr>
                <w:sz w:val="17"/>
              </w:rPr>
              <w:t xml:space="preserve">Changement de limites administratives</w:t>
            </w:r>
          </w:p>
        </w:tc>
        <w:tc>
          <w:tcPr/>
          <w:p>
            <w:pPr>
              <w:pStyle w:val="Compact"/>
            </w:pPr>
            <w:r>
              <w:rPr>
                <w:sz w:val="17"/>
              </w:rPr>
              <w:t xml:space="preserve">Historisation des codes territoriaux ; recalcul des agrégats</w:t>
            </w:r>
          </w:p>
        </w:tc>
      </w:tr>
    </w:tbl>
    <w:bookmarkEnd w:id="174"/>
    <w:bookmarkStart w:id="175" w:name="méthode-de-recensement-massif"/>
    <w:p>
      <w:pPr>
        <w:pStyle w:val="Heading2"/>
      </w:pPr>
      <w:r>
        <w:t xml:space="preserve">17.5 Méthode de recensement massif</w:t>
      </w:r>
    </w:p>
    <w:p>
      <w:pPr>
        <w:pStyle w:val="Compact"/>
        <w:numPr>
          <w:ilvl w:val="0"/>
          <w:numId w:val="1017"/>
        </w:numPr>
      </w:pPr>
      <w:r>
        <w:rPr>
          <w:b/>
          <w:bCs/>
        </w:rPr>
        <w:t xml:space="preserve">Fond de carte</w:t>
      </w:r>
      <w:r>
        <w:t xml:space="preserve"> </w:t>
      </w:r>
      <w:r>
        <w:t xml:space="preserve">: imagerie récente, empreintes de bâtiments (sources ouvertes et acquisitions), numérotation existante.</w:t>
      </w:r>
    </w:p>
    <w:p>
      <w:pPr>
        <w:pStyle w:val="Compact"/>
        <w:numPr>
          <w:ilvl w:val="0"/>
          <w:numId w:val="1017"/>
        </w:numPr>
      </w:pPr>
      <w:r>
        <w:rPr>
          <w:b/>
          <w:bCs/>
        </w:rPr>
        <w:t xml:space="preserve">Pré-pointage</w:t>
      </w:r>
      <w:r>
        <w:t xml:space="preserve"> </w:t>
      </w:r>
      <w:r>
        <w:t xml:space="preserve">des bâtiments sur imagerie (assisté par apprentissage automatique, validé humainement).</w:t>
      </w:r>
    </w:p>
    <w:p>
      <w:pPr>
        <w:pStyle w:val="Compact"/>
        <w:numPr>
          <w:ilvl w:val="0"/>
          <w:numId w:val="1017"/>
        </w:numPr>
      </w:pPr>
      <w:r>
        <w:rPr>
          <w:b/>
          <w:bCs/>
        </w:rPr>
        <w:t xml:space="preserve">Recensement terrain</w:t>
      </w:r>
      <w:r>
        <w:t xml:space="preserve"> </w:t>
      </w:r>
      <w:r>
        <w:t xml:space="preserve">par îlot avec l’application hors ligne, en présence d’un relais de quartier.</w:t>
      </w:r>
    </w:p>
    <w:p>
      <w:pPr>
        <w:pStyle w:val="Compact"/>
        <w:numPr>
          <w:ilvl w:val="0"/>
          <w:numId w:val="1017"/>
        </w:numPr>
      </w:pPr>
      <w:r>
        <w:rPr>
          <w:b/>
          <w:bCs/>
        </w:rPr>
        <w:t xml:space="preserve">Pose de plaques</w:t>
      </w:r>
      <w:r>
        <w:t xml:space="preserve"> </w:t>
      </w:r>
      <w:r>
        <w:t xml:space="preserve">et remise d’une invitation à l’enrôlement.</w:t>
      </w:r>
    </w:p>
    <w:p>
      <w:pPr>
        <w:pStyle w:val="Compact"/>
        <w:numPr>
          <w:ilvl w:val="0"/>
          <w:numId w:val="1017"/>
        </w:numPr>
      </w:pPr>
      <w:r>
        <w:rPr>
          <w:b/>
          <w:bCs/>
        </w:rPr>
        <w:t xml:space="preserve">Contrôle qualité</w:t>
      </w:r>
      <w:r>
        <w:t xml:space="preserve"> </w:t>
      </w:r>
      <w:r>
        <w:t xml:space="preserve">par échantillonnage indépendant (5 % minimum).</w:t>
      </w:r>
    </w:p>
    <w:p>
      <w:pPr>
        <w:pStyle w:val="Compact"/>
        <w:numPr>
          <w:ilvl w:val="0"/>
          <w:numId w:val="1017"/>
        </w:numPr>
      </w:pPr>
      <w:r>
        <w:rPr>
          <w:b/>
          <w:bCs/>
        </w:rPr>
        <w:t xml:space="preserve">Recoupement</w:t>
      </w:r>
      <w:r>
        <w:t xml:space="preserve"> </w:t>
      </w:r>
      <w:r>
        <w:t xml:space="preserve">avec les données partenaires.</w:t>
      </w:r>
    </w:p>
    <w:p>
      <w:pPr>
        <w:pStyle w:val="Compact"/>
        <w:numPr>
          <w:ilvl w:val="0"/>
          <w:numId w:val="1017"/>
        </w:numPr>
      </w:pPr>
      <w:r>
        <w:rPr>
          <w:b/>
          <w:bCs/>
        </w:rPr>
        <w:t xml:space="preserve">Mise à jour continue</w:t>
      </w:r>
      <w:r>
        <w:t xml:space="preserve"> </w:t>
      </w:r>
      <w:r>
        <w:t xml:space="preserve">: permis de bâtir, mutations, signalements, constats.</w:t>
      </w:r>
    </w:p>
    <w:bookmarkEnd w:id="175"/>
    <w:bookmarkStart w:id="176" w:name="architecture-géospatiale"/>
    <w:p>
      <w:pPr>
        <w:pStyle w:val="Heading2"/>
      </w:pPr>
      <w:r>
        <w:t xml:space="preserve">17.6 Architecture géospatiale</w:t>
      </w:r>
    </w:p>
    <w:p>
      <w:pPr>
        <w:pStyle w:val="FirstParagraph"/>
      </w:pPr>
      <w:r>
        <w:t xml:space="preserve">Base spatiale PostgreSQL/PostGIS ; services cartographiques aux normes OGC (WMS, WFS, tuiles vectorielles) ; fonds de carte hors ligne sur les terminaux (MBTiles / PMTiles) ; système de référence WGS 84 pour la capture, projection métrique locale pour les calculs de surface ; index spatiaux ; historique des géométries (tables temporelles) ; séparation stricte entre couches publiques agrégées et couches nominatives.</w:t>
      </w:r>
    </w:p>
    <w:bookmarkEnd w:id="176"/>
    <w:bookmarkEnd w:id="177"/>
    <w:bookmarkStart w:id="193" w:name="modèle-de-paiement-et-de-règlement"/>
    <w:p>
      <w:pPr>
        <w:pStyle w:val="Heading1"/>
      </w:pPr>
      <w:r>
        <w:t xml:space="preserve">18. Modèle de paiement et de règlement</w:t>
      </w:r>
    </w:p>
    <w:bookmarkStart w:id="178" w:name="Xc9b355bcabab4fcf0c8b03be65f405dfa08d0bb"/>
    <w:p>
      <w:pPr>
        <w:pStyle w:val="Heading2"/>
      </w:pPr>
      <w:r>
        <w:t xml:space="preserve">18.1 Principe : MOSOLO orchestre, il ne détient pas</w:t>
      </w:r>
    </w:p>
    <w:p>
      <w:pPr>
        <w:pStyle w:val="FirstParagraph"/>
      </w:pPr>
      <w:r>
        <w:t xml:space="preserve">KINSHASA MOSOLO</w:t>
      </w:r>
      <w:r>
        <w:t xml:space="preserve"> </w:t>
      </w:r>
      <w:r>
        <w:rPr>
          <w:b/>
          <w:bCs/>
        </w:rPr>
        <w:t xml:space="preserve">n’est pas un compte de recettes</w:t>
      </w:r>
      <w:r>
        <w:t xml:space="preserve">. Il émet des références de paiement, reçoit les confirmations signées des prestataires habilités, suit le règlement sur les comptes publics désignés, rapproche et prouve. Les fonds vont du payeur au prestataire habilité, puis au compte public de recettes désigné, puis au compte de la province selon les règles du Trésor (§ 6.8). Aucune recette publique ne transite par un compte de l’opérateur de la plateforme.</w:t>
      </w:r>
    </w:p>
    <w:bookmarkEnd w:id="178"/>
    <w:bookmarkStart w:id="182" w:name="canaux"/>
    <w:p>
      <w:pPr>
        <w:pStyle w:val="Heading2"/>
      </w:pPr>
      <w:r>
        <w:t xml:space="preserve">18.2 Canaux</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Canal</w:t>
            </w:r>
          </w:p>
        </w:tc>
        <w:tc>
          <w:tcPr>
            <w:shd w:val="clear" w:color="auto" w:fill="232C6B"/>
          </w:tcPr>
          <w:p>
            <w:pPr>
              <w:pStyle w:val="Compact"/>
            </w:pPr>
            <w:r>
              <w:rPr>
                <w:b/>
                <w:color w:val="FFFFFF"/>
                <w:sz w:val="17"/>
              </w:rPr>
              <w:t xml:space="preserve">Fonctionnement</w:t>
            </w:r>
          </w:p>
        </w:tc>
        <w:tc>
          <w:tcPr>
            <w:shd w:val="clear" w:color="auto" w:fill="232C6B"/>
          </w:tcPr>
          <w:p>
            <w:pPr>
              <w:pStyle w:val="Compact"/>
            </w:pPr>
            <w:r>
              <w:rPr>
                <w:b/>
                <w:color w:val="FFFFFF"/>
                <w:sz w:val="17"/>
              </w:rPr>
              <w:t xml:space="preserve">Conditions</w:t>
            </w:r>
          </w:p>
        </w:tc>
      </w:tr>
      <w:tr>
        <w:tc>
          <w:tcPr/>
          <w:p>
            <w:pPr>
              <w:pStyle w:val="Compact"/>
            </w:pPr>
            <w:r>
              <w:rPr>
                <w:sz w:val="17"/>
              </w:rPr>
              <w:t xml:space="preserve">Monnaie mobile</w:t>
            </w:r>
          </w:p>
        </w:tc>
        <w:tc>
          <w:tcPr/>
          <w:p>
            <w:pPr>
              <w:pStyle w:val="Compact"/>
            </w:pPr>
            <w:r>
              <w:rPr>
                <w:sz w:val="17"/>
              </w:rPr>
              <w:t xml:space="preserve">Paiement marchand (push de demande de paiement ou saisie de la référence) vers le compte marchand de recettes publiques</w:t>
            </w:r>
          </w:p>
        </w:tc>
        <w:tc>
          <w:tcPr/>
          <w:p>
            <w:pPr>
              <w:pStyle w:val="Compact"/>
            </w:pPr>
            <w:r>
              <w:rPr>
                <w:sz w:val="17"/>
              </w:rPr>
              <w:t xml:space="preserve">Émetteur agréé BCC ; compte marchand au nom de l’entité publique ; confirmation serveur à serveur signée</w:t>
            </w:r>
          </w:p>
        </w:tc>
      </w:tr>
      <w:tr>
        <w:tc>
          <w:tcPr>
            <w:shd w:val="clear" w:color="auto" w:fill="F5F7FB"/>
          </w:tcPr>
          <w:p>
            <w:pPr>
              <w:pStyle w:val="Compact"/>
            </w:pPr>
            <w:r>
              <w:rPr>
                <w:sz w:val="17"/>
              </w:rPr>
              <w:t xml:space="preserve">Banques</w:t>
            </w:r>
          </w:p>
        </w:tc>
        <w:tc>
          <w:tcPr>
            <w:shd w:val="clear" w:color="auto" w:fill="F5F7FB"/>
          </w:tcPr>
          <w:p>
            <w:pPr>
              <w:pStyle w:val="Compact"/>
            </w:pPr>
            <w:r>
              <w:rPr>
                <w:sz w:val="17"/>
              </w:rPr>
              <w:t xml:space="preserve">Paiement au guichet ou en ligne sur référence</w:t>
            </w:r>
          </w:p>
        </w:tc>
        <w:tc>
          <w:tcPr>
            <w:shd w:val="clear" w:color="auto" w:fill="F5F7FB"/>
          </w:tcPr>
          <w:p>
            <w:pPr>
              <w:pStyle w:val="Compact"/>
            </w:pPr>
            <w:r>
              <w:rPr>
                <w:sz w:val="17"/>
              </w:rPr>
              <w:t xml:space="preserve">Convention de banque de recettes ; relevés quotidiens</w:t>
            </w:r>
          </w:p>
        </w:tc>
      </w:tr>
      <w:tr>
        <w:tc>
          <w:tcPr/>
          <w:p>
            <w:pPr>
              <w:pStyle w:val="Compact"/>
            </w:pPr>
            <w:r>
              <w:rPr>
                <w:sz w:val="17"/>
              </w:rPr>
              <w:t xml:space="preserve">Cartes de paiement</w:t>
            </w:r>
          </w:p>
        </w:tc>
        <w:tc>
          <w:tcPr/>
          <w:p>
            <w:pPr>
              <w:pStyle w:val="Compact"/>
            </w:pPr>
            <w:r>
              <w:rPr>
                <w:sz w:val="17"/>
              </w:rPr>
              <w:t xml:space="preserve">Passerelle d’acquisition (diaspora, entreprises)</w:t>
            </w:r>
          </w:p>
        </w:tc>
        <w:tc>
          <w:tcPr/>
          <w:p>
            <w:pPr>
              <w:pStyle w:val="Compact"/>
            </w:pPr>
            <w:r>
              <w:rPr>
                <w:sz w:val="17"/>
              </w:rPr>
              <w:t xml:space="preserve">Acquéreur habilité ; 3-D Secure</w:t>
            </w:r>
          </w:p>
        </w:tc>
      </w:tr>
      <w:tr>
        <w:tc>
          <w:tcPr>
            <w:shd w:val="clear" w:color="auto" w:fill="F5F7FB"/>
          </w:tcPr>
          <w:p>
            <w:pPr>
              <w:pStyle w:val="Compact"/>
            </w:pPr>
            <w:r>
              <w:rPr>
                <w:sz w:val="17"/>
              </w:rPr>
              <w:t xml:space="preserve">Points de paiement agréés</w:t>
            </w:r>
          </w:p>
        </w:tc>
        <w:tc>
          <w:tcPr>
            <w:shd w:val="clear" w:color="auto" w:fill="F5F7FB"/>
          </w:tcPr>
          <w:p>
            <w:pPr>
              <w:pStyle w:val="Compact"/>
            </w:pPr>
            <w:r>
              <w:rPr>
                <w:sz w:val="17"/>
              </w:rPr>
              <w:t xml:space="preserve">Seul canal d’espèces ; encaissement sur référence, reçu provisoire, règlement quotidien</w:t>
            </w:r>
          </w:p>
        </w:tc>
        <w:tc>
          <w:tcPr>
            <w:shd w:val="clear" w:color="auto" w:fill="F5F7FB"/>
          </w:tcPr>
          <w:p>
            <w:pPr>
              <w:pStyle w:val="Compact"/>
            </w:pPr>
            <w:r>
              <w:rPr>
                <w:sz w:val="17"/>
              </w:rPr>
              <w:t xml:space="preserve">Agrément, garantie, plafonds, contrôles mystère</w:t>
            </w:r>
          </w:p>
        </w:tc>
      </w:tr>
      <w:tr>
        <w:tc>
          <w:tcPr/>
          <w:p>
            <w:pPr>
              <w:pStyle w:val="Compact"/>
            </w:pPr>
            <w:r>
              <w:rPr>
                <w:sz w:val="17"/>
              </w:rPr>
              <w:t xml:space="preserve">USSD</w:t>
            </w:r>
          </w:p>
        </w:tc>
        <w:tc>
          <w:tcPr/>
          <w:p>
            <w:pPr>
              <w:pStyle w:val="Compact"/>
            </w:pPr>
            <w:r>
              <w:rPr>
                <w:sz w:val="17"/>
              </w:rPr>
              <w:t xml:space="preserve">Consultation de la référence et paiement par monnaie mobile</w:t>
            </w:r>
          </w:p>
        </w:tc>
        <w:tc>
          <w:tcPr/>
          <w:p>
            <w:pPr>
              <w:pStyle w:val="Compact"/>
            </w:pPr>
            <w:r>
              <w:rPr>
                <w:sz w:val="17"/>
              </w:rPr>
              <w:t xml:space="preserve">Code court officiel unique</w:t>
            </w:r>
          </w:p>
        </w:tc>
      </w:tr>
      <w:tr>
        <w:tc>
          <w:tcPr>
            <w:shd w:val="clear" w:color="auto" w:fill="F5F7FB"/>
          </w:tcPr>
          <w:p>
            <w:pPr>
              <w:pStyle w:val="Compact"/>
            </w:pPr>
            <w:r>
              <w:rPr>
                <w:sz w:val="17"/>
              </w:rPr>
              <w:t xml:space="preserve">QR</w:t>
            </w:r>
          </w:p>
        </w:tc>
        <w:tc>
          <w:tcPr>
            <w:shd w:val="clear" w:color="auto" w:fill="F5F7FB"/>
          </w:tcPr>
          <w:p>
            <w:pPr>
              <w:pStyle w:val="Compact"/>
            </w:pPr>
            <w:r>
              <w:rPr>
                <w:sz w:val="17"/>
              </w:rPr>
              <w:t xml:space="preserve">QR de paiement sur l’avis (norme d’interopérabilité si disponible)</w:t>
            </w:r>
          </w:p>
        </w:tc>
        <w:tc>
          <w:tcPr>
            <w:shd w:val="clear" w:color="auto" w:fill="F5F7FB"/>
          </w:tcPr>
          <w:p>
            <w:pPr>
              <w:pStyle w:val="Compact"/>
            </w:pPr>
            <w:r>
              <w:rPr>
                <w:sz w:val="17"/>
              </w:rPr>
              <w:t xml:space="preserve">Référence et montant non modifiables</w:t>
            </w:r>
          </w:p>
        </w:tc>
      </w:tr>
      <w:tr>
        <w:tc>
          <w:tcPr/>
          <w:p>
            <w:pPr>
              <w:pStyle w:val="Compact"/>
            </w:pPr>
            <w:r>
              <w:rPr>
                <w:sz w:val="17"/>
              </w:rPr>
              <w:t xml:space="preserve">Virement</w:t>
            </w:r>
          </w:p>
        </w:tc>
        <w:tc>
          <w:tcPr/>
          <w:p>
            <w:pPr>
              <w:pStyle w:val="Compact"/>
            </w:pPr>
            <w:r>
              <w:rPr>
                <w:sz w:val="17"/>
              </w:rPr>
              <w:t xml:space="preserve">Grandes entreprises, administrations</w:t>
            </w:r>
          </w:p>
        </w:tc>
        <w:tc>
          <w:tcPr/>
          <w:p>
            <w:pPr>
              <w:pStyle w:val="Compact"/>
            </w:pPr>
            <w:r>
              <w:rPr>
                <w:sz w:val="17"/>
              </w:rPr>
              <w:t xml:space="preserve">Référence obligatoire dans le libellé</w:t>
            </w:r>
          </w:p>
        </w:tc>
      </w:tr>
      <w:tr>
        <w:tc>
          <w:tcPr>
            <w:shd w:val="clear" w:color="auto" w:fill="F5F7FB"/>
          </w:tcPr>
          <w:p>
            <w:pPr>
              <w:pStyle w:val="Compact"/>
            </w:pPr>
            <w:r>
              <w:rPr>
                <w:sz w:val="17"/>
              </w:rPr>
              <w:t xml:space="preserve">Autres canaux légalement autorisés</w:t>
            </w:r>
          </w:p>
        </w:tc>
        <w:tc>
          <w:tcPr>
            <w:shd w:val="clear" w:color="auto" w:fill="F5F7FB"/>
          </w:tcPr>
          <w:p>
            <w:pPr>
              <w:pStyle w:val="Compact"/>
            </w:pPr>
            <w:r>
              <w:rPr>
                <w:sz w:val="17"/>
              </w:rPr>
              <w:t xml:space="preserve">Selon agrément</w:t>
            </w:r>
          </w:p>
        </w:tc>
        <w:tc>
          <w:tcPr>
            <w:shd w:val="clear" w:color="auto" w:fill="F5F7FB"/>
          </w:tcPr>
          <w:p>
            <w:pPr>
              <w:pStyle w:val="Compact"/>
            </w:pPr>
            <w:r>
              <w:rPr>
                <w:sz w:val="17"/>
              </w:rPr>
              <w:t xml:space="preserve">Connecteur activé seulement sur preuve d’agrément (J9)</w:t>
            </w:r>
          </w:p>
        </w:tc>
      </w:tr>
    </w:tbl>
    <w:p>
      <w:pPr>
        <w:pStyle w:val="CaptionedFigure"/>
      </w:pPr>
      <w:r>
        <w:drawing>
          <wp:inline>
            <wp:extent cx="6108700" cy="2632339"/>
            <wp:effectExtent b="0" l="0" r="0" t="0"/>
            <wp:docPr descr="Monnaie mobile en RDC" title="" id="180" name="Picture"/>
            <a:graphic>
              <a:graphicData uri="http://schemas.openxmlformats.org/drawingml/2006/picture">
                <pic:pic>
                  <pic:nvPicPr>
                    <pic:cNvPr descr="figures/fig-mobile-money.png" id="181" name="Picture"/>
                    <pic:cNvPicPr>
                      <a:picLocks noChangeArrowheads="1" noChangeAspect="1"/>
                    </pic:cNvPicPr>
                  </pic:nvPicPr>
                  <pic:blipFill>
                    <a:blip r:embed="rId179"/>
                    <a:stretch>
                      <a:fillRect/>
                    </a:stretch>
                  </pic:blipFill>
                  <pic:spPr bwMode="auto">
                    <a:xfrm>
                      <a:off x="0" y="0"/>
                      <a:ext cx="6108700" cy="2632339"/>
                    </a:xfrm>
                    <a:prstGeom prst="rect">
                      <a:avLst/>
                    </a:prstGeom>
                    <a:noFill/>
                    <a:ln w="9525">
                      <a:noFill/>
                      <a:headEnd/>
                      <a:tailEnd/>
                    </a:ln>
                  </pic:spPr>
                </pic:pic>
              </a:graphicData>
            </a:graphic>
          </wp:inline>
        </w:drawing>
      </w:r>
    </w:p>
    <w:p>
      <w:pPr>
        <w:pStyle w:val="ImageCaption"/>
      </w:pPr>
      <w:r>
        <w:t xml:space="preserve">Monnaie mobile en RDC</w:t>
      </w:r>
    </w:p>
    <w:bookmarkEnd w:id="182"/>
    <w:bookmarkStart w:id="186" w:name="cycle-de-vie-complet"/>
    <w:p>
      <w:pPr>
        <w:pStyle w:val="Heading2"/>
      </w:pPr>
      <w:r>
        <w:t xml:space="preserve">18.3 Cycle de vie complet</w:t>
      </w:r>
    </w:p>
    <w:p>
      <w:pPr>
        <w:pStyle w:val="FirstParagraph"/>
      </w:pPr>
      <w:r>
        <w:drawing>
          <wp:inline>
            <wp:extent cx="6108700" cy="2485555"/>
            <wp:effectExtent b="0" l="0" r="0" t="0"/>
            <wp:docPr descr="" title="" id="184" name="Picture"/>
            <a:graphic>
              <a:graphicData uri="http://schemas.openxmlformats.org/drawingml/2006/picture">
                <pic:pic>
                  <pic:nvPicPr>
                    <pic:cNvPr descr="figures/mermaid/mmd-0addbc669f48.png" id="185" name="Picture"/>
                    <pic:cNvPicPr>
                      <a:picLocks noChangeArrowheads="1" noChangeAspect="1"/>
                    </pic:cNvPicPr>
                  </pic:nvPicPr>
                  <pic:blipFill>
                    <a:blip r:embed="rId183"/>
                    <a:stretch>
                      <a:fillRect/>
                    </a:stretch>
                  </pic:blipFill>
                  <pic:spPr bwMode="auto">
                    <a:xfrm>
                      <a:off x="0" y="0"/>
                      <a:ext cx="6108700" cy="2485555"/>
                    </a:xfrm>
                    <a:prstGeom prst="rect">
                      <a:avLst/>
                    </a:prstGeom>
                    <a:noFill/>
                    <a:ln w="9525">
                      <a:noFill/>
                      <a:headEnd/>
                      <a:tailEnd/>
                    </a:ln>
                  </pic:spPr>
                </pic:pic>
              </a:graphicData>
            </a:graphic>
          </wp:inline>
        </w:drawing>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w:t>
            </w:r>
          </w:p>
        </w:tc>
        <w:tc>
          <w:tcPr>
            <w:shd w:val="clear" w:color="auto" w:fill="232C6B"/>
          </w:tcPr>
          <w:p>
            <w:pPr>
              <w:pStyle w:val="Compact"/>
            </w:pPr>
            <w:r>
              <w:rPr>
                <w:b/>
                <w:color w:val="FFFFFF"/>
                <w:sz w:val="17"/>
              </w:rPr>
              <w:t xml:space="preserve">Étape</w:t>
            </w:r>
          </w:p>
        </w:tc>
        <w:tc>
          <w:tcPr>
            <w:shd w:val="clear" w:color="auto" w:fill="232C6B"/>
          </w:tcPr>
          <w:p>
            <w:pPr>
              <w:pStyle w:val="Compact"/>
            </w:pPr>
            <w:r>
              <w:rPr>
                <w:b/>
                <w:color w:val="FFFFFF"/>
                <w:sz w:val="17"/>
              </w:rPr>
              <w:t xml:space="preserve">Données produites</w:t>
            </w:r>
          </w:p>
        </w:tc>
        <w:tc>
          <w:tcPr>
            <w:shd w:val="clear" w:color="auto" w:fill="232C6B"/>
          </w:tcPr>
          <w:p>
            <w:pPr>
              <w:pStyle w:val="Compact"/>
            </w:pPr>
            <w:r>
              <w:rPr>
                <w:b/>
                <w:color w:val="FFFFFF"/>
                <w:sz w:val="17"/>
              </w:rPr>
              <w:t xml:space="preserve">Contrôle</w:t>
            </w:r>
          </w:p>
        </w:tc>
      </w:tr>
      <w:tr>
        <w:tc>
          <w:tcPr/>
          <w:p>
            <w:pPr>
              <w:pStyle w:val="Compact"/>
            </w:pPr>
            <w:r>
              <w:rPr>
                <w:sz w:val="17"/>
              </w:rPr>
              <w:t xml:space="preserve">1</w:t>
            </w:r>
          </w:p>
        </w:tc>
        <w:tc>
          <w:tcPr/>
          <w:p>
            <w:pPr>
              <w:pStyle w:val="Compact"/>
            </w:pPr>
            <w:r>
              <w:rPr>
                <w:sz w:val="17"/>
              </w:rPr>
              <w:t xml:space="preserve">Création de l’obligation</w:t>
            </w:r>
          </w:p>
        </w:tc>
        <w:tc>
          <w:tcPr/>
          <w:p>
            <w:pPr>
              <w:pStyle w:val="Compact"/>
            </w:pPr>
            <w:r>
              <w:rPr>
                <w:sz w:val="17"/>
              </w:rPr>
              <w:t xml:space="preserve">Obligation, version de règle</w:t>
            </w:r>
          </w:p>
        </w:tc>
        <w:tc>
          <w:tcPr/>
          <w:p>
            <w:pPr>
              <w:pStyle w:val="Compact"/>
            </w:pPr>
            <w:r>
              <w:rPr>
                <w:sz w:val="17"/>
              </w:rPr>
              <w:t xml:space="preserve">Règle active</w:t>
            </w:r>
          </w:p>
        </w:tc>
      </w:tr>
      <w:tr>
        <w:tc>
          <w:tcPr>
            <w:shd w:val="clear" w:color="auto" w:fill="F5F7FB"/>
          </w:tcPr>
          <w:p>
            <w:pPr>
              <w:pStyle w:val="Compact"/>
            </w:pPr>
            <w:r>
              <w:rPr>
                <w:sz w:val="17"/>
              </w:rPr>
              <w:t xml:space="preserve">2</w:t>
            </w:r>
          </w:p>
        </w:tc>
        <w:tc>
          <w:tcPr>
            <w:shd w:val="clear" w:color="auto" w:fill="F5F7FB"/>
          </w:tcPr>
          <w:p>
            <w:pPr>
              <w:pStyle w:val="Compact"/>
            </w:pPr>
            <w:r>
              <w:rPr>
                <w:sz w:val="17"/>
              </w:rPr>
              <w:t xml:space="preserve">Avis de paiement</w:t>
            </w:r>
          </w:p>
        </w:tc>
        <w:tc>
          <w:tcPr>
            <w:shd w:val="clear" w:color="auto" w:fill="F5F7FB"/>
          </w:tcPr>
          <w:p>
            <w:pPr>
              <w:pStyle w:val="Compact"/>
            </w:pPr>
            <w:r>
              <w:rPr>
                <w:sz w:val="17"/>
              </w:rPr>
              <w:t xml:space="preserve">Avis signé</w:t>
            </w:r>
          </w:p>
        </w:tc>
        <w:tc>
          <w:tcPr>
            <w:shd w:val="clear" w:color="auto" w:fill="F5F7FB"/>
          </w:tcPr>
          <w:p>
            <w:pPr>
              <w:pStyle w:val="Compact"/>
            </w:pPr>
            <w:r>
              <w:rPr>
                <w:sz w:val="17"/>
              </w:rPr>
              <w:t xml:space="preserve">Mentions légales</w:t>
            </w:r>
          </w:p>
        </w:tc>
      </w:tr>
      <w:tr>
        <w:tc>
          <w:tcPr/>
          <w:p>
            <w:pPr>
              <w:pStyle w:val="Compact"/>
            </w:pPr>
            <w:r>
              <w:rPr>
                <w:sz w:val="17"/>
              </w:rPr>
              <w:t xml:space="preserve">3</w:t>
            </w:r>
          </w:p>
        </w:tc>
        <w:tc>
          <w:tcPr/>
          <w:p>
            <w:pPr>
              <w:pStyle w:val="Compact"/>
            </w:pPr>
            <w:r>
              <w:rPr>
                <w:sz w:val="17"/>
              </w:rPr>
              <w:t xml:space="preserve">Référence unique</w:t>
            </w:r>
          </w:p>
        </w:tc>
        <w:tc>
          <w:tcPr/>
          <w:p>
            <w:pPr>
              <w:pStyle w:val="Compact"/>
            </w:pPr>
            <w:r>
              <w:rPr>
                <w:rStyle w:val="VerbatimChar"/>
                <w:sz w:val="17"/>
              </w:rPr>
              <w:t xml:space="preserve">payment_reference</w:t>
            </w:r>
            <w:r>
              <w:rPr>
                <w:sz w:val="17"/>
              </w:rPr>
              <w:t xml:space="preserve"> </w:t>
            </w:r>
            <w:r>
              <w:rPr>
                <w:sz w:val="17"/>
              </w:rPr>
              <w:t xml:space="preserve">(clé de contrôle, expiration)</w:t>
            </w:r>
          </w:p>
        </w:tc>
        <w:tc>
          <w:tcPr/>
          <w:p>
            <w:pPr>
              <w:pStyle w:val="Compact"/>
            </w:pPr>
            <w:r>
              <w:rPr>
                <w:sz w:val="17"/>
              </w:rPr>
              <w:t xml:space="preserve">Montant figé ; une référence = une obligation (ou un panier explicite)</w:t>
            </w:r>
          </w:p>
        </w:tc>
      </w:tr>
      <w:tr>
        <w:tc>
          <w:tcPr>
            <w:shd w:val="clear" w:color="auto" w:fill="F5F7FB"/>
          </w:tcPr>
          <w:p>
            <w:pPr>
              <w:pStyle w:val="Compact"/>
            </w:pPr>
            <w:r>
              <w:rPr>
                <w:sz w:val="17"/>
              </w:rPr>
              <w:t xml:space="preserve">4</w:t>
            </w:r>
          </w:p>
        </w:tc>
        <w:tc>
          <w:tcPr>
            <w:shd w:val="clear" w:color="auto" w:fill="F5F7FB"/>
          </w:tcPr>
          <w:p>
            <w:pPr>
              <w:pStyle w:val="Compact"/>
            </w:pPr>
            <w:r>
              <w:rPr>
                <w:sz w:val="17"/>
              </w:rPr>
              <w:t xml:space="preserve">Choix du canal</w:t>
            </w:r>
          </w:p>
        </w:tc>
        <w:tc>
          <w:tcPr>
            <w:shd w:val="clear" w:color="auto" w:fill="F5F7FB"/>
          </w:tcPr>
          <w:p>
            <w:pPr>
              <w:pStyle w:val="Compact"/>
            </w:pPr>
            <w:r>
              <w:rPr>
                <w:sz w:val="17"/>
              </w:rPr>
              <w:t xml:space="preserve">Canal</w:t>
            </w:r>
          </w:p>
        </w:tc>
        <w:tc>
          <w:tcPr>
            <w:shd w:val="clear" w:color="auto" w:fill="F5F7FB"/>
          </w:tcPr>
          <w:p>
            <w:pPr>
              <w:pStyle w:val="Compact"/>
            </w:pPr>
            <w:r>
              <w:rPr>
                <w:sz w:val="17"/>
              </w:rPr>
              <w:t xml:space="preserve">Canal activé</w:t>
            </w:r>
          </w:p>
        </w:tc>
      </w:tr>
      <w:tr>
        <w:tc>
          <w:tcPr/>
          <w:p>
            <w:pPr>
              <w:pStyle w:val="Compact"/>
            </w:pPr>
            <w:r>
              <w:rPr>
                <w:sz w:val="17"/>
              </w:rPr>
              <w:t xml:space="preserve">5</w:t>
            </w:r>
          </w:p>
        </w:tc>
        <w:tc>
          <w:tcPr/>
          <w:p>
            <w:pPr>
              <w:pStyle w:val="Compact"/>
            </w:pPr>
            <w:r>
              <w:rPr>
                <w:sz w:val="17"/>
              </w:rPr>
              <w:t xml:space="preserve">Initiation</w:t>
            </w:r>
          </w:p>
        </w:tc>
        <w:tc>
          <w:tcPr/>
          <w:p>
            <w:pPr>
              <w:pStyle w:val="Compact"/>
            </w:pPr>
            <w:r>
              <w:rPr>
                <w:sz w:val="17"/>
              </w:rPr>
              <w:t xml:space="preserve">Ordre de paiement</w:t>
            </w:r>
          </w:p>
        </w:tc>
        <w:tc>
          <w:tcPr/>
          <w:p>
            <w:pPr>
              <w:pStyle w:val="Compact"/>
            </w:pPr>
            <w:r>
              <w:rPr>
                <w:sz w:val="17"/>
              </w:rPr>
              <w:t xml:space="preserve">Idempotence</w:t>
            </w:r>
          </w:p>
        </w:tc>
      </w:tr>
      <w:tr>
        <w:tc>
          <w:tcPr>
            <w:shd w:val="clear" w:color="auto" w:fill="F5F7FB"/>
          </w:tcPr>
          <w:p>
            <w:pPr>
              <w:pStyle w:val="Compact"/>
            </w:pPr>
            <w:r>
              <w:rPr>
                <w:sz w:val="17"/>
              </w:rPr>
              <w:t xml:space="preserve">6</w:t>
            </w:r>
          </w:p>
        </w:tc>
        <w:tc>
          <w:tcPr>
            <w:shd w:val="clear" w:color="auto" w:fill="F5F7FB"/>
          </w:tcPr>
          <w:p>
            <w:pPr>
              <w:pStyle w:val="Compact"/>
            </w:pPr>
            <w:r>
              <w:rPr>
                <w:sz w:val="17"/>
              </w:rPr>
              <w:t xml:space="preserve">Confirmation du prestataire</w:t>
            </w:r>
          </w:p>
        </w:tc>
        <w:tc>
          <w:tcPr>
            <w:shd w:val="clear" w:color="auto" w:fill="F5F7FB"/>
          </w:tcPr>
          <w:p>
            <w:pPr>
              <w:pStyle w:val="Compact"/>
            </w:pPr>
            <w:r>
              <w:rPr>
                <w:sz w:val="17"/>
              </w:rPr>
              <w:t xml:space="preserve">Événement signé</w:t>
            </w:r>
          </w:p>
        </w:tc>
        <w:tc>
          <w:tcPr>
            <w:shd w:val="clear" w:color="auto" w:fill="F5F7FB"/>
          </w:tcPr>
          <w:p>
            <w:pPr>
              <w:pStyle w:val="Compact"/>
            </w:pPr>
            <w:r>
              <w:rPr>
                <w:sz w:val="17"/>
              </w:rPr>
              <w:t xml:space="preserve">Signature, anti-rejeu, montant</w:t>
            </w:r>
          </w:p>
        </w:tc>
      </w:tr>
      <w:tr>
        <w:tc>
          <w:tcPr/>
          <w:p>
            <w:pPr>
              <w:pStyle w:val="Compact"/>
            </w:pPr>
            <w:r>
              <w:rPr>
                <w:sz w:val="17"/>
              </w:rPr>
              <w:t xml:space="preserve">7</w:t>
            </w:r>
          </w:p>
        </w:tc>
        <w:tc>
          <w:tcPr/>
          <w:p>
            <w:pPr>
              <w:pStyle w:val="Compact"/>
            </w:pPr>
            <w:r>
              <w:rPr>
                <w:sz w:val="17"/>
              </w:rPr>
              <w:t xml:space="preserve">Règlement en compte public</w:t>
            </w:r>
          </w:p>
        </w:tc>
        <w:tc>
          <w:tcPr/>
          <w:p>
            <w:pPr>
              <w:pStyle w:val="Compact"/>
            </w:pPr>
            <w:r>
              <w:rPr>
                <w:sz w:val="17"/>
              </w:rPr>
              <w:t xml:space="preserve">Ligne de relevé</w:t>
            </w:r>
          </w:p>
        </w:tc>
        <w:tc>
          <w:tcPr/>
          <w:p>
            <w:pPr>
              <w:pStyle w:val="Compact"/>
            </w:pPr>
            <w:r>
              <w:rPr>
                <w:sz w:val="17"/>
              </w:rPr>
              <w:t xml:space="preserve">Compte = alias du coffre</w:t>
            </w:r>
          </w:p>
        </w:tc>
      </w:tr>
      <w:tr>
        <w:tc>
          <w:tcPr>
            <w:shd w:val="clear" w:color="auto" w:fill="F5F7FB"/>
          </w:tcPr>
          <w:p>
            <w:pPr>
              <w:pStyle w:val="Compact"/>
            </w:pPr>
            <w:r>
              <w:rPr>
                <w:sz w:val="17"/>
              </w:rPr>
              <w:t xml:space="preserve">8</w:t>
            </w:r>
          </w:p>
        </w:tc>
        <w:tc>
          <w:tcPr>
            <w:shd w:val="clear" w:color="auto" w:fill="F5F7FB"/>
          </w:tcPr>
          <w:p>
            <w:pPr>
              <w:pStyle w:val="Compact"/>
            </w:pPr>
            <w:r>
              <w:rPr>
                <w:sz w:val="17"/>
              </w:rPr>
              <w:t xml:space="preserve">Rapprochement</w:t>
            </w:r>
          </w:p>
        </w:tc>
        <w:tc>
          <w:tcPr>
            <w:shd w:val="clear" w:color="auto" w:fill="F5F7FB"/>
          </w:tcPr>
          <w:p>
            <w:pPr>
              <w:pStyle w:val="Compact"/>
            </w:pPr>
            <w:r>
              <w:rPr>
                <w:sz w:val="17"/>
              </w:rPr>
              <w:t xml:space="preserve">Correspondance</w:t>
            </w:r>
          </w:p>
        </w:tc>
        <w:tc>
          <w:tcPr>
            <w:shd w:val="clear" w:color="auto" w:fill="F5F7FB"/>
          </w:tcPr>
          <w:p>
            <w:pPr>
              <w:pStyle w:val="Compact"/>
            </w:pPr>
            <w:r>
              <w:rPr>
                <w:sz w:val="17"/>
              </w:rPr>
              <w:t xml:space="preserve">Tolérances définies</w:t>
            </w:r>
          </w:p>
        </w:tc>
      </w:tr>
      <w:tr>
        <w:tc>
          <w:tcPr/>
          <w:p>
            <w:pPr>
              <w:pStyle w:val="Compact"/>
            </w:pPr>
            <w:r>
              <w:rPr>
                <w:sz w:val="17"/>
              </w:rPr>
              <w:t xml:space="preserve">9</w:t>
            </w:r>
          </w:p>
        </w:tc>
        <w:tc>
          <w:tcPr/>
          <w:p>
            <w:pPr>
              <w:pStyle w:val="Compact"/>
            </w:pPr>
            <w:r>
              <w:rPr>
                <w:sz w:val="17"/>
              </w:rPr>
              <w:t xml:space="preserve">Comptabilisation définitive</w:t>
            </w:r>
          </w:p>
        </w:tc>
        <w:tc>
          <w:tcPr/>
          <w:p>
            <w:pPr>
              <w:pStyle w:val="Compact"/>
            </w:pPr>
            <w:r>
              <w:rPr>
                <w:sz w:val="17"/>
              </w:rPr>
              <w:t xml:space="preserve">Écritures</w:t>
            </w:r>
          </w:p>
        </w:tc>
        <w:tc>
          <w:tcPr/>
          <w:p>
            <w:pPr>
              <w:pStyle w:val="Compact"/>
            </w:pPr>
            <w:r>
              <w:rPr>
                <w:sz w:val="17"/>
              </w:rPr>
              <w:t xml:space="preserve">Équilibre débit/crédit</w:t>
            </w:r>
          </w:p>
        </w:tc>
      </w:tr>
      <w:tr>
        <w:tc>
          <w:tcPr>
            <w:shd w:val="clear" w:color="auto" w:fill="F5F7FB"/>
          </w:tcPr>
          <w:p>
            <w:pPr>
              <w:pStyle w:val="Compact"/>
            </w:pPr>
            <w:r>
              <w:rPr>
                <w:sz w:val="17"/>
              </w:rPr>
              <w:t xml:space="preserve">10</w:t>
            </w:r>
          </w:p>
        </w:tc>
        <w:tc>
          <w:tcPr>
            <w:shd w:val="clear" w:color="auto" w:fill="F5F7FB"/>
          </w:tcPr>
          <w:p>
            <w:pPr>
              <w:pStyle w:val="Compact"/>
            </w:pPr>
            <w:r>
              <w:rPr>
                <w:sz w:val="17"/>
              </w:rPr>
              <w:t xml:space="preserve">Quittance électronique</w:t>
            </w:r>
          </w:p>
        </w:tc>
        <w:tc>
          <w:tcPr>
            <w:shd w:val="clear" w:color="auto" w:fill="F5F7FB"/>
          </w:tcPr>
          <w:p>
            <w:pPr>
              <w:pStyle w:val="Compact"/>
            </w:pPr>
            <w:r>
              <w:rPr>
                <w:sz w:val="17"/>
              </w:rPr>
              <w:t xml:space="preserve">Quittance signée</w:t>
            </w:r>
          </w:p>
        </w:tc>
        <w:tc>
          <w:tcPr>
            <w:shd w:val="clear" w:color="auto" w:fill="F5F7FB"/>
          </w:tcPr>
          <w:p>
            <w:pPr>
              <w:pStyle w:val="Compact"/>
            </w:pPr>
            <w:r>
              <w:rPr>
                <w:sz w:val="17"/>
              </w:rPr>
              <w:t xml:space="preserve">État autorisé</w:t>
            </w:r>
          </w:p>
        </w:tc>
      </w:tr>
      <w:tr>
        <w:tc>
          <w:tcPr/>
          <w:p>
            <w:pPr>
              <w:pStyle w:val="Compact"/>
            </w:pPr>
            <w:r>
              <w:rPr>
                <w:sz w:val="17"/>
              </w:rPr>
              <w:t xml:space="preserve">11</w:t>
            </w:r>
          </w:p>
        </w:tc>
        <w:tc>
          <w:tcPr/>
          <w:p>
            <w:pPr>
              <w:pStyle w:val="Compact"/>
            </w:pPr>
            <w:r>
              <w:rPr>
                <w:sz w:val="17"/>
              </w:rPr>
              <w:t xml:space="preserve">Traitement des exceptions</w:t>
            </w:r>
          </w:p>
        </w:tc>
        <w:tc>
          <w:tcPr/>
          <w:p>
            <w:pPr>
              <w:pStyle w:val="Compact"/>
            </w:pPr>
            <w:r>
              <w:rPr>
                <w:sz w:val="17"/>
              </w:rPr>
              <w:t xml:space="preserve">Dossier d’exception</w:t>
            </w:r>
          </w:p>
        </w:tc>
        <w:tc>
          <w:tcPr/>
          <w:p>
            <w:pPr>
              <w:pStyle w:val="Compact"/>
            </w:pPr>
            <w:r>
              <w:rPr>
                <w:sz w:val="17"/>
              </w:rPr>
              <w:t xml:space="preserve">Quatre yeux</w:t>
            </w:r>
          </w:p>
        </w:tc>
      </w:tr>
      <w:tr>
        <w:tc>
          <w:tcPr>
            <w:shd w:val="clear" w:color="auto" w:fill="F5F7FB"/>
          </w:tcPr>
          <w:p>
            <w:pPr>
              <w:pStyle w:val="Compact"/>
            </w:pPr>
            <w:r>
              <w:rPr>
                <w:sz w:val="17"/>
              </w:rPr>
              <w:t xml:space="preserve">12</w:t>
            </w:r>
          </w:p>
        </w:tc>
        <w:tc>
          <w:tcPr>
            <w:shd w:val="clear" w:color="auto" w:fill="F5F7FB"/>
          </w:tcPr>
          <w:p>
            <w:pPr>
              <w:pStyle w:val="Compact"/>
            </w:pPr>
            <w:r>
              <w:rPr>
                <w:sz w:val="17"/>
              </w:rPr>
              <w:t xml:space="preserve">Remboursement ou contrepassement</w:t>
            </w:r>
          </w:p>
        </w:tc>
        <w:tc>
          <w:tcPr>
            <w:shd w:val="clear" w:color="auto" w:fill="F5F7FB"/>
          </w:tcPr>
          <w:p>
            <w:pPr>
              <w:pStyle w:val="Compact"/>
            </w:pPr>
            <w:r>
              <w:rPr>
                <w:sz w:val="17"/>
              </w:rPr>
              <w:t xml:space="preserve">Écritures inverses</w:t>
            </w:r>
          </w:p>
        </w:tc>
        <w:tc>
          <w:tcPr>
            <w:shd w:val="clear" w:color="auto" w:fill="F5F7FB"/>
          </w:tcPr>
          <w:p>
            <w:pPr>
              <w:pStyle w:val="Compact"/>
            </w:pPr>
            <w:r>
              <w:rPr>
                <w:sz w:val="17"/>
              </w:rPr>
              <w:t xml:space="preserve">Double approbation, vers la source</w:t>
            </w:r>
          </w:p>
        </w:tc>
      </w:tr>
    </w:tbl>
    <w:bookmarkEnd w:id="186"/>
    <w:bookmarkStart w:id="190" w:name="états-distincts-du-paiement"/>
    <w:p>
      <w:pPr>
        <w:pStyle w:val="Heading2"/>
      </w:pPr>
      <w:r>
        <w:t xml:space="preserve">18.4 États distincts du paiement</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État</w:t>
            </w:r>
          </w:p>
        </w:tc>
        <w:tc>
          <w:tcPr>
            <w:shd w:val="clear" w:color="auto" w:fill="232C6B"/>
          </w:tcPr>
          <w:p>
            <w:pPr>
              <w:pStyle w:val="Compact"/>
            </w:pPr>
            <w:r>
              <w:rPr>
                <w:b/>
                <w:color w:val="FFFFFF"/>
                <w:sz w:val="17"/>
              </w:rPr>
              <w:t xml:space="preserve">Définition</w:t>
            </w:r>
          </w:p>
        </w:tc>
        <w:tc>
          <w:tcPr>
            <w:shd w:val="clear" w:color="auto" w:fill="232C6B"/>
          </w:tcPr>
          <w:p>
            <w:pPr>
              <w:pStyle w:val="Compact"/>
            </w:pPr>
            <w:r>
              <w:rPr>
                <w:b/>
                <w:color w:val="FFFFFF"/>
                <w:sz w:val="17"/>
              </w:rPr>
              <w:t xml:space="preserve">Quittance</w:t>
            </w:r>
          </w:p>
        </w:tc>
      </w:tr>
      <w:tr>
        <w:tc>
          <w:tcPr/>
          <w:p>
            <w:pPr>
              <w:pStyle w:val="Compact"/>
            </w:pPr>
            <w:r>
              <w:rPr>
                <w:rStyle w:val="VerbatimChar"/>
                <w:sz w:val="17"/>
              </w:rPr>
              <w:t xml:space="preserve">INITIE</w:t>
            </w:r>
          </w:p>
        </w:tc>
        <w:tc>
          <w:tcPr/>
          <w:p>
            <w:pPr>
              <w:pStyle w:val="Compact"/>
            </w:pPr>
            <w:r>
              <w:rPr>
                <w:sz w:val="17"/>
              </w:rPr>
              <w:t xml:space="preserve">Ordre créé, référence émise</w:t>
            </w:r>
          </w:p>
        </w:tc>
        <w:tc>
          <w:tcPr/>
          <w:p>
            <w:pPr>
              <w:pStyle w:val="Compact"/>
            </w:pPr>
            <w:r>
              <w:rPr>
                <w:sz w:val="17"/>
              </w:rPr>
              <w:t xml:space="preserve">Aucune</w:t>
            </w:r>
          </w:p>
        </w:tc>
      </w:tr>
      <w:tr>
        <w:tc>
          <w:tcPr>
            <w:shd w:val="clear" w:color="auto" w:fill="F5F7FB"/>
          </w:tcPr>
          <w:p>
            <w:pPr>
              <w:pStyle w:val="Compact"/>
            </w:pPr>
            <w:r>
              <w:rPr>
                <w:rStyle w:val="VerbatimChar"/>
                <w:sz w:val="17"/>
              </w:rPr>
              <w:t xml:space="preserve">CONFIRME</w:t>
            </w:r>
          </w:p>
        </w:tc>
        <w:tc>
          <w:tcPr>
            <w:shd w:val="clear" w:color="auto" w:fill="F5F7FB"/>
          </w:tcPr>
          <w:p>
            <w:pPr>
              <w:pStyle w:val="Compact"/>
            </w:pPr>
            <w:r>
              <w:rPr>
                <w:sz w:val="17"/>
              </w:rPr>
              <w:t xml:space="preserve">Confirmation signée et vérifiée du prestataire</w:t>
            </w:r>
          </w:p>
        </w:tc>
        <w:tc>
          <w:tcPr>
            <w:shd w:val="clear" w:color="auto" w:fill="F5F7FB"/>
          </w:tcPr>
          <w:p>
            <w:pPr>
              <w:pStyle w:val="Compact"/>
            </w:pPr>
            <w:r>
              <w:rPr>
                <w:sz w:val="17"/>
              </w:rPr>
              <w:t xml:space="preserve">Provisoire (« en attente de règlement »)</w:t>
            </w:r>
          </w:p>
        </w:tc>
      </w:tr>
      <w:tr>
        <w:tc>
          <w:tcPr/>
          <w:p>
            <w:pPr>
              <w:pStyle w:val="Compact"/>
            </w:pPr>
            <w:r>
              <w:rPr>
                <w:rStyle w:val="VerbatimChar"/>
                <w:sz w:val="17"/>
              </w:rPr>
              <w:t xml:space="preserve">REGLE</w:t>
            </w:r>
          </w:p>
        </w:tc>
        <w:tc>
          <w:tcPr/>
          <w:p>
            <w:pPr>
              <w:pStyle w:val="Compact"/>
            </w:pPr>
            <w:r>
              <w:rPr>
                <w:sz w:val="17"/>
              </w:rPr>
              <w:t xml:space="preserve">Crédit constaté sur le compte public</w:t>
            </w:r>
          </w:p>
        </w:tc>
        <w:tc>
          <w:tcPr/>
          <w:p>
            <w:pPr>
              <w:pStyle w:val="Compact"/>
            </w:pPr>
            <w:r>
              <w:rPr>
                <w:sz w:val="17"/>
              </w:rPr>
              <w:t xml:space="preserve">Provisoire</w:t>
            </w:r>
          </w:p>
        </w:tc>
      </w:tr>
      <w:tr>
        <w:tc>
          <w:tcPr>
            <w:shd w:val="clear" w:color="auto" w:fill="F5F7FB"/>
          </w:tcPr>
          <w:p>
            <w:pPr>
              <w:pStyle w:val="Compact"/>
            </w:pPr>
            <w:r>
              <w:rPr>
                <w:rStyle w:val="VerbatimChar"/>
                <w:sz w:val="17"/>
              </w:rPr>
              <w:t xml:space="preserve">RAPPROCHE</w:t>
            </w:r>
          </w:p>
        </w:tc>
        <w:tc>
          <w:tcPr>
            <w:shd w:val="clear" w:color="auto" w:fill="F5F7FB"/>
          </w:tcPr>
          <w:p>
            <w:pPr>
              <w:pStyle w:val="Compact"/>
            </w:pPr>
            <w:r>
              <w:rPr>
                <w:sz w:val="17"/>
              </w:rPr>
              <w:t xml:space="preserve">Correspondance complète obligation–confirmation–crédit, écritures passées</w:t>
            </w:r>
          </w:p>
        </w:tc>
        <w:tc>
          <w:tcPr>
            <w:shd w:val="clear" w:color="auto" w:fill="F5F7FB"/>
          </w:tcPr>
          <w:p>
            <w:pPr>
              <w:pStyle w:val="Compact"/>
            </w:pPr>
            <w:r>
              <w:rPr>
                <w:b/>
                <w:bCs/>
                <w:sz w:val="17"/>
              </w:rPr>
              <w:t xml:space="preserve">Définitive</w:t>
            </w:r>
          </w:p>
        </w:tc>
      </w:tr>
      <w:tr>
        <w:tc>
          <w:tcPr/>
          <w:p>
            <w:pPr>
              <w:pStyle w:val="Compact"/>
            </w:pPr>
            <w:r>
              <w:rPr>
                <w:rStyle w:val="VerbatimChar"/>
                <w:sz w:val="17"/>
              </w:rPr>
              <w:t xml:space="preserve">ECHOUE</w:t>
            </w:r>
          </w:p>
        </w:tc>
        <w:tc>
          <w:tcPr/>
          <w:p>
            <w:pPr>
              <w:pStyle w:val="Compact"/>
            </w:pPr>
            <w:r>
              <w:rPr>
                <w:sz w:val="17"/>
              </w:rPr>
              <w:t xml:space="preserve">Refus ou expiration</w:t>
            </w:r>
          </w:p>
        </w:tc>
        <w:tc>
          <w:tcPr/>
          <w:p>
            <w:pPr>
              <w:pStyle w:val="Compact"/>
            </w:pPr>
            <w:r>
              <w:rPr>
                <w:sz w:val="17"/>
              </w:rPr>
              <w:t xml:space="preserve">Aucune</w:t>
            </w:r>
          </w:p>
        </w:tc>
      </w:tr>
      <w:tr>
        <w:tc>
          <w:tcPr>
            <w:shd w:val="clear" w:color="auto" w:fill="F5F7FB"/>
          </w:tcPr>
          <w:p>
            <w:pPr>
              <w:pStyle w:val="Compact"/>
            </w:pPr>
            <w:r>
              <w:rPr>
                <w:rStyle w:val="VerbatimChar"/>
                <w:sz w:val="17"/>
              </w:rPr>
              <w:t xml:space="preserve">DOUBLON</w:t>
            </w:r>
          </w:p>
        </w:tc>
        <w:tc>
          <w:tcPr>
            <w:shd w:val="clear" w:color="auto" w:fill="F5F7FB"/>
          </w:tcPr>
          <w:p>
            <w:pPr>
              <w:pStyle w:val="Compact"/>
            </w:pPr>
            <w:r>
              <w:rPr>
                <w:sz w:val="17"/>
              </w:rPr>
              <w:t xml:space="preserve">Deuxième paiement pour la même référence</w:t>
            </w:r>
          </w:p>
        </w:tc>
        <w:tc>
          <w:tcPr>
            <w:shd w:val="clear" w:color="auto" w:fill="F5F7FB"/>
          </w:tcPr>
          <w:p>
            <w:pPr>
              <w:pStyle w:val="Compact"/>
            </w:pPr>
            <w:r>
              <w:rPr>
                <w:sz w:val="17"/>
              </w:rPr>
              <w:t xml:space="preserve">Crédit ou remboursement selon règle</w:t>
            </w:r>
          </w:p>
        </w:tc>
      </w:tr>
      <w:tr>
        <w:tc>
          <w:tcPr/>
          <w:p>
            <w:pPr>
              <w:pStyle w:val="Compact"/>
            </w:pPr>
            <w:r>
              <w:rPr>
                <w:rStyle w:val="VerbatimChar"/>
                <w:sz w:val="17"/>
              </w:rPr>
              <w:t xml:space="preserve">CONTREPASSE</w:t>
            </w:r>
          </w:p>
        </w:tc>
        <w:tc>
          <w:tcPr/>
          <w:p>
            <w:pPr>
              <w:pStyle w:val="Compact"/>
            </w:pPr>
            <w:r>
              <w:rPr>
                <w:sz w:val="17"/>
              </w:rPr>
              <w:t xml:space="preserve">Annulation par le prestataire (fraude, erreur)</w:t>
            </w:r>
          </w:p>
        </w:tc>
        <w:tc>
          <w:tcPr/>
          <w:p>
            <w:pPr>
              <w:pStyle w:val="Compact"/>
            </w:pPr>
            <w:r>
              <w:rPr>
                <w:sz w:val="17"/>
              </w:rPr>
              <w:t xml:space="preserve">Quittance annulée, contre-écriture</w:t>
            </w:r>
          </w:p>
        </w:tc>
      </w:tr>
      <w:tr>
        <w:tc>
          <w:tcPr>
            <w:shd w:val="clear" w:color="auto" w:fill="F5F7FB"/>
          </w:tcPr>
          <w:p>
            <w:pPr>
              <w:pStyle w:val="Compact"/>
            </w:pPr>
            <w:r>
              <w:rPr>
                <w:rStyle w:val="VerbatimChar"/>
                <w:sz w:val="17"/>
              </w:rPr>
              <w:t xml:space="preserve">REMBOURSE</w:t>
            </w:r>
          </w:p>
        </w:tc>
        <w:tc>
          <w:tcPr>
            <w:shd w:val="clear" w:color="auto" w:fill="F5F7FB"/>
          </w:tcPr>
          <w:p>
            <w:pPr>
              <w:pStyle w:val="Compact"/>
            </w:pPr>
            <w:r>
              <w:rPr>
                <w:sz w:val="17"/>
              </w:rPr>
              <w:t xml:space="preserve">Restitution approuvée</w:t>
            </w:r>
          </w:p>
        </w:tc>
        <w:tc>
          <w:tcPr>
            <w:shd w:val="clear" w:color="auto" w:fill="F5F7FB"/>
          </w:tcPr>
          <w:p>
            <w:pPr>
              <w:pStyle w:val="Compact"/>
            </w:pPr>
            <w:r>
              <w:rPr>
                <w:sz w:val="17"/>
              </w:rPr>
              <w:t xml:space="preserve">Mention de remboursement</w:t>
            </w:r>
          </w:p>
        </w:tc>
      </w:tr>
      <w:tr>
        <w:tc>
          <w:tcPr/>
          <w:p>
            <w:pPr>
              <w:pStyle w:val="Compact"/>
            </w:pPr>
            <w:r>
              <w:rPr>
                <w:rStyle w:val="VerbatimChar"/>
                <w:sz w:val="17"/>
              </w:rPr>
              <w:t xml:space="preserve">CONTESTE</w:t>
            </w:r>
          </w:p>
        </w:tc>
        <w:tc>
          <w:tcPr/>
          <w:p>
            <w:pPr>
              <w:pStyle w:val="Compact"/>
            </w:pPr>
            <w:r>
              <w:rPr>
                <w:sz w:val="17"/>
              </w:rPr>
              <w:t xml:space="preserve">Litige ouvert (contribuable ou prestataire)</w:t>
            </w:r>
          </w:p>
        </w:tc>
        <w:tc>
          <w:tcPr/>
          <w:p>
            <w:pPr>
              <w:pStyle w:val="Compact"/>
            </w:pPr>
            <w:r>
              <w:rPr>
                <w:sz w:val="17"/>
              </w:rPr>
              <w:t xml:space="preserve">Statut « contesté »</w:t>
            </w:r>
          </w:p>
        </w:tc>
      </w:tr>
    </w:tbl>
    <w:p>
      <w:pPr>
        <w:pStyle w:val="BodyText"/>
      </w:pPr>
      <w:r>
        <w:drawing>
          <wp:inline>
            <wp:extent cx="6108700" cy="7539454"/>
            <wp:effectExtent b="0" l="0" r="0" t="0"/>
            <wp:docPr descr="" title="" id="188" name="Picture"/>
            <a:graphic>
              <a:graphicData uri="http://schemas.openxmlformats.org/drawingml/2006/picture">
                <pic:pic>
                  <pic:nvPicPr>
                    <pic:cNvPr descr="figures/mermaid/mmd-47181d1a4ab3.png" id="189" name="Picture"/>
                    <pic:cNvPicPr>
                      <a:picLocks noChangeArrowheads="1" noChangeAspect="1"/>
                    </pic:cNvPicPr>
                  </pic:nvPicPr>
                  <pic:blipFill>
                    <a:blip r:embed="rId187"/>
                    <a:stretch>
                      <a:fillRect/>
                    </a:stretch>
                  </pic:blipFill>
                  <pic:spPr bwMode="auto">
                    <a:xfrm>
                      <a:off x="0" y="0"/>
                      <a:ext cx="6108700" cy="7539454"/>
                    </a:xfrm>
                    <a:prstGeom prst="rect">
                      <a:avLst/>
                    </a:prstGeom>
                    <a:noFill/>
                    <a:ln w="9525">
                      <a:noFill/>
                      <a:headEnd/>
                      <a:tailEnd/>
                    </a:ln>
                  </pic:spPr>
                </pic:pic>
              </a:graphicData>
            </a:graphic>
          </wp:inline>
        </w:drawing>
      </w:r>
    </w:p>
    <w:bookmarkEnd w:id="190"/>
    <w:bookmarkStart w:id="191" w:name="protections-du-circuit"/>
    <w:p>
      <w:pPr>
        <w:pStyle w:val="Heading2"/>
      </w:pPr>
      <w:r>
        <w:t xml:space="preserve">18.5 Protections du circuit</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Menace</w:t>
            </w:r>
          </w:p>
        </w:tc>
        <w:tc>
          <w:tcPr>
            <w:shd w:val="clear" w:color="auto" w:fill="232C6B"/>
          </w:tcPr>
          <w:p>
            <w:pPr>
              <w:pStyle w:val="Compact"/>
            </w:pPr>
            <w:r>
              <w:rPr>
                <w:b/>
                <w:color w:val="FFFFFF"/>
                <w:sz w:val="17"/>
              </w:rPr>
              <w:t xml:space="preserve">Contre-mesure</w:t>
            </w:r>
          </w:p>
        </w:tc>
      </w:tr>
      <w:tr>
        <w:tc>
          <w:tcPr/>
          <w:p>
            <w:pPr>
              <w:pStyle w:val="Compact"/>
            </w:pPr>
            <w:r>
              <w:rPr>
                <w:sz w:val="17"/>
              </w:rPr>
              <w:t xml:space="preserve">Paiement en double</w:t>
            </w:r>
          </w:p>
        </w:tc>
        <w:tc>
          <w:tcPr/>
          <w:p>
            <w:pPr>
              <w:pStyle w:val="Compact"/>
            </w:pPr>
            <w:r>
              <w:rPr>
                <w:sz w:val="17"/>
              </w:rPr>
              <w:t xml:space="preserve">Clé d’idempotence par demande ; une référence ne peut être soldée qu’une fois ; tout excédent devient</w:t>
            </w:r>
            <w:r>
              <w:rPr>
                <w:sz w:val="17"/>
              </w:rPr>
              <w:t xml:space="preserve"> </w:t>
            </w:r>
            <w:r>
              <w:rPr>
                <w:rStyle w:val="VerbatimChar"/>
                <w:sz w:val="17"/>
              </w:rPr>
              <w:t xml:space="preserve">DOUBLON</w:t>
            </w:r>
            <w:r>
              <w:rPr>
                <w:sz w:val="17"/>
              </w:rPr>
              <w:t xml:space="preserve"> </w:t>
            </w:r>
            <w:r>
              <w:rPr>
                <w:sz w:val="17"/>
              </w:rPr>
              <w:t xml:space="preserve">traité par règle</w:t>
            </w:r>
          </w:p>
        </w:tc>
      </w:tr>
      <w:tr>
        <w:tc>
          <w:tcPr>
            <w:shd w:val="clear" w:color="auto" w:fill="F5F7FB"/>
          </w:tcPr>
          <w:p>
            <w:pPr>
              <w:pStyle w:val="Compact"/>
            </w:pPr>
            <w:r>
              <w:rPr>
                <w:sz w:val="17"/>
              </w:rPr>
              <w:t xml:space="preserve">Rejeu de confirmation</w:t>
            </w:r>
          </w:p>
        </w:tc>
        <w:tc>
          <w:tcPr>
            <w:shd w:val="clear" w:color="auto" w:fill="F5F7FB"/>
          </w:tcPr>
          <w:p>
            <w:pPr>
              <w:pStyle w:val="Compact"/>
            </w:pPr>
            <w:r>
              <w:rPr>
                <w:sz w:val="17"/>
              </w:rPr>
              <w:t xml:space="preserve">Nonce unique, horodatage à fenêtre courte, stockage des identifiants de transaction prestataire (unicité)</w:t>
            </w:r>
          </w:p>
        </w:tc>
      </w:tr>
      <w:tr>
        <w:tc>
          <w:tcPr/>
          <w:p>
            <w:pPr>
              <w:pStyle w:val="Compact"/>
            </w:pPr>
            <w:r>
              <w:rPr>
                <w:sz w:val="17"/>
              </w:rPr>
              <w:t xml:space="preserve">Faux rappel (callback)</w:t>
            </w:r>
          </w:p>
        </w:tc>
        <w:tc>
          <w:tcPr/>
          <w:p>
            <w:pPr>
              <w:pStyle w:val="Compact"/>
            </w:pPr>
            <w:r>
              <w:rPr>
                <w:sz w:val="17"/>
              </w:rPr>
              <w:t xml:space="preserve">mTLS + signature asymétrique du message ; liste d’adresses autorisées ; vérification de l’état auprès du prestataire (appel de contrôle) avant toute quittance</w:t>
            </w:r>
          </w:p>
        </w:tc>
      </w:tr>
      <w:tr>
        <w:tc>
          <w:tcPr>
            <w:shd w:val="clear" w:color="auto" w:fill="F5F7FB"/>
          </w:tcPr>
          <w:p>
            <w:pPr>
              <w:pStyle w:val="Compact"/>
            </w:pPr>
            <w:r>
              <w:rPr>
                <w:sz w:val="17"/>
              </w:rPr>
              <w:t xml:space="preserve">Capture d’écran falsifiée ou SMS forgé</w:t>
            </w:r>
          </w:p>
        </w:tc>
        <w:tc>
          <w:tcPr>
            <w:shd w:val="clear" w:color="auto" w:fill="F5F7FB"/>
          </w:tcPr>
          <w:p>
            <w:pPr>
              <w:pStyle w:val="Compact"/>
            </w:pPr>
            <w:r>
              <w:rPr>
                <w:b/>
                <w:bCs/>
                <w:sz w:val="17"/>
              </w:rPr>
              <w:t xml:space="preserve">Aucune quittance sur présentation d’une preuve visuelle</w:t>
            </w:r>
            <w:r>
              <w:rPr>
                <w:sz w:val="17"/>
              </w:rPr>
              <w:t xml:space="preserve"> </w:t>
            </w:r>
            <w:r>
              <w:rPr>
                <w:sz w:val="17"/>
              </w:rPr>
              <w:t xml:space="preserve">; seule compte la confirmation serveur à serveur ; le contrôleur vérifie par QR</w:t>
            </w:r>
          </w:p>
        </w:tc>
      </w:tr>
      <w:tr>
        <w:tc>
          <w:tcPr/>
          <w:p>
            <w:pPr>
              <w:pStyle w:val="Compact"/>
            </w:pPr>
            <w:r>
              <w:rPr>
                <w:sz w:val="17"/>
              </w:rPr>
              <w:t xml:space="preserve">Référence manipulée</w:t>
            </w:r>
          </w:p>
        </w:tc>
        <w:tc>
          <w:tcPr/>
          <w:p>
            <w:pPr>
              <w:pStyle w:val="Compact"/>
            </w:pPr>
            <w:r>
              <w:rPr>
                <w:sz w:val="17"/>
              </w:rPr>
              <w:t xml:space="preserve">Clé de contrôle, montant et bénéficiaire liés à la référence côté serveur ; l’API refuse toute modification</w:t>
            </w:r>
          </w:p>
        </w:tc>
      </w:tr>
      <w:tr>
        <w:tc>
          <w:tcPr>
            <w:shd w:val="clear" w:color="auto" w:fill="F5F7FB"/>
          </w:tcPr>
          <w:p>
            <w:pPr>
              <w:pStyle w:val="Compact"/>
            </w:pPr>
            <w:r>
              <w:rPr>
                <w:sz w:val="17"/>
              </w:rPr>
              <w:t xml:space="preserve">Compte bénéficiaire altéré</w:t>
            </w:r>
          </w:p>
        </w:tc>
        <w:tc>
          <w:tcPr>
            <w:shd w:val="clear" w:color="auto" w:fill="F5F7FB"/>
          </w:tcPr>
          <w:p>
            <w:pPr>
              <w:pStyle w:val="Compact"/>
            </w:pPr>
            <w:r>
              <w:rPr>
                <w:sz w:val="17"/>
              </w:rPr>
              <w:t xml:space="preserve">Les canaux reçoivent un</w:t>
            </w:r>
            <w:r>
              <w:rPr>
                <w:sz w:val="17"/>
              </w:rPr>
              <w:t xml:space="preserve"> </w:t>
            </w:r>
            <w:r>
              <w:rPr>
                <w:b/>
                <w:bCs/>
                <w:sz w:val="17"/>
              </w:rPr>
              <w:t xml:space="preserve">alias</w:t>
            </w:r>
            <w:r>
              <w:rPr>
                <w:sz w:val="17"/>
              </w:rPr>
              <w:t xml:space="preserve"> </w:t>
            </w:r>
            <w:r>
              <w:rPr>
                <w:sz w:val="17"/>
              </w:rPr>
              <w:t xml:space="preserve">résolu dans le coffre verrouillé ; changement sous quorum, hors bande, 72 h de refroidissement (§ 12.6)</w:t>
            </w:r>
          </w:p>
        </w:tc>
      </w:tr>
      <w:tr>
        <w:tc>
          <w:tcPr/>
          <w:p>
            <w:pPr>
              <w:pStyle w:val="Compact"/>
            </w:pPr>
            <w:r>
              <w:rPr>
                <w:sz w:val="17"/>
              </w:rPr>
              <w:t xml:space="preserve">Fraude interne</w:t>
            </w:r>
          </w:p>
        </w:tc>
        <w:tc>
          <w:tcPr/>
          <w:p>
            <w:pPr>
              <w:pStyle w:val="Compact"/>
            </w:pPr>
            <w:r>
              <w:rPr>
                <w:sz w:val="17"/>
              </w:rPr>
              <w:t xml:space="preserve">Aucun rôle ne peut créer un paiement ; séparation des tâches ; journal d’audit</w:t>
            </w:r>
          </w:p>
        </w:tc>
      </w:tr>
      <w:tr>
        <w:tc>
          <w:tcPr>
            <w:shd w:val="clear" w:color="auto" w:fill="F5F7FB"/>
          </w:tcPr>
          <w:p>
            <w:pPr>
              <w:pStyle w:val="Compact"/>
            </w:pPr>
            <w:r>
              <w:rPr>
                <w:sz w:val="17"/>
              </w:rPr>
              <w:t xml:space="preserve">Remboursement indu</w:t>
            </w:r>
          </w:p>
        </w:tc>
        <w:tc>
          <w:tcPr>
            <w:shd w:val="clear" w:color="auto" w:fill="F5F7FB"/>
          </w:tcPr>
          <w:p>
            <w:pPr>
              <w:pStyle w:val="Compact"/>
            </w:pPr>
            <w:r>
              <w:rPr>
                <w:sz w:val="17"/>
              </w:rPr>
              <w:t xml:space="preserve">Double approbation, plafond, vers l’instrument d’origine uniquement, délai de carence, contrôle a posteriori à 100 %</w:t>
            </w:r>
          </w:p>
        </w:tc>
      </w:tr>
      <w:tr>
        <w:tc>
          <w:tcPr/>
          <w:p>
            <w:pPr>
              <w:pStyle w:val="Compact"/>
            </w:pPr>
            <w:r>
              <w:rPr>
                <w:sz w:val="17"/>
              </w:rPr>
              <w:t xml:space="preserve">Encaissement en espèces non enregistré</w:t>
            </w:r>
          </w:p>
        </w:tc>
        <w:tc>
          <w:tcPr/>
          <w:p>
            <w:pPr>
              <w:pStyle w:val="Compact"/>
            </w:pPr>
            <w:r>
              <w:rPr>
                <w:sz w:val="17"/>
              </w:rPr>
              <w:t xml:space="preserve">Espèces uniquement via points agréés ; reçu provisoire horodaté par le système ; règlement quotidien ; contrôles mystère ; signalement public</w:t>
            </w:r>
          </w:p>
        </w:tc>
      </w:tr>
    </w:tbl>
    <w:bookmarkEnd w:id="191"/>
    <w:bookmarkStart w:id="192" w:name="politique-de-quittance"/>
    <w:p>
      <w:pPr>
        <w:pStyle w:val="Heading2"/>
      </w:pPr>
      <w:r>
        <w:t xml:space="preserve">18.6 Politique de quittance</w:t>
      </w:r>
    </w:p>
    <w:p>
      <w:pPr>
        <w:pStyle w:val="FirstParagraph"/>
      </w:pPr>
      <w:r>
        <w:t xml:space="preserve">Deux niveaux :</w:t>
      </w:r>
      <w:r>
        <w:t xml:space="preserve"> </w:t>
      </w:r>
      <w:r>
        <w:rPr>
          <w:b/>
          <w:bCs/>
        </w:rPr>
        <w:t xml:space="preserve">quittance provisoire</w:t>
      </w:r>
      <w:r>
        <w:t xml:space="preserve"> </w:t>
      </w:r>
      <w:r>
        <w:t xml:space="preserve">dès la confirmation serveur à serveur vérifiée (en moins d’une minute), portant la mention « en attente de règlement » ;</w:t>
      </w:r>
      <w:r>
        <w:t xml:space="preserve"> </w:t>
      </w:r>
      <w:r>
        <w:rPr>
          <w:b/>
          <w:bCs/>
        </w:rPr>
        <w:t xml:space="preserve">quittance définitive</w:t>
      </w:r>
      <w:r>
        <w:t xml:space="preserve"> </w:t>
      </w:r>
      <w:r>
        <w:t xml:space="preserve">à l’état</w:t>
      </w:r>
      <w:r>
        <w:t xml:space="preserve"> </w:t>
      </w:r>
      <w:r>
        <w:rPr>
          <w:rStyle w:val="VerbatimChar"/>
        </w:rPr>
        <w:t xml:space="preserve">RAPPROCHE</w:t>
      </w:r>
      <w:r>
        <w:t xml:space="preserve">. Si le règlement n’est pas constaté dans le délai contractuel, une exception est ouverte, sans remise en cause automatique des droits du contribuable, qui a payé de bonne foi par un canal officiel : le litige est avec le prestataire.</w:t>
      </w:r>
    </w:p>
    <w:bookmarkEnd w:id="192"/>
    <w:bookmarkEnd w:id="193"/>
    <w:bookmarkStart w:id="198" w:name="quittance-électronique"/>
    <w:p>
      <w:pPr>
        <w:pStyle w:val="Heading1"/>
      </w:pPr>
      <w:r>
        <w:t xml:space="preserve">19. Quittance électronique</w:t>
      </w:r>
    </w:p>
    <w:bookmarkStart w:id="194" w:name="contenu"/>
    <w:p>
      <w:pPr>
        <w:pStyle w:val="Heading2"/>
      </w:pPr>
      <w:r>
        <w:t xml:space="preserve">19.1 Contenu</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Champ</w:t>
            </w:r>
          </w:p>
        </w:tc>
        <w:tc>
          <w:tcPr>
            <w:shd w:val="clear" w:color="auto" w:fill="232C6B"/>
          </w:tcPr>
          <w:p>
            <w:pPr>
              <w:pStyle w:val="Compact"/>
            </w:pPr>
            <w:r>
              <w:rPr>
                <w:b/>
                <w:color w:val="FFFFFF"/>
                <w:sz w:val="17"/>
              </w:rPr>
              <w:t xml:space="preserve">Exemple</w:t>
            </w:r>
          </w:p>
        </w:tc>
      </w:tr>
      <w:tr>
        <w:tc>
          <w:tcPr/>
          <w:p>
            <w:pPr>
              <w:pStyle w:val="Compact"/>
            </w:pPr>
            <w:r>
              <w:rPr>
                <w:sz w:val="17"/>
              </w:rPr>
              <w:t xml:space="preserve">Numéro de quittance</w:t>
            </w:r>
          </w:p>
        </w:tc>
        <w:tc>
          <w:tcPr/>
          <w:p>
            <w:pPr>
              <w:pStyle w:val="Compact"/>
            </w:pPr>
            <w:r>
              <w:rPr>
                <w:rStyle w:val="VerbatimChar"/>
                <w:sz w:val="17"/>
              </w:rPr>
              <w:t xml:space="preserve">Q-2027-KIN-000123456-7</w:t>
            </w:r>
          </w:p>
        </w:tc>
      </w:tr>
      <w:tr>
        <w:tc>
          <w:tcPr>
            <w:shd w:val="clear" w:color="auto" w:fill="F5F7FB"/>
          </w:tcPr>
          <w:p>
            <w:pPr>
              <w:pStyle w:val="Compact"/>
            </w:pPr>
            <w:r>
              <w:rPr>
                <w:sz w:val="17"/>
              </w:rPr>
              <w:t xml:space="preserve">Référence du contribuable</w:t>
            </w:r>
          </w:p>
        </w:tc>
        <w:tc>
          <w:tcPr>
            <w:shd w:val="clear" w:color="auto" w:fill="F5F7FB"/>
          </w:tcPr>
          <w:p>
            <w:pPr>
              <w:pStyle w:val="Compact"/>
            </w:pPr>
            <w:r>
              <w:rPr>
                <w:sz w:val="17"/>
              </w:rPr>
              <w:t xml:space="preserve">IUC (et NIF si disponible)</w:t>
            </w:r>
          </w:p>
        </w:tc>
      </w:tr>
      <w:tr>
        <w:tc>
          <w:tcPr/>
          <w:p>
            <w:pPr>
              <w:pStyle w:val="Compact"/>
            </w:pPr>
            <w:r>
              <w:rPr>
                <w:sz w:val="17"/>
              </w:rPr>
              <w:t xml:space="preserve">Référence de paiement</w:t>
            </w:r>
          </w:p>
        </w:tc>
        <w:tc>
          <w:tcPr/>
          <w:p>
            <w:pPr>
              <w:pStyle w:val="Compact"/>
            </w:pPr>
            <w:r>
              <w:rPr>
                <w:rStyle w:val="VerbatimChar"/>
                <w:sz w:val="17"/>
              </w:rPr>
              <w:t xml:space="preserve">PR-7F3K-9Q2M</w:t>
            </w:r>
          </w:p>
        </w:tc>
      </w:tr>
      <w:tr>
        <w:tc>
          <w:tcPr>
            <w:shd w:val="clear" w:color="auto" w:fill="F5F7FB"/>
          </w:tcPr>
          <w:p>
            <w:pPr>
              <w:pStyle w:val="Compact"/>
            </w:pPr>
            <w:r>
              <w:rPr>
                <w:sz w:val="17"/>
              </w:rPr>
              <w:t xml:space="preserve">Obligation(s) et objet(s)</w:t>
            </w:r>
          </w:p>
        </w:tc>
        <w:tc>
          <w:tcPr>
            <w:shd w:val="clear" w:color="auto" w:fill="F5F7FB"/>
          </w:tcPr>
          <w:p>
            <w:pPr>
              <w:pStyle w:val="Compact"/>
            </w:pPr>
            <w:r>
              <w:rPr>
                <w:sz w:val="17"/>
              </w:rPr>
              <w:t xml:space="preserve">Avis</w:t>
            </w:r>
            <w:r>
              <w:rPr>
                <w:sz w:val="17"/>
              </w:rPr>
              <w:t xml:space="preserve"> </w:t>
            </w:r>
            <w:r>
              <w:rPr>
                <w:rStyle w:val="VerbatimChar"/>
                <w:sz w:val="17"/>
              </w:rPr>
              <w:t xml:space="preserve">AV-2027-IF-…</w:t>
            </w:r>
            <w:r>
              <w:rPr>
                <w:sz w:val="17"/>
              </w:rPr>
              <w:t xml:space="preserve">, IGF de la parcelle</w:t>
            </w:r>
          </w:p>
        </w:tc>
      </w:tr>
      <w:tr>
        <w:tc>
          <w:tcPr/>
          <w:p>
            <w:pPr>
              <w:pStyle w:val="Compact"/>
            </w:pPr>
            <w:r>
              <w:rPr>
                <w:sz w:val="17"/>
              </w:rPr>
              <w:t xml:space="preserve">Catégorie de recette</w:t>
            </w:r>
          </w:p>
        </w:tc>
        <w:tc>
          <w:tcPr/>
          <w:p>
            <w:pPr>
              <w:pStyle w:val="Compact"/>
            </w:pPr>
            <w:r>
              <w:rPr>
                <w:sz w:val="17"/>
              </w:rPr>
              <w:t xml:space="preserve">Impôt foncier 2027</w:t>
            </w:r>
          </w:p>
        </w:tc>
      </w:tr>
      <w:tr>
        <w:tc>
          <w:tcPr>
            <w:shd w:val="clear" w:color="auto" w:fill="F5F7FB"/>
          </w:tcPr>
          <w:p>
            <w:pPr>
              <w:pStyle w:val="Compact"/>
            </w:pPr>
            <w:r>
              <w:rPr>
                <w:sz w:val="17"/>
              </w:rPr>
              <w:t xml:space="preserve">Montant et devise</w:t>
            </w:r>
          </w:p>
        </w:tc>
        <w:tc>
          <w:tcPr>
            <w:shd w:val="clear" w:color="auto" w:fill="F5F7FB"/>
          </w:tcPr>
          <w:p>
            <w:pPr>
              <w:pStyle w:val="Compact"/>
            </w:pPr>
            <w:r>
              <w:rPr>
                <w:sz w:val="17"/>
              </w:rPr>
              <w:t xml:space="preserve">🇺🇸 USD 150,00 (contre-valeur indicative 🇨🇩 CDF …)</w:t>
            </w:r>
          </w:p>
        </w:tc>
      </w:tr>
      <w:tr>
        <w:tc>
          <w:tcPr/>
          <w:p>
            <w:pPr>
              <w:pStyle w:val="Compact"/>
            </w:pPr>
            <w:r>
              <w:rPr>
                <w:sz w:val="17"/>
              </w:rPr>
              <w:t xml:space="preserve">Date et heure du paiement</w:t>
            </w:r>
          </w:p>
        </w:tc>
        <w:tc>
          <w:tcPr/>
          <w:p>
            <w:pPr>
              <w:pStyle w:val="Compact"/>
            </w:pPr>
            <w:r>
              <w:rPr>
                <w:sz w:val="17"/>
              </w:rPr>
              <w:t xml:space="preserve">Heure serveur</w:t>
            </w:r>
          </w:p>
        </w:tc>
      </w:tr>
      <w:tr>
        <w:tc>
          <w:tcPr>
            <w:shd w:val="clear" w:color="auto" w:fill="F5F7FB"/>
          </w:tcPr>
          <w:p>
            <w:pPr>
              <w:pStyle w:val="Compact"/>
            </w:pPr>
            <w:r>
              <w:rPr>
                <w:sz w:val="17"/>
              </w:rPr>
              <w:t xml:space="preserve">Canal et identifiant de transaction</w:t>
            </w:r>
          </w:p>
        </w:tc>
        <w:tc>
          <w:tcPr>
            <w:shd w:val="clear" w:color="auto" w:fill="F5F7FB"/>
          </w:tcPr>
          <w:p>
            <w:pPr>
              <w:pStyle w:val="Compact"/>
            </w:pPr>
            <w:r>
              <w:rPr>
                <w:sz w:val="17"/>
              </w:rPr>
              <w:t xml:space="preserve">Monnaie mobile, identifiant prestataire</w:t>
            </w:r>
          </w:p>
        </w:tc>
      </w:tr>
      <w:tr>
        <w:tc>
          <w:tcPr/>
          <w:p>
            <w:pPr>
              <w:pStyle w:val="Compact"/>
            </w:pPr>
            <w:r>
              <w:rPr>
                <w:sz w:val="17"/>
              </w:rPr>
              <w:t xml:space="preserve">État de règlement</w:t>
            </w:r>
          </w:p>
        </w:tc>
        <w:tc>
          <w:tcPr/>
          <w:p>
            <w:pPr>
              <w:pStyle w:val="Compact"/>
            </w:pPr>
            <w:r>
              <w:rPr>
                <w:sz w:val="17"/>
              </w:rPr>
              <w:t xml:space="preserve">Provisoire / définitive</w:t>
            </w:r>
          </w:p>
        </w:tc>
      </w:tr>
      <w:tr>
        <w:tc>
          <w:tcPr>
            <w:shd w:val="clear" w:color="auto" w:fill="F5F7FB"/>
          </w:tcPr>
          <w:p>
            <w:pPr>
              <w:pStyle w:val="Compact"/>
            </w:pPr>
            <w:r>
              <w:rPr>
                <w:sz w:val="17"/>
              </w:rPr>
              <w:t xml:space="preserve">Administration bénéficiaire</w:t>
            </w:r>
          </w:p>
        </w:tc>
        <w:tc>
          <w:tcPr>
            <w:shd w:val="clear" w:color="auto" w:fill="F5F7FB"/>
          </w:tcPr>
          <w:p>
            <w:pPr>
              <w:pStyle w:val="Compact"/>
            </w:pPr>
            <w:r>
              <w:rPr>
                <w:sz w:val="17"/>
              </w:rPr>
              <w:t xml:space="preserve">DGIPK (compte public désigné par alias)</w:t>
            </w:r>
          </w:p>
        </w:tc>
      </w:tr>
      <w:tr>
        <w:tc>
          <w:tcPr/>
          <w:p>
            <w:pPr>
              <w:pStyle w:val="Compact"/>
            </w:pPr>
            <w:r>
              <w:rPr>
                <w:sz w:val="17"/>
              </w:rPr>
              <w:t xml:space="preserve">QR sécurisé</w:t>
            </w:r>
          </w:p>
        </w:tc>
        <w:tc>
          <w:tcPr/>
          <w:p>
            <w:pPr>
              <w:pStyle w:val="Compact"/>
            </w:pPr>
            <w:r>
              <w:rPr>
                <w:sz w:val="17"/>
              </w:rPr>
              <w:t xml:space="preserve">Lien de vérification + signature compacte</w:t>
            </w:r>
          </w:p>
        </w:tc>
      </w:tr>
      <w:tr>
        <w:tc>
          <w:tcPr>
            <w:shd w:val="clear" w:color="auto" w:fill="F5F7FB"/>
          </w:tcPr>
          <w:p>
            <w:pPr>
              <w:pStyle w:val="Compact"/>
            </w:pPr>
            <w:r>
              <w:rPr>
                <w:sz w:val="17"/>
              </w:rPr>
              <w:t xml:space="preserve">Signature numérique</w:t>
            </w:r>
          </w:p>
        </w:tc>
        <w:tc>
          <w:tcPr>
            <w:shd w:val="clear" w:color="auto" w:fill="F5F7FB"/>
          </w:tcPr>
          <w:p>
            <w:pPr>
              <w:pStyle w:val="Compact"/>
            </w:pPr>
            <w:r>
              <w:rPr>
                <w:sz w:val="17"/>
              </w:rPr>
              <w:t xml:space="preserve">Signature avancée (PKI provinciale, HSM)</w:t>
            </w:r>
          </w:p>
        </w:tc>
      </w:tr>
      <w:tr>
        <w:tc>
          <w:tcPr/>
          <w:p>
            <w:pPr>
              <w:pStyle w:val="Compact"/>
            </w:pPr>
            <w:r>
              <w:rPr>
                <w:sz w:val="17"/>
              </w:rPr>
              <w:t xml:space="preserve">Statut</w:t>
            </w:r>
          </w:p>
        </w:tc>
        <w:tc>
          <w:tcPr/>
          <w:p>
            <w:pPr>
              <w:pStyle w:val="Compact"/>
            </w:pPr>
            <w:r>
              <w:rPr>
                <w:sz w:val="17"/>
              </w:rPr>
              <w:t xml:space="preserve">Valide, en attente, annulée, contrepassée, remplacée, fraude suspectée</w:t>
            </w:r>
          </w:p>
        </w:tc>
      </w:tr>
      <w:tr>
        <w:tc>
          <w:tcPr>
            <w:shd w:val="clear" w:color="auto" w:fill="F5F7FB"/>
          </w:tcPr>
          <w:p>
            <w:pPr>
              <w:pStyle w:val="Compact"/>
            </w:pPr>
            <w:r>
              <w:rPr>
                <w:sz w:val="17"/>
              </w:rPr>
              <w:t xml:space="preserve">Mode de vérification</w:t>
            </w:r>
          </w:p>
        </w:tc>
        <w:tc>
          <w:tcPr>
            <w:shd w:val="clear" w:color="auto" w:fill="F5F7FB"/>
          </w:tcPr>
          <w:p>
            <w:pPr>
              <w:pStyle w:val="Compact"/>
            </w:pPr>
            <w:r>
              <w:rPr>
                <w:sz w:val="17"/>
              </w:rPr>
              <w:t xml:space="preserve">Scan QR, code court par SMS/USSD, portail</w:t>
            </w:r>
          </w:p>
        </w:tc>
      </w:tr>
    </w:tbl>
    <w:bookmarkEnd w:id="194"/>
    <w:bookmarkStart w:id="195" w:name="vérification-publique"/>
    <w:p>
      <w:pPr>
        <w:pStyle w:val="Heading2"/>
      </w:pPr>
      <w:r>
        <w:t xml:space="preserve">19.2 Vérification publique</w:t>
      </w:r>
    </w:p>
    <w:p>
      <w:pPr>
        <w:pStyle w:val="FirstParagraph"/>
      </w:pPr>
      <w:r>
        <w:t xml:space="preserve">Le scan du QR (ou la saisie du code court) renvoie un résultat</w:t>
      </w:r>
      <w:r>
        <w:t xml:space="preserve"> </w:t>
      </w:r>
      <w:r>
        <w:rPr>
          <w:b/>
          <w:bCs/>
        </w:rPr>
        <w:t xml:space="preserve">minimal</w:t>
      </w:r>
      <w:r>
        <w:t xml:space="preserve"> </w:t>
      </w:r>
      <w:r>
        <w:t xml:space="preserv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Résultat</w:t>
            </w:r>
          </w:p>
        </w:tc>
        <w:tc>
          <w:tcPr>
            <w:shd w:val="clear" w:color="auto" w:fill="232C6B"/>
          </w:tcPr>
          <w:p>
            <w:pPr>
              <w:pStyle w:val="Compact"/>
            </w:pPr>
            <w:r>
              <w:rPr>
                <w:b/>
                <w:color w:val="FFFFFF"/>
                <w:sz w:val="17"/>
              </w:rPr>
              <w:t xml:space="preserve">Affichage public</w:t>
            </w:r>
          </w:p>
        </w:tc>
      </w:tr>
      <w:tr>
        <w:tc>
          <w:tcPr/>
          <w:p>
            <w:pPr>
              <w:pStyle w:val="Compact"/>
            </w:pPr>
            <w:r>
              <w:rPr>
                <w:sz w:val="17"/>
              </w:rPr>
              <w:t xml:space="preserve">✅ Valide</w:t>
            </w:r>
          </w:p>
        </w:tc>
        <w:tc>
          <w:tcPr/>
          <w:p>
            <w:pPr>
              <w:pStyle w:val="Compact"/>
            </w:pPr>
            <w:r>
              <w:rPr>
                <w:sz w:val="17"/>
              </w:rPr>
              <w:t xml:space="preserve">« Quittance authentique — montant, date, catégorie de recette, administration bénéficiaire, quatre derniers caractères de la référence du contribuable »</w:t>
            </w:r>
          </w:p>
        </w:tc>
      </w:tr>
      <w:tr>
        <w:tc>
          <w:tcPr>
            <w:shd w:val="clear" w:color="auto" w:fill="F5F7FB"/>
          </w:tcPr>
          <w:p>
            <w:pPr>
              <w:pStyle w:val="Compact"/>
            </w:pPr>
            <w:r>
              <w:rPr>
                <w:sz w:val="17"/>
              </w:rPr>
              <w:t xml:space="preserve">⏳ En attente</w:t>
            </w:r>
          </w:p>
        </w:tc>
        <w:tc>
          <w:tcPr>
            <w:shd w:val="clear" w:color="auto" w:fill="F5F7FB"/>
          </w:tcPr>
          <w:p>
            <w:pPr>
              <w:pStyle w:val="Compact"/>
            </w:pPr>
            <w:r>
              <w:rPr>
                <w:sz w:val="17"/>
              </w:rPr>
              <w:t xml:space="preserve">« Paiement confirmé, règlement en cours »</w:t>
            </w:r>
          </w:p>
        </w:tc>
      </w:tr>
      <w:tr>
        <w:tc>
          <w:tcPr/>
          <w:p>
            <w:pPr>
              <w:pStyle w:val="Compact"/>
            </w:pPr>
            <w:r>
              <w:rPr>
                <w:sz w:val="17"/>
              </w:rPr>
              <w:t xml:space="preserve">❌ Annulée / contrepassée</w:t>
            </w:r>
          </w:p>
        </w:tc>
        <w:tc>
          <w:tcPr/>
          <w:p>
            <w:pPr>
              <w:pStyle w:val="Compact"/>
            </w:pPr>
            <w:r>
              <w:rPr>
                <w:sz w:val="17"/>
              </w:rPr>
              <w:t xml:space="preserve">« Quittance non valable » + motif générique</w:t>
            </w:r>
          </w:p>
        </w:tc>
      </w:tr>
      <w:tr>
        <w:tc>
          <w:tcPr>
            <w:shd w:val="clear" w:color="auto" w:fill="F5F7FB"/>
          </w:tcPr>
          <w:p>
            <w:pPr>
              <w:pStyle w:val="Compact"/>
            </w:pPr>
            <w:r>
              <w:rPr>
                <w:sz w:val="17"/>
              </w:rPr>
              <w:t xml:space="preserve">🔁 Remplacée</w:t>
            </w:r>
          </w:p>
        </w:tc>
        <w:tc>
          <w:tcPr>
            <w:shd w:val="clear" w:color="auto" w:fill="F5F7FB"/>
          </w:tcPr>
          <w:p>
            <w:pPr>
              <w:pStyle w:val="Compact"/>
            </w:pPr>
            <w:r>
              <w:rPr>
                <w:sz w:val="17"/>
              </w:rPr>
              <w:t xml:space="preserve">« Remplacée par la quittance n° … »</w:t>
            </w:r>
          </w:p>
        </w:tc>
      </w:tr>
      <w:tr>
        <w:tc>
          <w:tcPr/>
          <w:p>
            <w:pPr>
              <w:pStyle w:val="Compact"/>
            </w:pPr>
            <w:r>
              <w:rPr>
                <w:sz w:val="17"/>
              </w:rPr>
              <w:t xml:space="preserve">⚠️ Fraude suspectée</w:t>
            </w:r>
          </w:p>
        </w:tc>
        <w:tc>
          <w:tcPr/>
          <w:p>
            <w:pPr>
              <w:pStyle w:val="Compact"/>
            </w:pPr>
            <w:r>
              <w:rPr>
                <w:sz w:val="17"/>
              </w:rPr>
              <w:t xml:space="preserve">« Vérification impossible — contactez la régie » ; signalement automatique à l’équipe anti-fraude</w:t>
            </w:r>
          </w:p>
        </w:tc>
      </w:tr>
      <w:tr>
        <w:tc>
          <w:tcPr>
            <w:shd w:val="clear" w:color="auto" w:fill="F5F7FB"/>
          </w:tcPr>
          <w:p>
            <w:pPr>
              <w:pStyle w:val="Compact"/>
            </w:pPr>
            <w:r>
              <w:rPr>
                <w:sz w:val="17"/>
              </w:rPr>
              <w:t xml:space="preserve">❓ Inconnue</w:t>
            </w:r>
          </w:p>
        </w:tc>
        <w:tc>
          <w:tcPr>
            <w:shd w:val="clear" w:color="auto" w:fill="F5F7FB"/>
          </w:tcPr>
          <w:p>
            <w:pPr>
              <w:pStyle w:val="Compact"/>
            </w:pPr>
            <w:r>
              <w:rPr>
                <w:sz w:val="17"/>
              </w:rPr>
              <w:t xml:space="preserve">« Aucune quittance ne correspond »</w:t>
            </w:r>
          </w:p>
        </w:tc>
      </w:tr>
    </w:tbl>
    <w:p>
      <w:pPr>
        <w:pStyle w:val="BodyText"/>
      </w:pPr>
      <w:r>
        <w:t xml:space="preserve">Aucun nom complet, adresse ou historique n’est exposé. Les vérifications sont limitées en fréquence et journalisées. Les services habilités (API quitus, contrôleurs) obtiennent des informations supplémentaires selon leurs droits.</w:t>
      </w:r>
    </w:p>
    <w:bookmarkEnd w:id="195"/>
    <w:bookmarkStart w:id="196" w:name="vérification-hors-ligne"/>
    <w:p>
      <w:pPr>
        <w:pStyle w:val="Heading2"/>
      </w:pPr>
      <w:r>
        <w:t xml:space="preserve">19.3 Vérification hors ligne</w:t>
      </w:r>
    </w:p>
    <w:p>
      <w:pPr>
        <w:pStyle w:val="FirstParagraph"/>
      </w:pPr>
      <w:r>
        <w:t xml:space="preserve">Le QR contient une signature compacte vérifiable hors ligne par l’application terrain (clé publique embarquée) : l’agent sait que la quittance a été émise par MOSOLO et n’a pas été altérée. Le</w:t>
      </w:r>
      <w:r>
        <w:t xml:space="preserve"> </w:t>
      </w:r>
      <w:r>
        <w:rPr>
          <w:b/>
          <w:bCs/>
        </w:rPr>
        <w:t xml:space="preserve">statut</w:t>
      </w:r>
      <w:r>
        <w:t xml:space="preserve"> </w:t>
      </w:r>
      <w:r>
        <w:t xml:space="preserve">(annulation éventuelle) exige une vérification en ligne ; hors ligne, l’application utilise une liste de révocation signée téléchargée au départ de mission et affiche « authentique — statut vérifié au JJ/MM HH:MM ».</w:t>
      </w:r>
    </w:p>
    <w:bookmarkEnd w:id="196"/>
    <w:bookmarkStart w:id="197" w:name="titres-et-quittances"/>
    <w:p>
      <w:pPr>
        <w:pStyle w:val="Heading2"/>
      </w:pPr>
      <w:r>
        <w:t xml:space="preserve">19.4 Titres et quittances</w:t>
      </w:r>
    </w:p>
    <w:p>
      <w:pPr>
        <w:pStyle w:val="FirstParagraph"/>
      </w:pPr>
      <w:r>
        <w:t xml:space="preserve">Une quittance prouve un paiement ; un</w:t>
      </w:r>
      <w:r>
        <w:t xml:space="preserve"> </w:t>
      </w:r>
      <w:r>
        <w:rPr>
          <w:b/>
          <w:bCs/>
        </w:rPr>
        <w:t xml:space="preserve">titre</w:t>
      </w:r>
      <w:r>
        <w:t xml:space="preserve"> </w:t>
      </w:r>
      <w:r>
        <w:t xml:space="preserve">(autorisation, vignette, ticket, pass) prouve un droit, avec une période de validité et des statuts (vert valide, ambre bientôt expiré, rouge expiré ou suspendu). Les titres sont gérés par le moteur de titres (module 70) et contrôlés par plaque, QR ou code (module 71).</w:t>
      </w:r>
    </w:p>
    <w:bookmarkEnd w:id="197"/>
    <w:bookmarkEnd w:id="198"/>
    <w:bookmarkStart w:id="202" w:name="rapprochement"/>
    <w:p>
      <w:pPr>
        <w:pStyle w:val="Heading1"/>
      </w:pPr>
      <w:r>
        <w:t xml:space="preserve">20. Rapprochement</w:t>
      </w:r>
    </w:p>
    <w:bookmarkStart w:id="199" w:name="appariement-à-trois-voies"/>
    <w:p>
      <w:pPr>
        <w:pStyle w:val="Heading2"/>
      </w:pPr>
      <w:r>
        <w:t xml:space="preserve">20.1 Appariement à trois voies</w:t>
      </w:r>
    </w:p>
    <w:p>
      <w:pPr>
        <w:pStyle w:val="FirstParagraph"/>
      </w:pPr>
      <w:r>
        <w:t xml:space="preserve">Chaque paiement est rapproché sur trois sources indépendantes :</w:t>
      </w:r>
      <w:r>
        <w:t xml:space="preserve"> </w:t>
      </w:r>
      <w:r>
        <w:rPr>
          <w:b/>
          <w:bCs/>
        </w:rPr>
        <w:t xml:space="preserve">l’obligation</w:t>
      </w:r>
      <w:r>
        <w:t xml:space="preserve"> </w:t>
      </w:r>
      <w:r>
        <w:t xml:space="preserve">(ce qui est dû),</w:t>
      </w:r>
      <w:r>
        <w:t xml:space="preserve"> </w:t>
      </w:r>
      <w:r>
        <w:rPr>
          <w:b/>
          <w:bCs/>
        </w:rPr>
        <w:t xml:space="preserve">la confirmation du prestataire</w:t>
      </w:r>
      <w:r>
        <w:t xml:space="preserve"> </w:t>
      </w:r>
      <w:r>
        <w:t xml:space="preserve">(ce qui a été payé),</w:t>
      </w:r>
      <w:r>
        <w:t xml:space="preserve"> </w:t>
      </w:r>
      <w:r>
        <w:rPr>
          <w:b/>
          <w:bCs/>
        </w:rPr>
        <w:t xml:space="preserve">le relevé du compte public</w:t>
      </w:r>
      <w:r>
        <w:t xml:space="preserve"> </w:t>
      </w:r>
      <w:r>
        <w:t xml:space="preserve">(ce qui est arrivé). Un quatrième niveau,</w:t>
      </w:r>
      <w:r>
        <w:t xml:space="preserve"> </w:t>
      </w:r>
      <w:r>
        <w:rPr>
          <w:b/>
          <w:bCs/>
        </w:rPr>
        <w:t xml:space="preserve">l’écriture comptable</w:t>
      </w:r>
      <w:r>
        <w:t xml:space="preserve">, clôt la chaîne.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Règle d’appariement</w:t>
            </w:r>
          </w:p>
        </w:tc>
        <w:tc>
          <w:tcPr>
            <w:shd w:val="clear" w:color="auto" w:fill="232C6B"/>
          </w:tcPr>
          <w:p>
            <w:pPr>
              <w:pStyle w:val="Compact"/>
            </w:pPr>
            <w:r>
              <w:rPr>
                <w:b/>
                <w:color w:val="FFFFFF"/>
                <w:sz w:val="17"/>
              </w:rPr>
              <w:t xml:space="preserve">Traitement</w:t>
            </w:r>
          </w:p>
        </w:tc>
      </w:tr>
      <w:tr>
        <w:tc>
          <w:tcPr/>
          <w:p>
            <w:pPr>
              <w:pStyle w:val="Compact"/>
            </w:pPr>
            <w:r>
              <w:rPr>
                <w:sz w:val="17"/>
              </w:rPr>
              <w:t xml:space="preserve">Référence, montant et devise identiques, crédit constaté</w:t>
            </w:r>
          </w:p>
        </w:tc>
        <w:tc>
          <w:tcPr/>
          <w:p>
            <w:pPr>
              <w:pStyle w:val="Compact"/>
            </w:pPr>
            <w:r>
              <w:rPr>
                <w:sz w:val="17"/>
              </w:rPr>
              <w:t xml:space="preserve">Rapprochement automatique</w:t>
            </w:r>
          </w:p>
        </w:tc>
      </w:tr>
      <w:tr>
        <w:tc>
          <w:tcPr>
            <w:shd w:val="clear" w:color="auto" w:fill="F5F7FB"/>
          </w:tcPr>
          <w:p>
            <w:pPr>
              <w:pStyle w:val="Compact"/>
            </w:pPr>
            <w:r>
              <w:rPr>
                <w:sz w:val="17"/>
              </w:rPr>
              <w:t xml:space="preserve">Montant différent dans la tolérance de change définie</w:t>
            </w:r>
          </w:p>
        </w:tc>
        <w:tc>
          <w:tcPr>
            <w:shd w:val="clear" w:color="auto" w:fill="F5F7FB"/>
          </w:tcPr>
          <w:p>
            <w:pPr>
              <w:pStyle w:val="Compact"/>
            </w:pPr>
            <w:r>
              <w:rPr>
                <w:sz w:val="17"/>
              </w:rPr>
              <w:t xml:space="preserve">Rapprochement + écart de change enregistré</w:t>
            </w:r>
          </w:p>
        </w:tc>
      </w:tr>
      <w:tr>
        <w:tc>
          <w:tcPr/>
          <w:p>
            <w:pPr>
              <w:pStyle w:val="Compact"/>
            </w:pPr>
            <w:r>
              <w:rPr>
                <w:sz w:val="17"/>
              </w:rPr>
              <w:t xml:space="preserve">Crédit sans confirmation</w:t>
            </w:r>
          </w:p>
        </w:tc>
        <w:tc>
          <w:tcPr/>
          <w:p>
            <w:pPr>
              <w:pStyle w:val="Compact"/>
            </w:pPr>
            <w:r>
              <w:rPr>
                <w:sz w:val="17"/>
              </w:rPr>
              <w:t xml:space="preserve">Exception « crédit orphelin » → recherche prestataire</w:t>
            </w:r>
          </w:p>
        </w:tc>
      </w:tr>
      <w:tr>
        <w:tc>
          <w:tcPr>
            <w:shd w:val="clear" w:color="auto" w:fill="F5F7FB"/>
          </w:tcPr>
          <w:p>
            <w:pPr>
              <w:pStyle w:val="Compact"/>
            </w:pPr>
            <w:r>
              <w:rPr>
                <w:sz w:val="17"/>
              </w:rPr>
              <w:t xml:space="preserve">Confirmation sans crédit à J+1 ouvré</w:t>
            </w:r>
          </w:p>
        </w:tc>
        <w:tc>
          <w:tcPr>
            <w:shd w:val="clear" w:color="auto" w:fill="F5F7FB"/>
          </w:tcPr>
          <w:p>
            <w:pPr>
              <w:pStyle w:val="Compact"/>
            </w:pPr>
            <w:r>
              <w:rPr>
                <w:sz w:val="17"/>
              </w:rPr>
              <w:t xml:space="preserve">Exception « règlement manquant » → relance prestataire, pénalités contractuelles</w:t>
            </w:r>
          </w:p>
        </w:tc>
      </w:tr>
      <w:tr>
        <w:tc>
          <w:tcPr/>
          <w:p>
            <w:pPr>
              <w:pStyle w:val="Compact"/>
            </w:pPr>
            <w:r>
              <w:rPr>
                <w:sz w:val="17"/>
              </w:rPr>
              <w:t xml:space="preserve">Crédit groupé (règlement net d’un prestataire)</w:t>
            </w:r>
          </w:p>
        </w:tc>
        <w:tc>
          <w:tcPr/>
          <w:p>
            <w:pPr>
              <w:pStyle w:val="Compact"/>
            </w:pPr>
            <w:r>
              <w:rPr>
                <w:sz w:val="17"/>
              </w:rPr>
              <w:t xml:space="preserve">Décomposition par le fichier de détail du prestataire ; contrôle de totaux</w:t>
            </w:r>
          </w:p>
        </w:tc>
      </w:tr>
      <w:tr>
        <w:tc>
          <w:tcPr>
            <w:shd w:val="clear" w:color="auto" w:fill="F5F7FB"/>
          </w:tcPr>
          <w:p>
            <w:pPr>
              <w:pStyle w:val="Compact"/>
            </w:pPr>
            <w:r>
              <w:rPr>
                <w:sz w:val="17"/>
              </w:rPr>
              <w:t xml:space="preserve">Commissions prélevées à la source par le prestataire</w:t>
            </w:r>
          </w:p>
        </w:tc>
        <w:tc>
          <w:tcPr>
            <w:shd w:val="clear" w:color="auto" w:fill="F5F7FB"/>
          </w:tcPr>
          <w:p>
            <w:pPr>
              <w:pStyle w:val="Compact"/>
            </w:pPr>
            <w:r>
              <w:rPr>
                <w:b/>
                <w:bCs/>
                <w:sz w:val="17"/>
              </w:rPr>
              <w:t xml:space="preserve">Interdit par défaut</w:t>
            </w:r>
            <w:r>
              <w:rPr>
                <w:sz w:val="17"/>
              </w:rPr>
              <w:t xml:space="preserve"> </w:t>
            </w:r>
            <w:r>
              <w:rPr>
                <w:sz w:val="17"/>
              </w:rPr>
              <w:t xml:space="preserve">: le prestataire règle le brut, les commissions sont facturées séparément et payées sur crédit budgétaire (sauf convention contraire approuvée, visible au grand livre)</w:t>
            </w:r>
          </w:p>
        </w:tc>
      </w:tr>
    </w:tbl>
    <w:p>
      <w:pPr>
        <w:pStyle w:val="BodyText"/>
      </w:pPr>
      <w:r>
        <w:t xml:space="preserve">Cible : plus de 95 % de rapprochement automatique à J+1, exceptions résolues sous 5 jours ouvrés, aucune exception de plus de 30 jours sans décision.</w:t>
      </w:r>
    </w:p>
    <w:bookmarkEnd w:id="199"/>
    <w:bookmarkStart w:id="200" w:name="grand-livre-public-en-partie-double"/>
    <w:p>
      <w:pPr>
        <w:pStyle w:val="Heading2"/>
      </w:pPr>
      <w:r>
        <w:t xml:space="preserve">20.2 Grand livre public en partie double</w:t>
      </w:r>
    </w:p>
    <w:p>
      <w:pPr>
        <w:pStyle w:val="FirstParagraph"/>
      </w:pPr>
      <w:r>
        <w:t xml:space="preserve">Le grand livre (module 59) enregistre chaque événement financier par des écritures équilibrées,</w:t>
      </w:r>
      <w:r>
        <w:t xml:space="preserve"> </w:t>
      </w:r>
      <w:r>
        <w:rPr>
          <w:b/>
          <w:bCs/>
        </w:rPr>
        <w:t xml:space="preserve">en ajout seul</w:t>
      </w:r>
      <w:r>
        <w:t xml:space="preserve">. Exemple simplifié :</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Événement</w:t>
            </w:r>
          </w:p>
        </w:tc>
        <w:tc>
          <w:tcPr>
            <w:shd w:val="clear" w:color="auto" w:fill="232C6B"/>
          </w:tcPr>
          <w:p>
            <w:pPr>
              <w:pStyle w:val="Compact"/>
            </w:pPr>
            <w:r>
              <w:rPr>
                <w:b/>
                <w:color w:val="FFFFFF"/>
                <w:sz w:val="17"/>
              </w:rPr>
              <w:t xml:space="preserve">Débit</w:t>
            </w:r>
          </w:p>
        </w:tc>
        <w:tc>
          <w:tcPr>
            <w:shd w:val="clear" w:color="auto" w:fill="232C6B"/>
          </w:tcPr>
          <w:p>
            <w:pPr>
              <w:pStyle w:val="Compact"/>
            </w:pPr>
            <w:r>
              <w:rPr>
                <w:b/>
                <w:color w:val="FFFFFF"/>
                <w:sz w:val="17"/>
              </w:rPr>
              <w:t xml:space="preserve">Crédit</w:t>
            </w:r>
          </w:p>
        </w:tc>
      </w:tr>
      <w:tr>
        <w:tc>
          <w:tcPr/>
          <w:p>
            <w:pPr>
              <w:pStyle w:val="Compact"/>
            </w:pPr>
            <w:r>
              <w:rPr>
                <w:sz w:val="17"/>
              </w:rPr>
              <w:t xml:space="preserve">Émission d’une obligation de 100</w:t>
            </w:r>
          </w:p>
        </w:tc>
        <w:tc>
          <w:tcPr/>
          <w:p>
            <w:pPr>
              <w:pStyle w:val="Compact"/>
            </w:pPr>
            <w:r>
              <w:rPr>
                <w:sz w:val="17"/>
              </w:rPr>
              <w:t xml:space="preserve">Créance sur contribuable 100</w:t>
            </w:r>
          </w:p>
        </w:tc>
        <w:tc>
          <w:tcPr/>
          <w:p>
            <w:pPr>
              <w:pStyle w:val="Compact"/>
            </w:pPr>
            <w:r>
              <w:rPr>
                <w:sz w:val="17"/>
              </w:rPr>
              <w:t xml:space="preserve">Recette constatée 100</w:t>
            </w:r>
          </w:p>
        </w:tc>
      </w:tr>
      <w:tr>
        <w:tc>
          <w:tcPr>
            <w:shd w:val="clear" w:color="auto" w:fill="F5F7FB"/>
          </w:tcPr>
          <w:p>
            <w:pPr>
              <w:pStyle w:val="Compact"/>
            </w:pPr>
            <w:r>
              <w:rPr>
                <w:sz w:val="17"/>
              </w:rPr>
              <w:t xml:space="preserve">Confirmation de paiement</w:t>
            </w:r>
          </w:p>
        </w:tc>
        <w:tc>
          <w:tcPr>
            <w:shd w:val="clear" w:color="auto" w:fill="F5F7FB"/>
          </w:tcPr>
          <w:p>
            <w:pPr>
              <w:pStyle w:val="Compact"/>
            </w:pPr>
            <w:r>
              <w:rPr>
                <w:sz w:val="17"/>
              </w:rPr>
              <w:t xml:space="preserve">Fonds à recevoir du prestataire 100</w:t>
            </w:r>
          </w:p>
        </w:tc>
        <w:tc>
          <w:tcPr>
            <w:shd w:val="clear" w:color="auto" w:fill="F5F7FB"/>
          </w:tcPr>
          <w:p>
            <w:pPr>
              <w:pStyle w:val="Compact"/>
            </w:pPr>
            <w:r>
              <w:rPr>
                <w:sz w:val="17"/>
              </w:rPr>
              <w:t xml:space="preserve">Créance sur contribuable 100</w:t>
            </w:r>
          </w:p>
        </w:tc>
      </w:tr>
      <w:tr>
        <w:tc>
          <w:tcPr/>
          <w:p>
            <w:pPr>
              <w:pStyle w:val="Compact"/>
            </w:pPr>
            <w:r>
              <w:rPr>
                <w:sz w:val="17"/>
              </w:rPr>
              <w:t xml:space="preserve">Crédit sur compte public</w:t>
            </w:r>
          </w:p>
        </w:tc>
        <w:tc>
          <w:tcPr/>
          <w:p>
            <w:pPr>
              <w:pStyle w:val="Compact"/>
            </w:pPr>
            <w:r>
              <w:rPr>
                <w:sz w:val="17"/>
              </w:rPr>
              <w:t xml:space="preserve">Compte public de recettes 100</w:t>
            </w:r>
          </w:p>
        </w:tc>
        <w:tc>
          <w:tcPr/>
          <w:p>
            <w:pPr>
              <w:pStyle w:val="Compact"/>
            </w:pPr>
            <w:r>
              <w:rPr>
                <w:sz w:val="17"/>
              </w:rPr>
              <w:t xml:space="preserve">Fonds à recevoir du prestataire 100</w:t>
            </w:r>
          </w:p>
        </w:tc>
      </w:tr>
      <w:tr>
        <w:tc>
          <w:tcPr>
            <w:shd w:val="clear" w:color="auto" w:fill="F5F7FB"/>
          </w:tcPr>
          <w:p>
            <w:pPr>
              <w:pStyle w:val="Compact"/>
            </w:pPr>
            <w:r>
              <w:rPr>
                <w:sz w:val="17"/>
              </w:rPr>
              <w:t xml:space="preserve">Contrepassement</w:t>
            </w:r>
          </w:p>
        </w:tc>
        <w:tc>
          <w:tcPr>
            <w:shd w:val="clear" w:color="auto" w:fill="F5F7FB"/>
          </w:tcPr>
          <w:p>
            <w:pPr>
              <w:pStyle w:val="Compact"/>
            </w:pPr>
            <w:r>
              <w:rPr>
                <w:sz w:val="17"/>
              </w:rPr>
              <w:t xml:space="preserve">Créance sur contribuable 100</w:t>
            </w:r>
          </w:p>
        </w:tc>
        <w:tc>
          <w:tcPr>
            <w:shd w:val="clear" w:color="auto" w:fill="F5F7FB"/>
          </w:tcPr>
          <w:p>
            <w:pPr>
              <w:pStyle w:val="Compact"/>
            </w:pPr>
            <w:r>
              <w:rPr>
                <w:sz w:val="17"/>
              </w:rPr>
              <w:t xml:space="preserve">Fonds à recevoir du prestataire 100 (inverse)</w:t>
            </w:r>
          </w:p>
        </w:tc>
      </w:tr>
      <w:tr>
        <w:tc>
          <w:tcPr/>
          <w:p>
            <w:pPr>
              <w:pStyle w:val="Compact"/>
            </w:pPr>
            <w:r>
              <w:rPr>
                <w:sz w:val="17"/>
              </w:rPr>
              <w:t xml:space="preserve">Remboursement</w:t>
            </w:r>
          </w:p>
        </w:tc>
        <w:tc>
          <w:tcPr/>
          <w:p>
            <w:pPr>
              <w:pStyle w:val="Compact"/>
            </w:pPr>
            <w:r>
              <w:rPr>
                <w:sz w:val="17"/>
              </w:rPr>
              <w:t xml:space="preserve">Recette constatée (restitution) 100</w:t>
            </w:r>
          </w:p>
        </w:tc>
        <w:tc>
          <w:tcPr/>
          <w:p>
            <w:pPr>
              <w:pStyle w:val="Compact"/>
            </w:pPr>
            <w:r>
              <w:rPr>
                <w:sz w:val="17"/>
              </w:rPr>
              <w:t xml:space="preserve">Compte public de recettes 100</w:t>
            </w:r>
          </w:p>
        </w:tc>
      </w:tr>
    </w:tbl>
    <w:p>
      <w:pPr>
        <w:pStyle w:val="BodyText"/>
      </w:pPr>
      <w:r>
        <w:t xml:space="preserve">Clôture quotidienne signée (hachage de la journée chaîné à la précédente), comptes d’attente (suspens) datés et justifiés, interface d’export vers la comptabilité publique du Trésor provincial.</w:t>
      </w:r>
      <w:r>
        <w:t xml:space="preserve"> </w:t>
      </w:r>
      <w:r>
        <w:rPr>
          <w:b/>
          <w:bCs/>
        </w:rPr>
        <w:t xml:space="preserve">Aucune correction sans contre-écriture liée à l’original.</w:t>
      </w:r>
    </w:p>
    <w:bookmarkEnd w:id="200"/>
    <w:bookmarkStart w:id="201" w:name="attribution-territoriale-des-recettes"/>
    <w:p>
      <w:pPr>
        <w:pStyle w:val="Heading2"/>
      </w:pPr>
      <w:r>
        <w:t xml:space="preserve">20.3 Attribution territoriale des recettes</w:t>
      </w:r>
    </w:p>
    <w:p>
      <w:pPr>
        <w:pStyle w:val="FirstParagraph"/>
      </w:pPr>
      <w:r>
        <w:rPr>
          <w:b/>
          <w:bCs/>
        </w:rPr>
        <w:t xml:space="preserve">Règle.</w:t>
      </w:r>
      <w:r>
        <w:t xml:space="preserve"> </w:t>
      </w:r>
      <w:r>
        <w:t xml:space="preserve">Une recette est comptée pour la</w:t>
      </w:r>
      <w:r>
        <w:t xml:space="preserve"> </w:t>
      </w:r>
      <w:r>
        <w:rPr>
          <w:b/>
          <w:bCs/>
        </w:rPr>
        <w:t xml:space="preserve">commune du fait générateur</w:t>
      </w:r>
      <w:r>
        <w:t xml:space="preserve"> </w:t>
      </w:r>
      <w:r>
        <w:t xml:space="preserve">: la commune où se trouve l’objet taxé ou celle où le service payant est consommé. Elle n’est</w:t>
      </w:r>
      <w:r>
        <w:t xml:space="preserve"> </w:t>
      </w:r>
      <w:r>
        <w:rPr>
          <w:b/>
          <w:bCs/>
        </w:rPr>
        <w:t xml:space="preserve">jamais</w:t>
      </w:r>
      <w:r>
        <w:t xml:space="preserve"> </w:t>
      </w:r>
      <w:r>
        <w:t xml:space="preserve">comptée d’après l’adresse du contribuable, ni d’après le lieu où il paie (guichet, agence, téléphone).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Recette</w:t>
            </w:r>
          </w:p>
        </w:tc>
        <w:tc>
          <w:tcPr>
            <w:shd w:val="clear" w:color="auto" w:fill="232C6B"/>
          </w:tcPr>
          <w:p>
            <w:pPr>
              <w:pStyle w:val="Compact"/>
            </w:pPr>
            <w:r>
              <w:rPr>
                <w:b/>
                <w:color w:val="FFFFFF"/>
                <w:sz w:val="17"/>
              </w:rPr>
              <w:t xml:space="preserve">Lieu qui détermine la commune</w:t>
            </w:r>
          </w:p>
        </w:tc>
        <w:tc>
          <w:tcPr>
            <w:shd w:val="clear" w:color="auto" w:fill="232C6B"/>
          </w:tcPr>
          <w:p>
            <w:pPr>
              <w:pStyle w:val="Compact"/>
            </w:pPr>
            <w:r>
              <w:rPr>
                <w:b/>
                <w:color w:val="FFFFFF"/>
                <w:sz w:val="17"/>
              </w:rPr>
              <w:t xml:space="preserve">Base d’attribution</w:t>
            </w:r>
          </w:p>
        </w:tc>
      </w:tr>
      <w:tr>
        <w:tc>
          <w:tcPr/>
          <w:p>
            <w:pPr>
              <w:pStyle w:val="Compact"/>
            </w:pPr>
            <w:r>
              <w:rPr>
                <w:sz w:val="17"/>
              </w:rPr>
              <w:t xml:space="preserve">Impôt foncier</w:t>
            </w:r>
          </w:p>
        </w:tc>
        <w:tc>
          <w:tcPr/>
          <w:p>
            <w:pPr>
              <w:pStyle w:val="Compact"/>
            </w:pPr>
            <w:r>
              <w:rPr>
                <w:sz w:val="17"/>
              </w:rPr>
              <w:t xml:space="preserve">Parcelle ou immeuble</w:t>
            </w:r>
          </w:p>
        </w:tc>
        <w:tc>
          <w:tcPr/>
          <w:p>
            <w:pPr>
              <w:pStyle w:val="Compact"/>
            </w:pPr>
            <w:r>
              <w:rPr>
                <w:rStyle w:val="VerbatimChar"/>
                <w:sz w:val="17"/>
              </w:rPr>
              <w:t xml:space="preserve">LIEU_OBJET</w:t>
            </w:r>
          </w:p>
        </w:tc>
      </w:tr>
      <w:tr>
        <w:tc>
          <w:tcPr>
            <w:shd w:val="clear" w:color="auto" w:fill="F5F7FB"/>
          </w:tcPr>
          <w:p>
            <w:pPr>
              <w:pStyle w:val="Compact"/>
            </w:pPr>
            <w:r>
              <w:rPr>
                <w:sz w:val="17"/>
              </w:rPr>
              <w:t xml:space="preserve">Impôt sur les revenus locatifs</w:t>
            </w:r>
          </w:p>
        </w:tc>
        <w:tc>
          <w:tcPr>
            <w:shd w:val="clear" w:color="auto" w:fill="F5F7FB"/>
          </w:tcPr>
          <w:p>
            <w:pPr>
              <w:pStyle w:val="Compact"/>
            </w:pPr>
            <w:r>
              <w:rPr>
                <w:sz w:val="17"/>
              </w:rPr>
              <w:t xml:space="preserve">Unité locative louée</w:t>
            </w:r>
          </w:p>
        </w:tc>
        <w:tc>
          <w:tcPr>
            <w:shd w:val="clear" w:color="auto" w:fill="F5F7FB"/>
          </w:tcPr>
          <w:p>
            <w:pPr>
              <w:pStyle w:val="Compact"/>
            </w:pPr>
            <w:r>
              <w:rPr>
                <w:rStyle w:val="VerbatimChar"/>
                <w:sz w:val="17"/>
              </w:rPr>
              <w:t xml:space="preserve">LIEU_OBJET</w:t>
            </w:r>
          </w:p>
        </w:tc>
      </w:tr>
      <w:tr>
        <w:tc>
          <w:tcPr/>
          <w:p>
            <w:pPr>
              <w:pStyle w:val="Compact"/>
            </w:pPr>
            <w:r>
              <w:rPr>
                <w:sz w:val="17"/>
              </w:rPr>
              <w:t xml:space="preserve">Droit d’étal, occupation du domaine public</w:t>
            </w:r>
          </w:p>
        </w:tc>
        <w:tc>
          <w:tcPr/>
          <w:p>
            <w:pPr>
              <w:pStyle w:val="Compact"/>
            </w:pPr>
            <w:r>
              <w:rPr>
                <w:sz w:val="17"/>
              </w:rPr>
              <w:t xml:space="preserve">Emplacement au marché ou sur la voie publique</w:t>
            </w:r>
          </w:p>
        </w:tc>
        <w:tc>
          <w:tcPr/>
          <w:p>
            <w:pPr>
              <w:pStyle w:val="Compact"/>
            </w:pPr>
            <w:r>
              <w:rPr>
                <w:rStyle w:val="VerbatimChar"/>
                <w:sz w:val="17"/>
              </w:rPr>
              <w:t xml:space="preserve">LIEU_OBJET</w:t>
            </w:r>
          </w:p>
        </w:tc>
      </w:tr>
      <w:tr>
        <w:tc>
          <w:tcPr>
            <w:shd w:val="clear" w:color="auto" w:fill="F5F7FB"/>
          </w:tcPr>
          <w:p>
            <w:pPr>
              <w:pStyle w:val="Compact"/>
            </w:pPr>
            <w:r>
              <w:rPr>
                <w:sz w:val="17"/>
              </w:rPr>
              <w:t xml:space="preserve">Taxe sur la publicité</w:t>
            </w:r>
          </w:p>
        </w:tc>
        <w:tc>
          <w:tcPr>
            <w:shd w:val="clear" w:color="auto" w:fill="F5F7FB"/>
          </w:tcPr>
          <w:p>
            <w:pPr>
              <w:pStyle w:val="Compact"/>
            </w:pPr>
            <w:r>
              <w:rPr>
                <w:sz w:val="17"/>
              </w:rPr>
              <w:t xml:space="preserve">Dispositif publicitaire</w:t>
            </w:r>
          </w:p>
        </w:tc>
        <w:tc>
          <w:tcPr>
            <w:shd w:val="clear" w:color="auto" w:fill="F5F7FB"/>
          </w:tcPr>
          <w:p>
            <w:pPr>
              <w:pStyle w:val="Compact"/>
            </w:pPr>
            <w:r>
              <w:rPr>
                <w:rStyle w:val="VerbatimChar"/>
                <w:sz w:val="17"/>
              </w:rPr>
              <w:t xml:space="preserve">LIEU_OBJET</w:t>
            </w:r>
          </w:p>
        </w:tc>
      </w:tr>
      <w:tr>
        <w:tc>
          <w:tcPr/>
          <w:p>
            <w:pPr>
              <w:pStyle w:val="Compact"/>
            </w:pPr>
            <w:r>
              <w:rPr>
                <w:sz w:val="17"/>
              </w:rPr>
              <w:t xml:space="preserve">Obligations d’une entreprise</w:t>
            </w:r>
          </w:p>
        </w:tc>
        <w:tc>
          <w:tcPr/>
          <w:p>
            <w:pPr>
              <w:pStyle w:val="Compact"/>
            </w:pPr>
            <w:r>
              <w:rPr>
                <w:sz w:val="17"/>
              </w:rPr>
              <w:t xml:space="preserve">Établissement concerné (une ligne par établissement)</w:t>
            </w:r>
          </w:p>
        </w:tc>
        <w:tc>
          <w:tcPr/>
          <w:p>
            <w:pPr>
              <w:pStyle w:val="Compact"/>
            </w:pPr>
            <w:r>
              <w:rPr>
                <w:rStyle w:val="VerbatimChar"/>
                <w:sz w:val="17"/>
              </w:rPr>
              <w:t xml:space="preserve">LIEU_OBJET</w:t>
            </w:r>
          </w:p>
        </w:tc>
      </w:tr>
      <w:tr>
        <w:tc>
          <w:tcPr>
            <w:shd w:val="clear" w:color="auto" w:fill="F5F7FB"/>
          </w:tcPr>
          <w:p>
            <w:pPr>
              <w:pStyle w:val="Compact"/>
            </w:pPr>
            <w:r>
              <w:rPr>
                <w:sz w:val="17"/>
              </w:rPr>
              <w:t xml:space="preserve">Chantier, quitus</w:t>
            </w:r>
          </w:p>
        </w:tc>
        <w:tc>
          <w:tcPr>
            <w:shd w:val="clear" w:color="auto" w:fill="F5F7FB"/>
          </w:tcPr>
          <w:p>
            <w:pPr>
              <w:pStyle w:val="Compact"/>
            </w:pPr>
            <w:r>
              <w:rPr>
                <w:sz w:val="17"/>
              </w:rPr>
              <w:t xml:space="preserve">Terrain du chantier</w:t>
            </w:r>
          </w:p>
        </w:tc>
        <w:tc>
          <w:tcPr>
            <w:shd w:val="clear" w:color="auto" w:fill="F5F7FB"/>
          </w:tcPr>
          <w:p>
            <w:pPr>
              <w:pStyle w:val="Compact"/>
            </w:pPr>
            <w:r>
              <w:rPr>
                <w:rStyle w:val="VerbatimChar"/>
                <w:sz w:val="17"/>
              </w:rPr>
              <w:t xml:space="preserve">LIEU_OBJET</w:t>
            </w:r>
          </w:p>
        </w:tc>
      </w:tr>
      <w:tr>
        <w:tc>
          <w:tcPr/>
          <w:p>
            <w:pPr>
              <w:pStyle w:val="Compact"/>
            </w:pPr>
            <w:r>
              <w:rPr>
                <w:sz w:val="17"/>
              </w:rPr>
              <w:t xml:space="preserve">Événement</w:t>
            </w:r>
          </w:p>
        </w:tc>
        <w:tc>
          <w:tcPr/>
          <w:p>
            <w:pPr>
              <w:pStyle w:val="Compact"/>
            </w:pPr>
            <w:r>
              <w:rPr>
                <w:sz w:val="17"/>
              </w:rPr>
              <w:t xml:space="preserve">Lieu de l’événement</w:t>
            </w:r>
          </w:p>
        </w:tc>
        <w:tc>
          <w:tcPr/>
          <w:p>
            <w:pPr>
              <w:pStyle w:val="Compact"/>
            </w:pPr>
            <w:r>
              <w:rPr>
                <w:rStyle w:val="VerbatimChar"/>
                <w:sz w:val="17"/>
              </w:rPr>
              <w:t xml:space="preserve">LIEU_OBJET</w:t>
            </w:r>
          </w:p>
        </w:tc>
      </w:tr>
      <w:tr>
        <w:tc>
          <w:tcPr>
            <w:shd w:val="clear" w:color="auto" w:fill="F5F7FB"/>
          </w:tcPr>
          <w:p>
            <w:pPr>
              <w:pStyle w:val="Compact"/>
            </w:pPr>
            <w:r>
              <w:rPr>
                <w:sz w:val="17"/>
              </w:rPr>
              <w:t xml:space="preserve">Site de télécommunications</w:t>
            </w:r>
          </w:p>
        </w:tc>
        <w:tc>
          <w:tcPr>
            <w:shd w:val="clear" w:color="auto" w:fill="F5F7FB"/>
          </w:tcPr>
          <w:p>
            <w:pPr>
              <w:pStyle w:val="Compact"/>
            </w:pPr>
            <w:r>
              <w:rPr>
                <w:sz w:val="17"/>
              </w:rPr>
              <w:t xml:space="preserve">Site</w:t>
            </w:r>
          </w:p>
        </w:tc>
        <w:tc>
          <w:tcPr>
            <w:shd w:val="clear" w:color="auto" w:fill="F5F7FB"/>
          </w:tcPr>
          <w:p>
            <w:pPr>
              <w:pStyle w:val="Compact"/>
            </w:pPr>
            <w:r>
              <w:rPr>
                <w:rStyle w:val="VerbatimChar"/>
                <w:sz w:val="17"/>
              </w:rPr>
              <w:t xml:space="preserve">LIEU_OBJET</w:t>
            </w:r>
          </w:p>
        </w:tc>
      </w:tr>
      <w:tr>
        <w:tc>
          <w:tcPr/>
          <w:p>
            <w:pPr>
              <w:pStyle w:val="Compact"/>
            </w:pPr>
            <w:r>
              <w:rPr>
                <w:sz w:val="17"/>
              </w:rPr>
              <w:t xml:space="preserve">Stationnement</w:t>
            </w:r>
          </w:p>
        </w:tc>
        <w:tc>
          <w:tcPr/>
          <w:p>
            <w:pPr>
              <w:pStyle w:val="Compact"/>
            </w:pPr>
            <w:r>
              <w:rPr>
                <w:sz w:val="17"/>
              </w:rPr>
              <w:t xml:space="preserve">Zone de stationnement utilisée</w:t>
            </w:r>
          </w:p>
        </w:tc>
        <w:tc>
          <w:tcPr/>
          <w:p>
            <w:pPr>
              <w:pStyle w:val="Compact"/>
            </w:pPr>
            <w:r>
              <w:rPr>
                <w:rStyle w:val="VerbatimChar"/>
                <w:sz w:val="17"/>
              </w:rPr>
              <w:t xml:space="preserve">ZONE_SERVICE</w:t>
            </w:r>
          </w:p>
        </w:tc>
      </w:tr>
      <w:tr>
        <w:tc>
          <w:tcPr>
            <w:shd w:val="clear" w:color="auto" w:fill="F5F7FB"/>
          </w:tcPr>
          <w:p>
            <w:pPr>
              <w:pStyle w:val="Compact"/>
            </w:pPr>
            <w:r>
              <w:rPr>
                <w:sz w:val="17"/>
              </w:rPr>
              <w:t xml:space="preserve">Ticket de transport RakaPay</w:t>
            </w:r>
          </w:p>
        </w:tc>
        <w:tc>
          <w:tcPr>
            <w:shd w:val="clear" w:color="auto" w:fill="F5F7FB"/>
          </w:tcPr>
          <w:p>
            <w:pPr>
              <w:pStyle w:val="Compact"/>
            </w:pPr>
            <w:r>
              <w:rPr>
                <w:sz w:val="17"/>
              </w:rPr>
              <w:t xml:space="preserve">Station de départ</w:t>
            </w:r>
          </w:p>
        </w:tc>
        <w:tc>
          <w:tcPr>
            <w:shd w:val="clear" w:color="auto" w:fill="F5F7FB"/>
          </w:tcPr>
          <w:p>
            <w:pPr>
              <w:pStyle w:val="Compact"/>
            </w:pPr>
            <w:r>
              <w:rPr>
                <w:rStyle w:val="VerbatimChar"/>
                <w:sz w:val="17"/>
              </w:rPr>
              <w:t xml:space="preserve">STATION_DEPART</w:t>
            </w:r>
          </w:p>
        </w:tc>
      </w:tr>
      <w:tr>
        <w:tc>
          <w:tcPr/>
          <w:p>
            <w:pPr>
              <w:pStyle w:val="Compact"/>
            </w:pPr>
            <w:r>
              <w:rPr>
                <w:sz w:val="17"/>
              </w:rPr>
              <w:t xml:space="preserve">Pass wewa</w:t>
            </w:r>
          </w:p>
        </w:tc>
        <w:tc>
          <w:tcPr/>
          <w:p>
            <w:pPr>
              <w:pStyle w:val="Compact"/>
            </w:pPr>
            <w:r>
              <w:rPr>
                <w:sz w:val="17"/>
              </w:rPr>
              <w:t xml:space="preserve">Station d’attache enregistrée du conducteur</w:t>
            </w:r>
          </w:p>
        </w:tc>
        <w:tc>
          <w:tcPr/>
          <w:p>
            <w:pPr>
              <w:pStyle w:val="Compact"/>
            </w:pPr>
            <w:r>
              <w:rPr>
                <w:rStyle w:val="VerbatimChar"/>
                <w:sz w:val="17"/>
              </w:rPr>
              <w:t xml:space="preserve">STATION_DEPART</w:t>
            </w:r>
          </w:p>
        </w:tc>
      </w:tr>
      <w:tr>
        <w:tc>
          <w:tcPr>
            <w:shd w:val="clear" w:color="auto" w:fill="F5F7FB"/>
          </w:tcPr>
          <w:p>
            <w:pPr>
              <w:pStyle w:val="Compact"/>
            </w:pPr>
            <w:r>
              <w:rPr>
                <w:sz w:val="17"/>
              </w:rPr>
              <w:t xml:space="preserve">Recouvrement d’un arriéré</w:t>
            </w:r>
          </w:p>
        </w:tc>
        <w:tc>
          <w:tcPr>
            <w:shd w:val="clear" w:color="auto" w:fill="F5F7FB"/>
          </w:tcPr>
          <w:p>
            <w:pPr>
              <w:pStyle w:val="Compact"/>
            </w:pPr>
            <w:r>
              <w:rPr>
                <w:sz w:val="17"/>
              </w:rPr>
              <w:t xml:space="preserve">Commune de l’obligation d’origine</w:t>
            </w:r>
          </w:p>
        </w:tc>
        <w:tc>
          <w:tcPr>
            <w:shd w:val="clear" w:color="auto" w:fill="F5F7FB"/>
          </w:tcPr>
          <w:p>
            <w:pPr>
              <w:pStyle w:val="Compact"/>
            </w:pPr>
            <w:r>
              <w:rPr>
                <w:sz w:val="17"/>
              </w:rPr>
              <w:t xml:space="preserve">Reprise de l’obligation</w:t>
            </w:r>
          </w:p>
        </w:tc>
      </w:tr>
      <w:tr>
        <w:tc>
          <w:tcPr/>
          <w:p>
            <w:pPr>
              <w:pStyle w:val="Compact"/>
            </w:pPr>
            <w:r>
              <w:rPr>
                <w:sz w:val="17"/>
              </w:rPr>
              <w:t xml:space="preserve">Recette sans lieu établi</w:t>
            </w:r>
          </w:p>
        </w:tc>
        <w:tc>
          <w:tcPr/>
          <w:p>
            <w:pPr>
              <w:pStyle w:val="Compact"/>
            </w:pPr>
            <w:r>
              <w:rPr>
                <w:sz w:val="17"/>
              </w:rPr>
              <w:t xml:space="preserve">Aucune : « non attribuée »</w:t>
            </w:r>
          </w:p>
        </w:tc>
        <w:tc>
          <w:tcPr/>
          <w:p>
            <w:pPr>
              <w:pStyle w:val="Compact"/>
            </w:pPr>
            <w:r>
              <w:rPr>
                <w:rStyle w:val="VerbatimChar"/>
                <w:sz w:val="17"/>
              </w:rPr>
              <w:t xml:space="preserve">NON_LOCALISE</w:t>
            </w:r>
          </w:p>
        </w:tc>
      </w:tr>
    </w:tbl>
    <w:p>
      <w:pPr>
        <w:pStyle w:val="BodyText"/>
      </w:pPr>
      <w:r>
        <w:rPr>
          <w:b/>
          <w:bCs/>
        </w:rPr>
        <w:t xml:space="preserve">Exemple.</w:t>
      </w:r>
      <w:r>
        <w:t xml:space="preserve"> </w:t>
      </w:r>
      <w:r>
        <w:t xml:space="preserve">Un contribuable domicilié à Bandalungwa qui stationne à Masina et paie un étal au marché de Kalamu produit une recette comptée pour Masina, une recette comptée pour Kalamu, et, s’il est propriétaire à Bandalungwa, un impôt foncier compté pour Bandalungwa. Il conserve un seul compte et voit tous ses paiements, quelle que soit la commune.</w:t>
      </w:r>
    </w:p>
    <w:p>
      <w:pPr>
        <w:pStyle w:val="BodyText"/>
      </w:pPr>
      <w:r>
        <w:rPr>
          <w:b/>
          <w:bCs/>
        </w:rPr>
        <w:t xml:space="preserve">Garanties.</w:t>
      </w:r>
    </w:p>
    <w:p>
      <w:pPr>
        <w:pStyle w:val="Compact"/>
        <w:numPr>
          <w:ilvl w:val="0"/>
          <w:numId w:val="1018"/>
        </w:numPr>
      </w:pPr>
      <w:r>
        <w:rPr>
          <w:b/>
          <w:bCs/>
        </w:rPr>
        <w:t xml:space="preserve">Figée à la liquidation.</w:t>
      </w:r>
      <w:r>
        <w:t xml:space="preserve"> </w:t>
      </w:r>
      <w:r>
        <w:t xml:space="preserve">La commune est enregistrée sur l’obligation au moment où elle est émise, puis recopiée sur chaque ordre de paiement. Une correction ultérieure de la localisation d’un objet ne réécrit pas les obligations déjà émises ; une rectification reprend la commune d’origine. Toute modification passe par une rectification tracée (§ 22.2).</w:t>
      </w:r>
    </w:p>
    <w:p>
      <w:pPr>
        <w:pStyle w:val="Compact"/>
        <w:numPr>
          <w:ilvl w:val="0"/>
          <w:numId w:val="1018"/>
        </w:numPr>
      </w:pPr>
      <w:r>
        <w:rPr>
          <w:b/>
          <w:bCs/>
        </w:rPr>
        <w:t xml:space="preserve">Jamais devinée.</w:t>
      </w:r>
      <w:r>
        <w:t xml:space="preserve"> </w:t>
      </w:r>
      <w:r>
        <w:t xml:space="preserve">Un objet sans commune établie produit une recette « non attribuée » (</w:t>
      </w:r>
      <w:r>
        <w:rPr>
          <w:rStyle w:val="VerbatimChar"/>
        </w:rPr>
        <w:t xml:space="preserve">NON_LOCALISE</w:t>
      </w:r>
      <w:r>
        <w:t xml:space="preserve">), affichée comme telle. Elle n’est jamais rattachée par défaut à l’adresse du contribuable ou de l’agent. La réduction de cette part est un indicateur de qualité du recensement.</w:t>
      </w:r>
    </w:p>
    <w:p>
      <w:pPr>
        <w:pStyle w:val="Compact"/>
        <w:numPr>
          <w:ilvl w:val="0"/>
          <w:numId w:val="1018"/>
        </w:numPr>
      </w:pPr>
      <w:r>
        <w:rPr>
          <w:b/>
          <w:bCs/>
        </w:rPr>
        <w:t xml:space="preserve">Agrégats seulement.</w:t>
      </w:r>
      <w:r>
        <w:t xml:space="preserve"> </w:t>
      </w:r>
      <w:r>
        <w:t xml:space="preserve">Le tableau de bord présente, par commune, le nombre de paiements confirmés, le montant payé et,</w:t>
      </w:r>
      <w:r>
        <w:t xml:space="preserve"> </w:t>
      </w:r>
      <w:r>
        <w:rPr>
          <w:b/>
          <w:bCs/>
        </w:rPr>
        <w:t xml:space="preserve">dont</w:t>
      </w:r>
      <w:r>
        <w:t xml:space="preserve">, le montant rapproché avec le relevé du compte public. Ces deux niveaux ne s’additionnent pas (§ 26.2), et aucun nom de contribuable n’y figure.</w:t>
      </w:r>
    </w:p>
    <w:p>
      <w:pPr>
        <w:pStyle w:val="FirstParagraph"/>
      </w:pPr>
      <w:r>
        <w:rPr>
          <w:b/>
          <w:bCs/>
        </w:rPr>
        <w:t xml:space="preserve">« Compté pour » n’est pas « versé à ».</w:t>
      </w:r>
      <w:r>
        <w:t xml:space="preserve"> </w:t>
      </w:r>
      <w:r>
        <w:t xml:space="preserve">L’argent est toujours versé au compte public de l’entité bénéficiaire désignée par la règle (§ 18.1), en général un compte de la Province. L’attribution territoriale sert à la mesure (tableau de bord, carte, publication trimestrielle), au pilotage des campagnes et à la comparaison entre communes. Une éventuelle part reversée aux communes (entités territoriales décentralisées) ne peut être calculée qu’à partir d’un texte en vigueur. Aucune clé de répartition n’est paramétrée avant lecture de l’Ordonnance-loi n° 18/004 et des actes provinciaux applicables (§ 6.3) [À VÉRIFIER] [ACTE REQUIS].</w:t>
      </w:r>
    </w:p>
    <w:bookmarkEnd w:id="201"/>
    <w:bookmarkEnd w:id="202"/>
    <w:bookmarkStart w:id="210" w:name="recouvrement-et-exécution"/>
    <w:p>
      <w:pPr>
        <w:pStyle w:val="Heading1"/>
      </w:pPr>
      <w:r>
        <w:t xml:space="preserve">21. Recouvrement et exécution</w:t>
      </w:r>
    </w:p>
    <w:bookmarkStart w:id="203" w:name="principes-2"/>
    <w:p>
      <w:pPr>
        <w:pStyle w:val="Heading2"/>
      </w:pPr>
      <w:r>
        <w:t xml:space="preserve">21.1 Principes</w:t>
      </w:r>
    </w:p>
    <w:p>
      <w:pPr>
        <w:pStyle w:val="FirstParagraph"/>
      </w:pPr>
      <w:r>
        <w:t xml:space="preserve">Le recouvrement est</w:t>
      </w:r>
      <w:r>
        <w:t xml:space="preserve"> </w:t>
      </w:r>
      <w:r>
        <w:rPr>
          <w:b/>
          <w:bCs/>
        </w:rPr>
        <w:t xml:space="preserve">gradué, proportionné, tracé et contestable</w:t>
      </w:r>
      <w:r>
        <w:t xml:space="preserve">. Le système calcule, segmente, prépare et notifie ;</w:t>
      </w:r>
      <w:r>
        <w:t xml:space="preserve"> </w:t>
      </w:r>
      <w:r>
        <w:rPr>
          <w:b/>
          <w:bCs/>
        </w:rPr>
        <w:t xml:space="preserve">toute mesure coercitive est décidée par l’autorité légalement compétente</w:t>
      </w:r>
      <w:r>
        <w:t xml:space="preserve">, après vérification humaine, conformément à l’édit de procédure (J4).</w:t>
      </w:r>
    </w:p>
    <w:bookmarkEnd w:id="203"/>
    <w:bookmarkStart w:id="204" w:name="segmentation"/>
    <w:p>
      <w:pPr>
        <w:pStyle w:val="Heading2"/>
      </w:pPr>
      <w:r>
        <w:t xml:space="preserve">21.2 Segmentation</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Segment</w:t>
            </w:r>
          </w:p>
        </w:tc>
        <w:tc>
          <w:tcPr>
            <w:shd w:val="clear" w:color="auto" w:fill="232C6B"/>
          </w:tcPr>
          <w:p>
            <w:pPr>
              <w:pStyle w:val="Compact"/>
            </w:pPr>
            <w:r>
              <w:rPr>
                <w:b/>
                <w:color w:val="FFFFFF"/>
                <w:sz w:val="17"/>
              </w:rPr>
              <w:t xml:space="preserve">Critère</w:t>
            </w:r>
          </w:p>
        </w:tc>
        <w:tc>
          <w:tcPr>
            <w:shd w:val="clear" w:color="auto" w:fill="232C6B"/>
          </w:tcPr>
          <w:p>
            <w:pPr>
              <w:pStyle w:val="Compact"/>
            </w:pPr>
            <w:r>
              <w:rPr>
                <w:b/>
                <w:color w:val="FFFFFF"/>
                <w:sz w:val="17"/>
              </w:rPr>
              <w:t xml:space="preserve">Approche</w:t>
            </w:r>
          </w:p>
        </w:tc>
      </w:tr>
      <w:tr>
        <w:tc>
          <w:tcPr/>
          <w:p>
            <w:pPr>
              <w:pStyle w:val="Compact"/>
            </w:pPr>
            <w:r>
              <w:rPr>
                <w:sz w:val="17"/>
              </w:rPr>
              <w:t xml:space="preserve">Oubli</w:t>
            </w:r>
          </w:p>
        </w:tc>
        <w:tc>
          <w:tcPr/>
          <w:p>
            <w:pPr>
              <w:pStyle w:val="Compact"/>
            </w:pPr>
            <w:r>
              <w:rPr>
                <w:sz w:val="17"/>
              </w:rPr>
              <w:t xml:space="preserve">Premier retard, bon historique</w:t>
            </w:r>
          </w:p>
        </w:tc>
        <w:tc>
          <w:tcPr/>
          <w:p>
            <w:pPr>
              <w:pStyle w:val="Compact"/>
            </w:pPr>
            <w:r>
              <w:rPr>
                <w:sz w:val="17"/>
              </w:rPr>
              <w:t xml:space="preserve">Rappel simple, facilité de paiement</w:t>
            </w:r>
          </w:p>
        </w:tc>
      </w:tr>
      <w:tr>
        <w:tc>
          <w:tcPr>
            <w:shd w:val="clear" w:color="auto" w:fill="F5F7FB"/>
          </w:tcPr>
          <w:p>
            <w:pPr>
              <w:pStyle w:val="Compact"/>
            </w:pPr>
            <w:r>
              <w:rPr>
                <w:sz w:val="17"/>
              </w:rPr>
              <w:t xml:space="preserve">Friction</w:t>
            </w:r>
          </w:p>
        </w:tc>
        <w:tc>
          <w:tcPr>
            <w:shd w:val="clear" w:color="auto" w:fill="F5F7FB"/>
          </w:tcPr>
          <w:p>
            <w:pPr>
              <w:pStyle w:val="Compact"/>
            </w:pPr>
            <w:r>
              <w:rPr>
                <w:sz w:val="17"/>
              </w:rPr>
              <w:t xml:space="preserve">Difficultés d’accès au paiement</w:t>
            </w:r>
          </w:p>
        </w:tc>
        <w:tc>
          <w:tcPr>
            <w:shd w:val="clear" w:color="auto" w:fill="F5F7FB"/>
          </w:tcPr>
          <w:p>
            <w:pPr>
              <w:pStyle w:val="Compact"/>
            </w:pPr>
            <w:r>
              <w:rPr>
                <w:sz w:val="17"/>
              </w:rPr>
              <w:t xml:space="preserve">Assistance, point de paiement proche</w:t>
            </w:r>
          </w:p>
        </w:tc>
      </w:tr>
      <w:tr>
        <w:tc>
          <w:tcPr/>
          <w:p>
            <w:pPr>
              <w:pStyle w:val="Compact"/>
            </w:pPr>
            <w:r>
              <w:rPr>
                <w:sz w:val="17"/>
              </w:rPr>
              <w:t xml:space="preserve">Capacité limitée</w:t>
            </w:r>
          </w:p>
        </w:tc>
        <w:tc>
          <w:tcPr/>
          <w:p>
            <w:pPr>
              <w:pStyle w:val="Compact"/>
            </w:pPr>
            <w:r>
              <w:rPr>
                <w:sz w:val="17"/>
              </w:rPr>
              <w:t xml:space="preserve">Montant élevé relatif au revenu présumé</w:t>
            </w:r>
          </w:p>
        </w:tc>
        <w:tc>
          <w:tcPr/>
          <w:p>
            <w:pPr>
              <w:pStyle w:val="Compact"/>
            </w:pPr>
            <w:r>
              <w:rPr>
                <w:sz w:val="17"/>
              </w:rPr>
              <w:t xml:space="preserve">Échéancier si la loi le permet</w:t>
            </w:r>
          </w:p>
        </w:tc>
      </w:tr>
      <w:tr>
        <w:tc>
          <w:tcPr>
            <w:shd w:val="clear" w:color="auto" w:fill="F5F7FB"/>
          </w:tcPr>
          <w:p>
            <w:pPr>
              <w:pStyle w:val="Compact"/>
            </w:pPr>
            <w:r>
              <w:rPr>
                <w:sz w:val="17"/>
              </w:rPr>
              <w:t xml:space="preserve">Contestation</w:t>
            </w:r>
          </w:p>
        </w:tc>
        <w:tc>
          <w:tcPr>
            <w:shd w:val="clear" w:color="auto" w:fill="F5F7FB"/>
          </w:tcPr>
          <w:p>
            <w:pPr>
              <w:pStyle w:val="Compact"/>
            </w:pPr>
            <w:r>
              <w:rPr>
                <w:sz w:val="17"/>
              </w:rPr>
              <w:t xml:space="preserve">Désaccord sur la base</w:t>
            </w:r>
          </w:p>
        </w:tc>
        <w:tc>
          <w:tcPr>
            <w:shd w:val="clear" w:color="auto" w:fill="F5F7FB"/>
          </w:tcPr>
          <w:p>
            <w:pPr>
              <w:pStyle w:val="Compact"/>
            </w:pPr>
            <w:r>
              <w:rPr>
                <w:sz w:val="17"/>
              </w:rPr>
              <w:t xml:space="preserve">Orientation vers la réclamation</w:t>
            </w:r>
          </w:p>
        </w:tc>
      </w:tr>
      <w:tr>
        <w:tc>
          <w:tcPr/>
          <w:p>
            <w:pPr>
              <w:pStyle w:val="Compact"/>
            </w:pPr>
            <w:r>
              <w:rPr>
                <w:sz w:val="17"/>
              </w:rPr>
              <w:t xml:space="preserve">Refus délibéré</w:t>
            </w:r>
          </w:p>
        </w:tc>
        <w:tc>
          <w:tcPr/>
          <w:p>
            <w:pPr>
              <w:pStyle w:val="Compact"/>
            </w:pPr>
            <w:r>
              <w:rPr>
                <w:sz w:val="17"/>
              </w:rPr>
              <w:t xml:space="preserve">Relances ignorées, capacité établie</w:t>
            </w:r>
          </w:p>
        </w:tc>
        <w:tc>
          <w:tcPr/>
          <w:p>
            <w:pPr>
              <w:pStyle w:val="Compact"/>
            </w:pPr>
            <w:r>
              <w:rPr>
                <w:sz w:val="17"/>
              </w:rPr>
              <w:t xml:space="preserve">Procédure légale graduée</w:t>
            </w:r>
          </w:p>
        </w:tc>
      </w:tr>
      <w:tr>
        <w:tc>
          <w:tcPr>
            <w:shd w:val="clear" w:color="auto" w:fill="F5F7FB"/>
          </w:tcPr>
          <w:p>
            <w:pPr>
              <w:pStyle w:val="Compact"/>
            </w:pPr>
            <w:r>
              <w:rPr>
                <w:sz w:val="17"/>
              </w:rPr>
              <w:t xml:space="preserve">Grands redevables</w:t>
            </w:r>
          </w:p>
        </w:tc>
        <w:tc>
          <w:tcPr>
            <w:shd w:val="clear" w:color="auto" w:fill="F5F7FB"/>
          </w:tcPr>
          <w:p>
            <w:pPr>
              <w:pStyle w:val="Compact"/>
            </w:pPr>
            <w:r>
              <w:rPr>
                <w:sz w:val="17"/>
              </w:rPr>
              <w:t xml:space="preserve">Enjeux élevés</w:t>
            </w:r>
          </w:p>
        </w:tc>
        <w:tc>
          <w:tcPr>
            <w:shd w:val="clear" w:color="auto" w:fill="F5F7FB"/>
          </w:tcPr>
          <w:p>
            <w:pPr>
              <w:pStyle w:val="Compact"/>
            </w:pPr>
            <w:r>
              <w:rPr>
                <w:sz w:val="17"/>
              </w:rPr>
              <w:t xml:space="preserve">Suivi dédié, contrôle contradictoire</w:t>
            </w:r>
          </w:p>
        </w:tc>
      </w:tr>
    </w:tbl>
    <w:bookmarkEnd w:id="204"/>
    <w:bookmarkStart w:id="208" w:name="parcours-gradué"/>
    <w:p>
      <w:pPr>
        <w:pStyle w:val="Heading2"/>
      </w:pPr>
      <w:r>
        <w:t xml:space="preserve">21.3 Parcours gradué</w:t>
      </w:r>
    </w:p>
    <w:p>
      <w:pPr>
        <w:pStyle w:val="FirstParagraph"/>
      </w:pPr>
      <w:r>
        <w:drawing>
          <wp:inline>
            <wp:extent cx="6108700" cy="607753"/>
            <wp:effectExtent b="0" l="0" r="0" t="0"/>
            <wp:docPr descr="" title="" id="206" name="Picture"/>
            <a:graphic>
              <a:graphicData uri="http://schemas.openxmlformats.org/drawingml/2006/picture">
                <pic:pic>
                  <pic:nvPicPr>
                    <pic:cNvPr descr="figures/mermaid/mmd-fc4e0ac7367c.png" id="207" name="Picture"/>
                    <pic:cNvPicPr>
                      <a:picLocks noChangeArrowheads="1" noChangeAspect="1"/>
                    </pic:cNvPicPr>
                  </pic:nvPicPr>
                  <pic:blipFill>
                    <a:blip r:embed="rId205"/>
                    <a:stretch>
                      <a:fillRect/>
                    </a:stretch>
                  </pic:blipFill>
                  <pic:spPr bwMode="auto">
                    <a:xfrm>
                      <a:off x="0" y="0"/>
                      <a:ext cx="6108700" cy="607753"/>
                    </a:xfrm>
                    <a:prstGeom prst="rect">
                      <a:avLst/>
                    </a:prstGeom>
                    <a:noFill/>
                    <a:ln w="9525">
                      <a:noFill/>
                      <a:headEnd/>
                      <a:tailEnd/>
                    </a:ln>
                  </pic:spPr>
                </pic:pic>
              </a:graphicData>
            </a:graphic>
          </wp:inline>
        </w:drawing>
      </w:r>
    </w:p>
    <w:p>
      <w:pPr>
        <w:pStyle w:val="BodyText"/>
      </w:pPr>
      <w:r>
        <w:t xml:space="preserve">Les délais ci-dessus sont des</w:t>
      </w:r>
      <w:r>
        <w:t xml:space="preserve"> </w:t>
      </w:r>
      <w:r>
        <w:rPr>
          <w:b/>
          <w:bCs/>
        </w:rPr>
        <w:t xml:space="preserve">valeurs de conception</w:t>
      </w:r>
      <w:r>
        <w:t xml:space="preserve"> </w:t>
      </w:r>
      <w:r>
        <w:t xml:space="preserve">à remplacer par ceux de l’édit. Garde-fous : aucune mesure sur un dossier contesté avec effet suspensif ; aucune mesure si l’adresse de notification n’est pas vérifiée ; vérification que le paiement n’est pas en cours de règlement ; levée automatique proposée dès régularisation ; indicateurs de proportionnalité (mesures par segment de revenu, par commune) suivis par l’audit.</w:t>
      </w:r>
    </w:p>
    <w:bookmarkEnd w:id="208"/>
    <w:bookmarkStart w:id="209" w:name="arriérés"/>
    <w:p>
      <w:pPr>
        <w:pStyle w:val="Heading2"/>
      </w:pPr>
      <w:r>
        <w:t xml:space="preserve">21.4 Arriérés</w:t>
      </w:r>
    </w:p>
    <w:p>
      <w:pPr>
        <w:pStyle w:val="FirstParagraph"/>
      </w:pPr>
      <w:r>
        <w:t xml:space="preserve">Tableau d’âge des créances, prescription calculée par règle, priorisation par rendement net (montant recouvrable × probabilité − coût), campagnes de régularisation (module 90) si un acte le prévoit, admission en non-valeur par décision motivée et contrôlée.</w:t>
      </w:r>
    </w:p>
    <w:bookmarkEnd w:id="209"/>
    <w:bookmarkEnd w:id="210"/>
    <w:bookmarkStart w:id="233" w:name="recours-et-droits-du-contribuable"/>
    <w:p>
      <w:pPr>
        <w:pStyle w:val="Heading1"/>
      </w:pPr>
      <w:r>
        <w:t xml:space="preserve">22. Recours et droits du contribuable</w:t>
      </w:r>
    </w:p>
    <w:bookmarkStart w:id="211" w:name="charte-des-droits-intégrée-au-produit"/>
    <w:p>
      <w:pPr>
        <w:pStyle w:val="Heading2"/>
      </w:pPr>
      <w:r>
        <w:t xml:space="preserve">22.1 Charte des droits intégrée au produit</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Droit</w:t>
            </w:r>
          </w:p>
        </w:tc>
        <w:tc>
          <w:tcPr>
            <w:shd w:val="clear" w:color="auto" w:fill="232C6B"/>
          </w:tcPr>
          <w:p>
            <w:pPr>
              <w:pStyle w:val="Compact"/>
            </w:pPr>
            <w:r>
              <w:rPr>
                <w:b/>
                <w:color w:val="FFFFFF"/>
                <w:sz w:val="17"/>
              </w:rPr>
              <w:t xml:space="preserve">Traduction dans MOSOLO</w:t>
            </w:r>
          </w:p>
        </w:tc>
      </w:tr>
      <w:tr>
        <w:tc>
          <w:tcPr/>
          <w:p>
            <w:pPr>
              <w:pStyle w:val="Compact"/>
            </w:pPr>
            <w:r>
              <w:rPr>
                <w:sz w:val="17"/>
              </w:rPr>
              <w:t xml:space="preserve">Savoir ce qu’il doit et pourquoi</w:t>
            </w:r>
          </w:p>
        </w:tc>
        <w:tc>
          <w:tcPr/>
          <w:p>
            <w:pPr>
              <w:pStyle w:val="Compact"/>
            </w:pPr>
            <w:r>
              <w:rPr>
                <w:sz w:val="17"/>
              </w:rPr>
              <w:t xml:space="preserve">Explication de chaque montant : règle, version, base légale, assiette, formule</w:t>
            </w:r>
          </w:p>
        </w:tc>
      </w:tr>
      <w:tr>
        <w:tc>
          <w:tcPr>
            <w:shd w:val="clear" w:color="auto" w:fill="F5F7FB"/>
          </w:tcPr>
          <w:p>
            <w:pPr>
              <w:pStyle w:val="Compact"/>
            </w:pPr>
            <w:r>
              <w:rPr>
                <w:sz w:val="17"/>
              </w:rPr>
              <w:t xml:space="preserve">Accéder à ses données</w:t>
            </w:r>
          </w:p>
        </w:tc>
        <w:tc>
          <w:tcPr>
            <w:shd w:val="clear" w:color="auto" w:fill="F5F7FB"/>
          </w:tcPr>
          <w:p>
            <w:pPr>
              <w:pStyle w:val="Compact"/>
            </w:pPr>
            <w:r>
              <w:rPr>
                <w:sz w:val="17"/>
              </w:rPr>
              <w:t xml:space="preserve">Consultation et export de ses données</w:t>
            </w:r>
          </w:p>
        </w:tc>
      </w:tr>
      <w:tr>
        <w:tc>
          <w:tcPr/>
          <w:p>
            <w:pPr>
              <w:pStyle w:val="Compact"/>
            </w:pPr>
            <w:r>
              <w:rPr>
                <w:sz w:val="17"/>
              </w:rPr>
              <w:t xml:space="preserve">Faire rectifier une erreur</w:t>
            </w:r>
          </w:p>
        </w:tc>
        <w:tc>
          <w:tcPr/>
          <w:p>
            <w:pPr>
              <w:pStyle w:val="Compact"/>
            </w:pPr>
            <w:r>
              <w:rPr>
                <w:sz w:val="17"/>
              </w:rPr>
              <w:t xml:space="preserve">Demande de rectification depuis chaque donnée</w:t>
            </w:r>
          </w:p>
        </w:tc>
      </w:tr>
      <w:tr>
        <w:tc>
          <w:tcPr>
            <w:shd w:val="clear" w:color="auto" w:fill="F5F7FB"/>
          </w:tcPr>
          <w:p>
            <w:pPr>
              <w:pStyle w:val="Compact"/>
            </w:pPr>
            <w:r>
              <w:rPr>
                <w:sz w:val="17"/>
              </w:rPr>
              <w:t xml:space="preserve">Contester</w:t>
            </w:r>
          </w:p>
        </w:tc>
        <w:tc>
          <w:tcPr>
            <w:shd w:val="clear" w:color="auto" w:fill="F5F7FB"/>
          </w:tcPr>
          <w:p>
            <w:pPr>
              <w:pStyle w:val="Compact"/>
            </w:pPr>
            <w:r>
              <w:rPr>
                <w:sz w:val="17"/>
              </w:rPr>
              <w:t xml:space="preserve">Réclamation depuis chaque objet et chaque obligation</w:t>
            </w:r>
          </w:p>
        </w:tc>
      </w:tr>
      <w:tr>
        <w:tc>
          <w:tcPr/>
          <w:p>
            <w:pPr>
              <w:pStyle w:val="Compact"/>
            </w:pPr>
            <w:r>
              <w:rPr>
                <w:sz w:val="17"/>
              </w:rPr>
              <w:t xml:space="preserve">Être entendu avant une mesure</w:t>
            </w:r>
          </w:p>
        </w:tc>
        <w:tc>
          <w:tcPr/>
          <w:p>
            <w:pPr>
              <w:pStyle w:val="Compact"/>
            </w:pPr>
            <w:r>
              <w:rPr>
                <w:sz w:val="17"/>
              </w:rPr>
              <w:t xml:space="preserve">Notification préalable et délai d’observations (selon texte)</w:t>
            </w:r>
          </w:p>
        </w:tc>
      </w:tr>
      <w:tr>
        <w:tc>
          <w:tcPr>
            <w:shd w:val="clear" w:color="auto" w:fill="F5F7FB"/>
          </w:tcPr>
          <w:p>
            <w:pPr>
              <w:pStyle w:val="Compact"/>
            </w:pPr>
            <w:r>
              <w:rPr>
                <w:sz w:val="17"/>
              </w:rPr>
              <w:t xml:space="preserve">Recevoir une décision motivée</w:t>
            </w:r>
          </w:p>
        </w:tc>
        <w:tc>
          <w:tcPr>
            <w:shd w:val="clear" w:color="auto" w:fill="F5F7FB"/>
          </w:tcPr>
          <w:p>
            <w:pPr>
              <w:pStyle w:val="Compact"/>
            </w:pPr>
            <w:r>
              <w:rPr>
                <w:sz w:val="17"/>
              </w:rPr>
              <w:t xml:space="preserve">Modèle de décision avec motifs obligatoires</w:t>
            </w:r>
          </w:p>
        </w:tc>
      </w:tr>
      <w:tr>
        <w:tc>
          <w:tcPr/>
          <w:p>
            <w:pPr>
              <w:pStyle w:val="Compact"/>
            </w:pPr>
            <w:r>
              <w:rPr>
                <w:sz w:val="17"/>
              </w:rPr>
              <w:t xml:space="preserve">Connaître les délais</w:t>
            </w:r>
          </w:p>
        </w:tc>
        <w:tc>
          <w:tcPr/>
          <w:p>
            <w:pPr>
              <w:pStyle w:val="Compact"/>
            </w:pPr>
            <w:r>
              <w:rPr>
                <w:sz w:val="17"/>
              </w:rPr>
              <w:t xml:space="preserve">Compte à rebours légal visible</w:t>
            </w:r>
          </w:p>
        </w:tc>
      </w:tr>
      <w:tr>
        <w:tc>
          <w:tcPr>
            <w:shd w:val="clear" w:color="auto" w:fill="F5F7FB"/>
          </w:tcPr>
          <w:p>
            <w:pPr>
              <w:pStyle w:val="Compact"/>
            </w:pPr>
            <w:r>
              <w:rPr>
                <w:sz w:val="17"/>
              </w:rPr>
              <w:t xml:space="preserve">Ne pas payer deux fois</w:t>
            </w:r>
          </w:p>
        </w:tc>
        <w:tc>
          <w:tcPr>
            <w:shd w:val="clear" w:color="auto" w:fill="F5F7FB"/>
          </w:tcPr>
          <w:p>
            <w:pPr>
              <w:pStyle w:val="Compact"/>
            </w:pPr>
            <w:r>
              <w:rPr>
                <w:sz w:val="17"/>
              </w:rPr>
              <w:t xml:space="preserve">Blocage des doubles revendications (§ 10.3) et des doubles paiements</w:t>
            </w:r>
          </w:p>
        </w:tc>
      </w:tr>
      <w:tr>
        <w:tc>
          <w:tcPr/>
          <w:p>
            <w:pPr>
              <w:pStyle w:val="Compact"/>
            </w:pPr>
            <w:r>
              <w:rPr>
                <w:sz w:val="17"/>
              </w:rPr>
              <w:t xml:space="preserve">Être protégé contre l’arbitraire</w:t>
            </w:r>
          </w:p>
        </w:tc>
        <w:tc>
          <w:tcPr/>
          <w:p>
            <w:pPr>
              <w:pStyle w:val="Compact"/>
            </w:pPr>
            <w:r>
              <w:rPr>
                <w:sz w:val="17"/>
              </w:rPr>
              <w:t xml:space="preserve">Aucune sanction automatique ; journal d’audit consultable par le contribuable pour son dossier</w:t>
            </w:r>
          </w:p>
        </w:tc>
      </w:tr>
      <w:tr>
        <w:tc>
          <w:tcPr>
            <w:shd w:val="clear" w:color="auto" w:fill="F5F7FB"/>
          </w:tcPr>
          <w:p>
            <w:pPr>
              <w:pStyle w:val="Compact"/>
            </w:pPr>
            <w:r>
              <w:rPr>
                <w:sz w:val="17"/>
              </w:rPr>
              <w:t xml:space="preserve">Signaler un abus</w:t>
            </w:r>
          </w:p>
        </w:tc>
        <w:tc>
          <w:tcPr>
            <w:shd w:val="clear" w:color="auto" w:fill="F5F7FB"/>
          </w:tcPr>
          <w:p>
            <w:pPr>
              <w:pStyle w:val="Compact"/>
            </w:pPr>
            <w:r>
              <w:rPr>
                <w:sz w:val="17"/>
              </w:rPr>
              <w:t xml:space="preserve">Ligne de signalement protégée (module 69)</w:t>
            </w:r>
          </w:p>
        </w:tc>
      </w:tr>
      <w:tr>
        <w:tc>
          <w:tcPr/>
          <w:p>
            <w:pPr>
              <w:pStyle w:val="Compact"/>
            </w:pPr>
            <w:r>
              <w:rPr>
                <w:sz w:val="17"/>
              </w:rPr>
              <w:t xml:space="preserve">Confidentialité fiscale</w:t>
            </w:r>
          </w:p>
        </w:tc>
        <w:tc>
          <w:tcPr/>
          <w:p>
            <w:pPr>
              <w:pStyle w:val="Compact"/>
            </w:pPr>
            <w:r>
              <w:rPr>
                <w:sz w:val="17"/>
              </w:rPr>
              <w:t xml:space="preserve">Accès limité et journalisé ; aucune exposition publique</w:t>
            </w:r>
          </w:p>
        </w:tc>
      </w:tr>
    </w:tbl>
    <w:bookmarkEnd w:id="211"/>
    <w:bookmarkStart w:id="215" w:name="workflow-des-réclamations"/>
    <w:p>
      <w:pPr>
        <w:pStyle w:val="Heading2"/>
      </w:pPr>
      <w:r>
        <w:t xml:space="preserve">22.2 Workflow des réclamations</w:t>
      </w:r>
    </w:p>
    <w:p>
      <w:pPr>
        <w:pStyle w:val="FirstParagraph"/>
      </w:pPr>
      <w:r>
        <w:drawing>
          <wp:inline>
            <wp:extent cx="6108700" cy="7400364"/>
            <wp:effectExtent b="0" l="0" r="0" t="0"/>
            <wp:docPr descr="" title="" id="213" name="Picture"/>
            <a:graphic>
              <a:graphicData uri="http://schemas.openxmlformats.org/drawingml/2006/picture">
                <pic:pic>
                  <pic:nvPicPr>
                    <pic:cNvPr descr="figures/mermaid/mmd-fa5ee172f2af.png" id="214" name="Picture"/>
                    <pic:cNvPicPr>
                      <a:picLocks noChangeArrowheads="1" noChangeAspect="1"/>
                    </pic:cNvPicPr>
                  </pic:nvPicPr>
                  <pic:blipFill>
                    <a:blip r:embed="rId212"/>
                    <a:stretch>
                      <a:fillRect/>
                    </a:stretch>
                  </pic:blipFill>
                  <pic:spPr bwMode="auto">
                    <a:xfrm>
                      <a:off x="0" y="0"/>
                      <a:ext cx="6108700" cy="7400364"/>
                    </a:xfrm>
                    <a:prstGeom prst="rect">
                      <a:avLst/>
                    </a:prstGeom>
                    <a:noFill/>
                    <a:ln w="9525">
                      <a:noFill/>
                      <a:headEnd/>
                      <a:tailEnd/>
                    </a:ln>
                  </pic:spPr>
                </pic:pic>
              </a:graphicData>
            </a:graphic>
          </wp:inline>
        </w:drawing>
      </w:r>
    </w:p>
    <w:p>
      <w:pPr>
        <w:pStyle w:val="BodyText"/>
      </w:pPr>
      <w:r>
        <w:t xml:space="preserve">L’instructeur et le décideur sont des personnes distinctes ; l’IA peut résumer le dossier et proposer des éléments,</w:t>
      </w:r>
      <w:r>
        <w:t xml:space="preserve"> </w:t>
      </w:r>
      <w:r>
        <w:rPr>
          <w:b/>
          <w:bCs/>
        </w:rPr>
        <w:t xml:space="preserve">jamais clore un recours</w:t>
      </w:r>
      <w:r>
        <w:t xml:space="preserve">. Les exonérations, annulations et corrections suivent le même principe de séparation et de contre-écriture. Les statistiques de recours (volume, délai, taux de décisions favorables par motif et par commune) sont publiées de façon agrégée ; un taux élevé de recours fondés sur un motif déclenche une revue de la qualité des données ou de la règle.</w:t>
      </w:r>
    </w:p>
    <w:bookmarkEnd w:id="215"/>
    <w:bookmarkStart w:id="216" w:name="Xefc775f2024784338588ac4fc324d0986dd07f4"/>
    <w:p>
      <w:pPr>
        <w:pStyle w:val="Heading2"/>
      </w:pPr>
      <w:r>
        <w:t xml:space="preserve">18.7 Connecteurs de prestataires : rôle et périmètre</w:t>
      </w:r>
    </w:p>
    <w:p>
      <w:pPr>
        <w:pStyle w:val="FirstParagraph"/>
      </w:pPr>
      <w:r>
        <w:t xml:space="preserve">Les connecteurs</w:t>
      </w:r>
      <w:r>
        <w:t xml:space="preserve"> </w:t>
      </w:r>
      <w:r>
        <w:rPr>
          <w:b/>
          <w:bCs/>
        </w:rPr>
        <w:t xml:space="preserve">BitriPay</w:t>
      </w:r>
      <w:r>
        <w:t xml:space="preserve"> </w:t>
      </w:r>
      <w:r>
        <w:t xml:space="preserve">et</w:t>
      </w:r>
      <w:r>
        <w:t xml:space="preserve"> </w:t>
      </w:r>
      <w:r>
        <w:rPr>
          <w:b/>
          <w:bCs/>
        </w:rPr>
        <w:t xml:space="preserve">KODA</w:t>
      </w:r>
      <w:r>
        <w:t xml:space="preserve"> </w:t>
      </w:r>
      <w:r>
        <w:t xml:space="preserve">raccordent KINSHASA MOSOLO à deux prestataires de paiement par monnaie mobile et QR. Ils appliquent sans exception le principe du § 18.1 :</w:t>
      </w:r>
      <w:r>
        <w:t xml:space="preserve"> </w:t>
      </w:r>
      <w:r>
        <w:rPr>
          <w:b/>
          <w:bCs/>
        </w:rPr>
        <w:t xml:space="preserve">MOSOLO orchestre, il ne détient pas</w:t>
      </w:r>
      <w:r>
        <w:t xml:space="preserve">. Concrètement, un connecteur :</w:t>
      </w:r>
    </w:p>
    <w:p>
      <w:pPr>
        <w:pStyle w:val="Compact"/>
        <w:numPr>
          <w:ilvl w:val="0"/>
          <w:numId w:val="1019"/>
        </w:numPr>
      </w:pPr>
      <w:r>
        <w:t xml:space="preserve">crée chez le prestataire une</w:t>
      </w:r>
      <w:r>
        <w:t xml:space="preserve"> </w:t>
      </w:r>
      <w:r>
        <w:rPr>
          <w:i/>
          <w:iCs/>
        </w:rPr>
        <w:t xml:space="preserve">intention de paiement</w:t>
      </w:r>
      <w:r>
        <w:t xml:space="preserve"> </w:t>
      </w:r>
      <w:r>
        <w:t xml:space="preserve">portant la référence MOSOLO, le montant figé de l’obligation et le seul minimum de métadonnées nécessaire (référence de paiement, identifiant d’ordre, identifiant d’obligation) — aucune donnée personnelle du contribuable n’est transmise ;</w:t>
      </w:r>
    </w:p>
    <w:p>
      <w:pPr>
        <w:pStyle w:val="Compact"/>
        <w:numPr>
          <w:ilvl w:val="0"/>
          <w:numId w:val="1019"/>
        </w:numPr>
      </w:pPr>
      <w:r>
        <w:t xml:space="preserve">reçoit, vérifie et normalise les</w:t>
      </w:r>
      <w:r>
        <w:t xml:space="preserve"> </w:t>
      </w:r>
      <w:r>
        <w:rPr>
          <w:b/>
          <w:bCs/>
        </w:rPr>
        <w:t xml:space="preserve">webhooks signés serveur à serveur</w:t>
      </w:r>
      <w:r>
        <w:t xml:space="preserve"> </w:t>
      </w:r>
      <w:r>
        <w:t xml:space="preserve">du prestataire ;</w:t>
      </w:r>
    </w:p>
    <w:p>
      <w:pPr>
        <w:pStyle w:val="Compact"/>
        <w:numPr>
          <w:ilvl w:val="0"/>
          <w:numId w:val="1019"/>
        </w:numPr>
      </w:pPr>
      <w:r>
        <w:t xml:space="preserve">transmet l’événement normalisé à la même fonction de confirmation que tous les autres canaux (</w:t>
      </w:r>
      <w:r>
        <w:rPr>
          <w:rStyle w:val="VerbatimChar"/>
        </w:rPr>
        <w:t xml:space="preserve">confirmFromProvider</w:t>
      </w:r>
      <w:r>
        <w:t xml:space="preserve">) : unicité de la transaction, référence connue, liaison ordre ↔ intention, montant</w:t>
      </w:r>
      <w:r>
        <w:t xml:space="preserve"> </w:t>
      </w:r>
      <w:r>
        <w:rPr>
          <w:b/>
          <w:bCs/>
        </w:rPr>
        <w:t xml:space="preserve">exactement</w:t>
      </w:r>
      <w:r>
        <w:t xml:space="preserve"> </w:t>
      </w:r>
      <w:r>
        <w:t xml:space="preserve">égal au montant dû, doublon, écritures en partie double, quittance provisoire, communications et audit.</w:t>
      </w:r>
    </w:p>
    <w:p>
      <w:pPr>
        <w:pStyle w:val="FirstParagraph"/>
      </w:pPr>
      <w:r>
        <w:t xml:space="preserve">Le connecteur ne décide de rien : il ne peut ni émettre une quittance, ni solder une obligation, ni marquer un paiement comme réglé. Les fonds vont du payeur au prestataire, puis au</w:t>
      </w:r>
      <w:r>
        <w:t xml:space="preserve"> </w:t>
      </w:r>
      <w:r>
        <w:rPr>
          <w:b/>
          <w:bCs/>
        </w:rPr>
        <w:t xml:space="preserve">compte public désigné dans le coffre des bénéficiaires</w:t>
      </w:r>
      <w:r>
        <w:t xml:space="preserve">, jamais à un compte de l’opérateur de la plateforme. La configuration de chaque connecteur porte un</w:t>
      </w:r>
      <w:r>
        <w:t xml:space="preserve"> </w:t>
      </w:r>
      <w:r>
        <w:rPr>
          <w:rStyle w:val="VerbatimChar"/>
        </w:rPr>
        <w:t xml:space="preserve">settlementAccountAlias</w:t>
      </w:r>
      <w:r>
        <w:t xml:space="preserve"> </w:t>
      </w:r>
      <w:r>
        <w:t xml:space="preserve">qui</w:t>
      </w:r>
      <w:r>
        <w:t xml:space="preserve"> </w:t>
      </w:r>
      <w:r>
        <w:rPr>
          <w:b/>
          <w:bCs/>
        </w:rPr>
        <w:t xml:space="preserve">doit</w:t>
      </w:r>
      <w:r>
        <w:t xml:space="preserve"> </w:t>
      </w:r>
      <w:r>
        <w:t xml:space="preserve">exister dans le coffre : dans le cas contraire, la plateforme refuse de démarrer. À la création d’une intention, ce compte de règlement doit en outre être celui de l’obligation (sinon refus</w:t>
      </w:r>
      <w:r>
        <w:t xml:space="preserve"> </w:t>
      </w:r>
      <w:r>
        <w:rPr>
          <w:rStyle w:val="VerbatimChar"/>
        </w:rPr>
        <w:t xml:space="preserve">SETTLEMENT_ACCOUNT_MISMATCH</w:t>
      </w:r>
      <w:r>
        <w:t xml:space="preserve">), afin que le rapprochement à trois voies (§ 20.1) puisse s’appliquer sans exception « mauvais compte ».</w:t>
      </w:r>
    </w:p>
    <w:p>
      <w:pPr>
        <w:pStyle w:val="BodyText"/>
      </w:pPr>
      <w:r>
        <w:t xml:space="preserve">Si le prestataire est injoignable lors de la création de l’intention, MOSOLO répond</w:t>
      </w:r>
      <w:r>
        <w:t xml:space="preserve"> </w:t>
      </w:r>
      <w:r>
        <w:rPr>
          <w:rStyle w:val="VerbatimChar"/>
        </w:rPr>
        <w:t xml:space="preserve">502 PROVIDER_UNAVAILABLE</w:t>
      </w:r>
      <w:r>
        <w:t xml:space="preserve"> </w:t>
      </w:r>
      <w:r>
        <w:t xml:space="preserve">et</w:t>
      </w:r>
      <w:r>
        <w:t xml:space="preserve"> </w:t>
      </w:r>
      <w:r>
        <w:rPr>
          <w:b/>
          <w:bCs/>
        </w:rPr>
        <w:t xml:space="preserve">n’enregistre aucun ordre</w:t>
      </w:r>
      <w:r>
        <w:t xml:space="preserve"> </w:t>
      </w:r>
      <w:r>
        <w:t xml:space="preserve">: le contribuable peut réessayer immédiatement. Une intention qui aurait malgré tout été créée côté prestataire porte une référence inconnue de MOSOLO ; elle ne pourra jamais produire de quittance et toute confirmation la concernant déclenche une alerte.</w:t>
      </w:r>
    </w:p>
    <w:bookmarkEnd w:id="216"/>
    <w:bookmarkStart w:id="217" w:name="Xba6955c3bae8ec6615198d2b8f61638116bf4e4"/>
    <w:p>
      <w:pPr>
        <w:pStyle w:val="Heading2"/>
      </w:pPr>
      <w:r>
        <w:t xml:space="preserve">18.8 Prérequis à toute activation en production</w:t>
      </w:r>
    </w:p>
    <w:p>
      <w:pPr>
        <w:pStyle w:val="FirstParagraph"/>
      </w:pPr>
      <w:r>
        <w:t xml:space="preserve">BitriPay et KODA sont des</w:t>
      </w:r>
      <w:r>
        <w:t xml:space="preserve"> </w:t>
      </w:r>
      <w:r>
        <w:rPr>
          <w:b/>
          <w:bCs/>
        </w:rPr>
        <w:t xml:space="preserve">prestataires candidats</w:t>
      </w:r>
      <w:r>
        <w:t xml:space="preserve">. Leur intégration technique dans le socle ne vaut ni désignation, ni engagement de la Province. L’activation en production est subordonnée à l’ensemble des conditions suivantes :</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Prérequis</w:t>
            </w:r>
          </w:p>
        </w:tc>
        <w:tc>
          <w:tcPr>
            <w:shd w:val="clear" w:color="auto" w:fill="232C6B"/>
          </w:tcPr>
          <w:p>
            <w:pPr>
              <w:pStyle w:val="Compact"/>
            </w:pPr>
            <w:r>
              <w:rPr>
                <w:b/>
                <w:color w:val="FFFFFF"/>
                <w:sz w:val="17"/>
              </w:rPr>
              <w:t xml:space="preserve">Contenu</w:t>
            </w:r>
          </w:p>
        </w:tc>
        <w:tc>
          <w:tcPr>
            <w:shd w:val="clear" w:color="auto" w:fill="232C6B"/>
          </w:tcPr>
          <w:p>
            <w:pPr>
              <w:pStyle w:val="Compact"/>
            </w:pPr>
            <w:r>
              <w:rPr>
                <w:b/>
                <w:color w:val="FFFFFF"/>
                <w:sz w:val="17"/>
              </w:rPr>
              <w:t xml:space="preserve">Référence</w:t>
            </w:r>
          </w:p>
        </w:tc>
      </w:tr>
      <w:tr>
        <w:tc>
          <w:tcPr/>
          <w:p>
            <w:pPr>
              <w:pStyle w:val="Compact"/>
            </w:pPr>
            <w:r>
              <w:rPr>
                <w:sz w:val="17"/>
              </w:rPr>
              <w:t xml:space="preserve">Agrément BCC</w:t>
            </w:r>
          </w:p>
        </w:tc>
        <w:tc>
          <w:tcPr/>
          <w:p>
            <w:pPr>
              <w:pStyle w:val="Compact"/>
            </w:pPr>
            <w:r>
              <w:rPr>
                <w:sz w:val="17"/>
              </w:rPr>
              <w:t xml:space="preserve">Preuve de l’habilitation du prestataire par la Banque centrale du Congo pour l’activité exercée (émission de monnaie électronique, agrégation, acquisition)</w:t>
            </w:r>
          </w:p>
        </w:tc>
        <w:tc>
          <w:tcPr/>
          <w:p>
            <w:pPr>
              <w:pStyle w:val="Compact"/>
            </w:pPr>
            <w:r>
              <w:rPr>
                <w:sz w:val="17"/>
              </w:rPr>
              <w:t xml:space="preserve">J9 (§ 6) ; § 18.2</w:t>
            </w:r>
          </w:p>
        </w:tc>
      </w:tr>
      <w:tr>
        <w:tc>
          <w:tcPr>
            <w:shd w:val="clear" w:color="auto" w:fill="F5F7FB"/>
          </w:tcPr>
          <w:p>
            <w:pPr>
              <w:pStyle w:val="Compact"/>
            </w:pPr>
            <w:r>
              <w:rPr>
                <w:sz w:val="17"/>
              </w:rPr>
              <w:t xml:space="preserve">Compte de règlement public</w:t>
            </w:r>
          </w:p>
        </w:tc>
        <w:tc>
          <w:tcPr>
            <w:shd w:val="clear" w:color="auto" w:fill="F5F7FB"/>
          </w:tcPr>
          <w:p>
            <w:pPr>
              <w:pStyle w:val="Compact"/>
            </w:pPr>
            <w:r>
              <w:rPr>
                <w:sz w:val="17"/>
              </w:rPr>
              <w:t xml:space="preserve">Compte de recettes au nom de l’entité publique, inscrit au coffre sous un alias, vers lequel le prestataire règle le</w:t>
            </w:r>
            <w:r>
              <w:rPr>
                <w:sz w:val="17"/>
              </w:rPr>
              <w:t xml:space="preserve"> </w:t>
            </w:r>
            <w:r>
              <w:rPr>
                <w:b/>
                <w:bCs/>
                <w:sz w:val="17"/>
              </w:rPr>
              <w:t xml:space="preserve">montant brut</w:t>
            </w:r>
          </w:p>
        </w:tc>
        <w:tc>
          <w:tcPr>
            <w:shd w:val="clear" w:color="auto" w:fill="F5F7FB"/>
          </w:tcPr>
          <w:p>
            <w:pPr>
              <w:pStyle w:val="Compact"/>
            </w:pPr>
            <w:r>
              <w:rPr>
                <w:sz w:val="17"/>
              </w:rPr>
              <w:t xml:space="preserve">§ 18.1 ; § 12.6 ; § 20.1</w:t>
            </w:r>
          </w:p>
        </w:tc>
      </w:tr>
      <w:tr>
        <w:tc>
          <w:tcPr/>
          <w:p>
            <w:pPr>
              <w:pStyle w:val="Compact"/>
            </w:pPr>
            <w:r>
              <w:rPr>
                <w:sz w:val="17"/>
              </w:rPr>
              <w:t xml:space="preserve">Convention</w:t>
            </w:r>
          </w:p>
        </w:tc>
        <w:tc>
          <w:tcPr/>
          <w:p>
            <w:pPr>
              <w:pStyle w:val="Compact"/>
            </w:pPr>
            <w:r>
              <w:rPr>
                <w:sz w:val="17"/>
              </w:rPr>
              <w:t xml:space="preserve">Délais de règlement, fichiers de détail, pénalités pour règlement manquant, commissions facturées séparément, sécurité des webhooks, réversibilité</w:t>
            </w:r>
          </w:p>
        </w:tc>
        <w:tc>
          <w:tcPr/>
          <w:p>
            <w:pPr>
              <w:pStyle w:val="Compact"/>
            </w:pPr>
            <w:r>
              <w:rPr>
                <w:sz w:val="17"/>
              </w:rPr>
              <w:t xml:space="preserve">§ 20.1</w:t>
            </w:r>
          </w:p>
        </w:tc>
      </w:tr>
      <w:tr>
        <w:tc>
          <w:tcPr>
            <w:shd w:val="clear" w:color="auto" w:fill="F5F7FB"/>
          </w:tcPr>
          <w:p>
            <w:pPr>
              <w:pStyle w:val="Compact"/>
            </w:pPr>
            <w:r>
              <w:rPr>
                <w:sz w:val="17"/>
              </w:rPr>
              <w:t xml:space="preserve">Passation</w:t>
            </w:r>
          </w:p>
        </w:tc>
        <w:tc>
          <w:tcPr>
            <w:shd w:val="clear" w:color="auto" w:fill="F5F7FB"/>
          </w:tcPr>
          <w:p>
            <w:pPr>
              <w:pStyle w:val="Compact"/>
            </w:pPr>
            <w:r>
              <w:rPr>
                <w:sz w:val="17"/>
              </w:rPr>
              <w:t xml:space="preserve">Sélection par une procédure conforme aux règles de la commande publique provinciale ; aucun prestataire n’est désigné par le code</w:t>
            </w:r>
          </w:p>
        </w:tc>
        <w:tc>
          <w:tcPr>
            <w:shd w:val="clear" w:color="auto" w:fill="F5F7FB"/>
          </w:tcPr>
          <w:p>
            <w:pPr>
              <w:pStyle w:val="Compact"/>
            </w:pPr>
            <w:r>
              <w:rPr>
                <w:sz w:val="17"/>
              </w:rPr>
              <w:t xml:space="preserve">§ 34</w:t>
            </w:r>
          </w:p>
        </w:tc>
      </w:tr>
      <w:tr>
        <w:tc>
          <w:tcPr/>
          <w:p>
            <w:pPr>
              <w:pStyle w:val="Compact"/>
            </w:pPr>
            <w:r>
              <w:rPr>
                <w:sz w:val="17"/>
              </w:rPr>
              <w:t xml:space="preserve">Recette technique</w:t>
            </w:r>
          </w:p>
        </w:tc>
        <w:tc>
          <w:tcPr/>
          <w:p>
            <w:pPr>
              <w:pStyle w:val="Compact"/>
            </w:pPr>
            <w:r>
              <w:rPr>
                <w:sz w:val="17"/>
              </w:rPr>
              <w:t xml:space="preserve">Épreuves en environnement de test du prestataire, levée des points [À VÉRIFIER] du § 18.14</w:t>
            </w:r>
          </w:p>
        </w:tc>
        <w:tc>
          <w:tcPr/>
          <w:p>
            <w:pPr>
              <w:pStyle w:val="Compact"/>
            </w:pPr>
            <w:r>
              <w:rPr>
                <w:sz w:val="17"/>
              </w:rPr>
              <w:t xml:space="preserve">§ 18.14</w:t>
            </w:r>
          </w:p>
        </w:tc>
      </w:tr>
    </w:tbl>
    <w:p>
      <w:pPr>
        <w:pStyle w:val="BodyText"/>
      </w:pPr>
      <w:r>
        <w:t xml:space="preserve">Sans clé API, chaque connecteur fonctionne en</w:t>
      </w:r>
      <w:r>
        <w:t xml:space="preserve"> </w:t>
      </w:r>
      <w:r>
        <w:rPr>
          <w:b/>
          <w:bCs/>
        </w:rPr>
        <w:t xml:space="preserve">bac à sable local</w:t>
      </w:r>
      <w:r>
        <w:t xml:space="preserve"> </w:t>
      </w:r>
      <w:r>
        <w:t xml:space="preserve">: aucune connexion réseau, intention simulée (</w:t>
      </w:r>
      <w:r>
        <w:rPr>
          <w:rStyle w:val="VerbatimChar"/>
        </w:rPr>
        <w:t xml:space="preserve">sbx_…</w:t>
      </w:r>
      <w:r>
        <w:t xml:space="preserve">), secret de webhook de démonstration. Ce mode sert exclusivement à la démonstration et aux tests.</w:t>
      </w:r>
    </w:p>
    <w:bookmarkEnd w:id="217"/>
    <w:bookmarkStart w:id="218" w:name="correspondance-des-événements"/>
    <w:p>
      <w:pPr>
        <w:pStyle w:val="Heading2"/>
      </w:pPr>
      <w:r>
        <w:t xml:space="preserve">18.9 Correspondance des événements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Prestataire</w:t>
            </w:r>
          </w:p>
        </w:tc>
        <w:tc>
          <w:tcPr>
            <w:shd w:val="clear" w:color="auto" w:fill="232C6B"/>
          </w:tcPr>
          <w:p>
            <w:pPr>
              <w:pStyle w:val="Compact"/>
            </w:pPr>
            <w:r>
              <w:rPr>
                <w:b/>
                <w:color w:val="FFFFFF"/>
                <w:sz w:val="17"/>
              </w:rPr>
              <w:t xml:space="preserve">Événement</w:t>
            </w:r>
          </w:p>
        </w:tc>
        <w:tc>
          <w:tcPr>
            <w:shd w:val="clear" w:color="auto" w:fill="232C6B"/>
          </w:tcPr>
          <w:p>
            <w:pPr>
              <w:pStyle w:val="Compact"/>
            </w:pPr>
            <w:r>
              <w:rPr>
                <w:b/>
                <w:color w:val="FFFFFF"/>
                <w:sz w:val="17"/>
              </w:rPr>
              <w:t xml:space="preserve">Effet dans MOSOLO</w:t>
            </w:r>
          </w:p>
        </w:tc>
        <w:tc>
          <w:tcPr>
            <w:shd w:val="clear" w:color="auto" w:fill="232C6B"/>
          </w:tcPr>
          <w:p>
            <w:pPr>
              <w:pStyle w:val="Compact"/>
            </w:pPr>
            <w:r>
              <w:rPr>
                <w:b/>
                <w:color w:val="FFFFFF"/>
                <w:sz w:val="17"/>
              </w:rPr>
              <w:t xml:space="preserve">Méthode de confirmation</w:t>
            </w:r>
          </w:p>
        </w:tc>
      </w:tr>
      <w:tr>
        <w:tc>
          <w:tcPr/>
          <w:p>
            <w:pPr>
              <w:pStyle w:val="Compact"/>
            </w:pPr>
            <w:r>
              <w:rPr>
                <w:sz w:val="17"/>
              </w:rPr>
              <w:t xml:space="preserve">KODA</w:t>
            </w:r>
          </w:p>
        </w:tc>
        <w:tc>
          <w:tcPr/>
          <w:p>
            <w:pPr>
              <w:pStyle w:val="Compact"/>
            </w:pPr>
            <w:r>
              <w:rPr>
                <w:rStyle w:val="VerbatimChar"/>
                <w:sz w:val="17"/>
              </w:rPr>
              <w:t xml:space="preserve">payment.verified</w:t>
            </w:r>
          </w:p>
        </w:tc>
        <w:tc>
          <w:tcPr/>
          <w:p>
            <w:pPr>
              <w:pStyle w:val="Compact"/>
            </w:pPr>
            <w:r>
              <w:rPr>
                <w:sz w:val="17"/>
              </w:rPr>
              <w:t xml:space="preserve">Confirmation commune →</w:t>
            </w:r>
            <w:r>
              <w:rPr>
                <w:sz w:val="17"/>
              </w:rPr>
              <w:t xml:space="preserve"> </w:t>
            </w:r>
            <w:r>
              <w:rPr>
                <w:rStyle w:val="VerbatimChar"/>
                <w:sz w:val="17"/>
              </w:rPr>
              <w:t xml:space="preserve">CONFIRME</w:t>
            </w:r>
            <w:r>
              <w:rPr>
                <w:sz w:val="17"/>
              </w:rPr>
              <w:t xml:space="preserve"> </w:t>
            </w:r>
            <w:r>
              <w:rPr>
                <w:sz w:val="17"/>
              </w:rPr>
              <w:t xml:space="preserve">+ quittance provisoire</w:t>
            </w:r>
          </w:p>
        </w:tc>
        <w:tc>
          <w:tcPr/>
          <w:p>
            <w:pPr>
              <w:pStyle w:val="Compact"/>
            </w:pPr>
            <w:r>
              <w:rPr>
                <w:rStyle w:val="VerbatimChar"/>
                <w:sz w:val="17"/>
              </w:rPr>
              <w:t xml:space="preserve">KODA_OPERATOR_LEDGER</w:t>
            </w:r>
          </w:p>
        </w:tc>
      </w:tr>
      <w:tr>
        <w:tc>
          <w:tcPr>
            <w:shd w:val="clear" w:color="auto" w:fill="F5F7FB"/>
          </w:tcPr>
          <w:p>
            <w:pPr>
              <w:pStyle w:val="Compact"/>
            </w:pPr>
            <w:r>
              <w:rPr>
                <w:sz w:val="17"/>
              </w:rPr>
              <w:t xml:space="preserve">KODA</w:t>
            </w:r>
          </w:p>
        </w:tc>
        <w:tc>
          <w:tcPr>
            <w:shd w:val="clear" w:color="auto" w:fill="F5F7FB"/>
          </w:tcPr>
          <w:p>
            <w:pPr>
              <w:pStyle w:val="Compact"/>
            </w:pPr>
            <w:r>
              <w:rPr>
                <w:rStyle w:val="VerbatimChar"/>
                <w:sz w:val="17"/>
              </w:rPr>
              <w:t xml:space="preserve">payment.verified.late</w:t>
            </w:r>
          </w:p>
        </w:tc>
        <w:tc>
          <w:tcPr>
            <w:shd w:val="clear" w:color="auto" w:fill="F5F7FB"/>
          </w:tcPr>
          <w:p>
            <w:pPr>
              <w:pStyle w:val="Compact"/>
            </w:pPr>
            <w:r>
              <w:rPr>
                <w:sz w:val="17"/>
              </w:rPr>
              <w:t xml:space="preserve">Idem (un même reçu KODA déjà traité est un rejeu sans effet ; un reçu différent sur une référence déjà payée devient</w:t>
            </w:r>
            <w:r>
              <w:rPr>
                <w:sz w:val="17"/>
              </w:rPr>
              <w:t xml:space="preserve"> </w:t>
            </w:r>
            <w:r>
              <w:rPr>
                <w:rStyle w:val="VerbatimChar"/>
                <w:sz w:val="17"/>
              </w:rPr>
              <w:t xml:space="preserve">DOUBLON</w:t>
            </w:r>
            <w:r>
              <w:rPr>
                <w:sz w:val="17"/>
              </w:rPr>
              <w:t xml:space="preserve">)</w:t>
            </w:r>
          </w:p>
        </w:tc>
        <w:tc>
          <w:tcPr>
            <w:shd w:val="clear" w:color="auto" w:fill="F5F7FB"/>
          </w:tcPr>
          <w:p>
            <w:pPr>
              <w:pStyle w:val="Compact"/>
            </w:pPr>
            <w:r>
              <w:rPr>
                <w:rStyle w:val="VerbatimChar"/>
                <w:sz w:val="17"/>
              </w:rPr>
              <w:t xml:space="preserve">KODA_OPERATOR_LEDGER</w:t>
            </w:r>
          </w:p>
        </w:tc>
      </w:tr>
      <w:tr>
        <w:tc>
          <w:tcPr/>
          <w:p>
            <w:pPr>
              <w:pStyle w:val="Compact"/>
            </w:pPr>
            <w:r>
              <w:rPr>
                <w:sz w:val="17"/>
              </w:rPr>
              <w:t xml:space="preserve">BitriPay</w:t>
            </w:r>
          </w:p>
        </w:tc>
        <w:tc>
          <w:tcPr/>
          <w:p>
            <w:pPr>
              <w:pStyle w:val="Compact"/>
            </w:pPr>
            <w:r>
              <w:rPr>
                <w:rStyle w:val="VerbatimChar"/>
                <w:sz w:val="17"/>
              </w:rPr>
              <w:t xml:space="preserve">payment_intent.succeeded</w:t>
            </w:r>
          </w:p>
        </w:tc>
        <w:tc>
          <w:tcPr/>
          <w:p>
            <w:pPr>
              <w:pStyle w:val="Compact"/>
            </w:pPr>
            <w:r>
              <w:rPr>
                <w:sz w:val="17"/>
              </w:rPr>
              <w:t xml:space="preserve">Confirmation commune →</w:t>
            </w:r>
            <w:r>
              <w:rPr>
                <w:sz w:val="17"/>
              </w:rPr>
              <w:t xml:space="preserve"> </w:t>
            </w:r>
            <w:r>
              <w:rPr>
                <w:rStyle w:val="VerbatimChar"/>
                <w:sz w:val="17"/>
              </w:rPr>
              <w:t xml:space="preserve">CONFIRME</w:t>
            </w:r>
            <w:r>
              <w:rPr>
                <w:sz w:val="17"/>
              </w:rPr>
              <w:t xml:space="preserve"> </w:t>
            </w:r>
            <w:r>
              <w:rPr>
                <w:sz w:val="17"/>
              </w:rPr>
              <w:t xml:space="preserve">+ quittance provisoire</w:t>
            </w:r>
          </w:p>
        </w:tc>
        <w:tc>
          <w:tcPr/>
          <w:p>
            <w:pPr>
              <w:pStyle w:val="Compact"/>
            </w:pPr>
            <w:r>
              <w:rPr>
                <w:rStyle w:val="VerbatimChar"/>
                <w:sz w:val="17"/>
              </w:rPr>
              <w:t xml:space="preserve">BITRIPAY_RAIL</w:t>
            </w:r>
          </w:p>
        </w:tc>
      </w:tr>
      <w:tr>
        <w:tc>
          <w:tcPr>
            <w:shd w:val="clear" w:color="auto" w:fill="F5F7FB"/>
          </w:tcPr>
          <w:p>
            <w:pPr>
              <w:pStyle w:val="Compact"/>
            </w:pPr>
            <w:r>
              <w:rPr>
                <w:sz w:val="17"/>
              </w:rPr>
              <w:t xml:space="preserve">BitriPay</w:t>
            </w:r>
          </w:p>
        </w:tc>
        <w:tc>
          <w:tcPr>
            <w:shd w:val="clear" w:color="auto" w:fill="F5F7FB"/>
          </w:tcPr>
          <w:p>
            <w:pPr>
              <w:pStyle w:val="Compact"/>
            </w:pPr>
            <w:r>
              <w:rPr>
                <w:rStyle w:val="VerbatimChar"/>
                <w:sz w:val="17"/>
              </w:rPr>
              <w:t xml:space="preserve">payment_intent.canceled</w:t>
            </w:r>
          </w:p>
        </w:tc>
        <w:tc>
          <w:tcPr>
            <w:shd w:val="clear" w:color="auto" w:fill="F5F7FB"/>
          </w:tcPr>
          <w:p>
            <w:pPr>
              <w:pStyle w:val="Compact"/>
            </w:pPr>
            <w:r>
              <w:rPr>
                <w:rStyle w:val="VerbatimChar"/>
                <w:sz w:val="17"/>
              </w:rPr>
              <w:t xml:space="preserve">ECHOUE</w:t>
            </w:r>
            <w:r>
              <w:rPr>
                <w:sz w:val="17"/>
              </w:rPr>
              <w:t xml:space="preserve"> </w:t>
            </w:r>
            <w:r>
              <w:rPr>
                <w:sz w:val="17"/>
              </w:rPr>
              <w:t xml:space="preserve">si l’ordre est encore</w:t>
            </w:r>
            <w:r>
              <w:rPr>
                <w:sz w:val="17"/>
              </w:rPr>
              <w:t xml:space="preserve"> </w:t>
            </w:r>
            <w:r>
              <w:rPr>
                <w:rStyle w:val="VerbatimChar"/>
                <w:sz w:val="17"/>
              </w:rPr>
              <w:t xml:space="preserve">INITIE</w:t>
            </w:r>
          </w:p>
        </w:tc>
        <w:tc>
          <w:tcPr>
            <w:shd w:val="clear" w:color="auto" w:fill="F5F7FB"/>
          </w:tcPr>
          <w:p>
            <w:pPr>
              <w:pStyle w:val="Compact"/>
            </w:pPr>
            <w:r>
              <w:rPr>
                <w:rStyle w:val="VerbatimChar"/>
                <w:sz w:val="17"/>
              </w:rPr>
              <w:t xml:space="preserve">BITRIPAY_RAIL</w:t>
            </w:r>
          </w:p>
        </w:tc>
      </w:tr>
      <w:tr>
        <w:tc>
          <w:tcPr/>
          <w:p>
            <w:pPr>
              <w:pStyle w:val="Compact"/>
            </w:pPr>
            <w:r>
              <w:rPr>
                <w:sz w:val="17"/>
              </w:rPr>
              <w:t xml:space="preserve">BitriPay</w:t>
            </w:r>
          </w:p>
        </w:tc>
        <w:tc>
          <w:tcPr/>
          <w:p>
            <w:pPr>
              <w:pStyle w:val="Compact"/>
            </w:pPr>
            <w:r>
              <w:rPr>
                <w:rStyle w:val="VerbatimChar"/>
                <w:sz w:val="17"/>
              </w:rPr>
              <w:t xml:space="preserve">payment_intent.payment_failed</w:t>
            </w:r>
          </w:p>
        </w:tc>
        <w:tc>
          <w:tcPr/>
          <w:p>
            <w:pPr>
              <w:pStyle w:val="Compact"/>
            </w:pPr>
            <w:r>
              <w:rPr>
                <w:sz w:val="17"/>
              </w:rPr>
              <w:t xml:space="preserve">Journalisé (</w:t>
            </w:r>
            <w:r>
              <w:rPr>
                <w:rStyle w:val="VerbatimChar"/>
                <w:sz w:val="17"/>
              </w:rPr>
              <w:t xml:space="preserve">payment.attempt_failed</w:t>
            </w:r>
            <w:r>
              <w:rPr>
                <w:sz w:val="17"/>
              </w:rPr>
              <w:t xml:space="preserve">),</w:t>
            </w:r>
            <w:r>
              <w:rPr>
                <w:sz w:val="17"/>
              </w:rPr>
              <w:t xml:space="preserve"> </w:t>
            </w:r>
            <w:r>
              <w:rPr>
                <w:b/>
                <w:bCs/>
                <w:sz w:val="17"/>
              </w:rPr>
              <w:t xml:space="preserve">sans changement d’état</w:t>
            </w:r>
            <w:r>
              <w:rPr>
                <w:sz w:val="17"/>
              </w:rPr>
              <w:t xml:space="preserve"> </w:t>
            </w:r>
            <w:r>
              <w:rPr>
                <w:sz w:val="17"/>
              </w:rPr>
              <w:t xml:space="preserve">: une tentative échouée n’est pas terminale, le payeur peut réessayer sur la même intention</w:t>
            </w:r>
          </w:p>
        </w:tc>
        <w:tc>
          <w:tcPr/>
          <w:p>
            <w:pPr>
              <w:pStyle w:val="Compact"/>
            </w:pPr>
            <w:r>
              <w:rPr>
                <w:sz w:val="17"/>
              </w:rPr>
              <w:t xml:space="preserve">—</w:t>
            </w:r>
          </w:p>
        </w:tc>
      </w:tr>
      <w:tr>
        <w:tc>
          <w:tcPr>
            <w:shd w:val="clear" w:color="auto" w:fill="F5F7FB"/>
          </w:tcPr>
          <w:p>
            <w:pPr>
              <w:pStyle w:val="Compact"/>
            </w:pPr>
            <w:r>
              <w:rPr>
                <w:sz w:val="17"/>
              </w:rPr>
              <w:t xml:space="preserve">BitriPay</w:t>
            </w:r>
          </w:p>
        </w:tc>
        <w:tc>
          <w:tcPr>
            <w:shd w:val="clear" w:color="auto" w:fill="F5F7FB"/>
          </w:tcPr>
          <w:p>
            <w:pPr>
              <w:pStyle w:val="Compact"/>
            </w:pPr>
            <w:r>
              <w:rPr>
                <w:rStyle w:val="VerbatimChar"/>
                <w:sz w:val="17"/>
              </w:rPr>
              <w:t xml:space="preserve">payment_intent.ambiguous_hold</w:t>
            </w:r>
          </w:p>
        </w:tc>
        <w:tc>
          <w:tcPr>
            <w:shd w:val="clear" w:color="auto" w:fill="F5F7FB"/>
          </w:tcPr>
          <w:p>
            <w:pPr>
              <w:pStyle w:val="Compact"/>
            </w:pPr>
            <w:r>
              <w:rPr>
                <w:b/>
                <w:bCs/>
                <w:sz w:val="17"/>
              </w:rPr>
              <w:t xml:space="preserve">Attente prestataire</w:t>
            </w:r>
            <w:r>
              <w:rPr>
                <w:sz w:val="17"/>
              </w:rPr>
              <w:t xml:space="preserve"> </w:t>
            </w:r>
            <w:r>
              <w:rPr>
                <w:sz w:val="17"/>
              </w:rPr>
              <w:t xml:space="preserve">(résultat opérateur inconnu, paiement en revue manuelle chez BitriPay) :</w:t>
            </w:r>
            <w:r>
              <w:rPr>
                <w:sz w:val="17"/>
              </w:rPr>
              <w:t xml:space="preserve"> </w:t>
            </w:r>
            <w:r>
              <w:rPr>
                <w:b/>
                <w:bCs/>
                <w:sz w:val="17"/>
              </w:rPr>
              <w:t xml:space="preserve">aucun changement d’état, aucune quittance</w:t>
            </w:r>
            <w:r>
              <w:rPr>
                <w:sz w:val="17"/>
              </w:rPr>
              <w:t xml:space="preserve">, alerte et exception de rapprochement</w:t>
            </w:r>
            <w:r>
              <w:rPr>
                <w:sz w:val="17"/>
              </w:rPr>
              <w:t xml:space="preserve"> </w:t>
            </w:r>
            <w:r>
              <w:rPr>
                <w:rStyle w:val="VerbatimChar"/>
                <w:sz w:val="17"/>
              </w:rPr>
              <w:t xml:space="preserve">PROVIDER_AMBIGUOUS</w:t>
            </w:r>
            <w:r>
              <w:rPr>
                <w:sz w:val="17"/>
              </w:rPr>
              <w:t xml:space="preserve"> </w:t>
            </w:r>
            <w:r>
              <w:rPr>
                <w:sz w:val="17"/>
              </w:rPr>
              <w:t xml:space="preserve">jusqu’à la confirmation signée ou l’échec</w:t>
            </w:r>
          </w:p>
        </w:tc>
        <w:tc>
          <w:tcPr>
            <w:shd w:val="clear" w:color="auto" w:fill="F5F7FB"/>
          </w:tcPr>
          <w:p>
            <w:pPr>
              <w:pStyle w:val="Compact"/>
            </w:pPr>
            <w:r>
              <w:rPr>
                <w:sz w:val="17"/>
              </w:rPr>
              <w:t xml:space="preserve">—</w:t>
            </w:r>
          </w:p>
        </w:tc>
      </w:tr>
      <w:tr>
        <w:tc>
          <w:tcPr/>
          <w:p>
            <w:pPr>
              <w:pStyle w:val="Compact"/>
            </w:pPr>
            <w:r>
              <w:rPr>
                <w:sz w:val="17"/>
              </w:rPr>
              <w:t xml:space="preserve">BitriPay</w:t>
            </w:r>
          </w:p>
        </w:tc>
        <w:tc>
          <w:tcPr/>
          <w:p>
            <w:pPr>
              <w:pStyle w:val="Compact"/>
            </w:pPr>
            <w:r>
              <w:rPr>
                <w:rStyle w:val="VerbatimChar"/>
                <w:sz w:val="17"/>
              </w:rPr>
              <w:t xml:space="preserve">payment_intent.settled</w:t>
            </w:r>
          </w:p>
        </w:tc>
        <w:tc>
          <w:tcPr/>
          <w:p>
            <w:pPr>
              <w:pStyle w:val="Compact"/>
            </w:pPr>
            <w:r>
              <w:rPr>
                <w:b/>
                <w:bCs/>
                <w:sz w:val="17"/>
              </w:rPr>
              <w:t xml:space="preserve">Annonce de règlement</w:t>
            </w:r>
            <w:r>
              <w:rPr>
                <w:sz w:val="17"/>
              </w:rPr>
              <w:t xml:space="preserve"> </w:t>
            </w:r>
            <w:r>
              <w:rPr>
                <w:sz w:val="17"/>
              </w:rPr>
              <w:t xml:space="preserve">: conservée comme indice de rapprochement, audit</w:t>
            </w:r>
            <w:r>
              <w:rPr>
                <w:sz w:val="17"/>
              </w:rPr>
              <w:t xml:space="preserve"> </w:t>
            </w:r>
            <w:r>
              <w:rPr>
                <w:rStyle w:val="VerbatimChar"/>
                <w:sz w:val="17"/>
              </w:rPr>
              <w:t xml:space="preserve">payment.settlement_announced</w:t>
            </w:r>
            <w:r>
              <w:rPr>
                <w:sz w:val="17"/>
              </w:rPr>
              <w:t xml:space="preserve">. L’ordre</w:t>
            </w:r>
            <w:r>
              <w:rPr>
                <w:sz w:val="17"/>
              </w:rPr>
              <w:t xml:space="preserve"> </w:t>
            </w:r>
            <w:r>
              <w:rPr>
                <w:b/>
                <w:bCs/>
                <w:sz w:val="17"/>
              </w:rPr>
              <w:t xml:space="preserve">reste</w:t>
            </w:r>
            <w:r>
              <w:rPr>
                <w:b/>
                <w:bCs/>
                <w:sz w:val="17"/>
              </w:rPr>
              <w:t xml:space="preserve"> </w:t>
            </w:r>
            <w:r>
              <w:rPr>
                <w:rStyle w:val="VerbatimChar"/>
                <w:b/>
                <w:bCs/>
                <w:sz w:val="17"/>
              </w:rPr>
              <w:t xml:space="preserve">CONFIRME</w:t>
            </w:r>
          </w:p>
        </w:tc>
        <w:tc>
          <w:tcPr/>
          <w:p>
            <w:pPr>
              <w:pStyle w:val="Compact"/>
            </w:pPr>
            <w:r>
              <w:rPr>
                <w:sz w:val="17"/>
              </w:rPr>
              <w:t xml:space="preserve">—</w:t>
            </w:r>
          </w:p>
        </w:tc>
      </w:tr>
      <w:tr>
        <w:tc>
          <w:tcPr>
            <w:shd w:val="clear" w:color="auto" w:fill="F5F7FB"/>
          </w:tcPr>
          <w:p>
            <w:pPr>
              <w:pStyle w:val="Compact"/>
            </w:pPr>
            <w:r>
              <w:rPr>
                <w:sz w:val="17"/>
              </w:rPr>
              <w:t xml:space="preserve">Tous</w:t>
            </w:r>
          </w:p>
        </w:tc>
        <w:tc>
          <w:tcPr>
            <w:shd w:val="clear" w:color="auto" w:fill="F5F7FB"/>
          </w:tcPr>
          <w:p>
            <w:pPr>
              <w:pStyle w:val="Compact"/>
            </w:pPr>
            <w:r>
              <w:rPr>
                <w:sz w:val="17"/>
              </w:rPr>
              <w:t xml:space="preserve">Autre type</w:t>
            </w:r>
          </w:p>
        </w:tc>
        <w:tc>
          <w:tcPr>
            <w:shd w:val="clear" w:color="auto" w:fill="F5F7FB"/>
          </w:tcPr>
          <w:p>
            <w:pPr>
              <w:pStyle w:val="Compact"/>
            </w:pPr>
            <w:r>
              <w:rPr>
                <w:sz w:val="17"/>
              </w:rPr>
              <w:t xml:space="preserve">200, ignoré, audit</w:t>
            </w:r>
            <w:r>
              <w:rPr>
                <w:sz w:val="17"/>
              </w:rPr>
              <w:t xml:space="preserve"> </w:t>
            </w:r>
            <w:r>
              <w:rPr>
                <w:rStyle w:val="VerbatimChar"/>
                <w:sz w:val="17"/>
              </w:rPr>
              <w:t xml:space="preserve">payment.webhook.ignored</w:t>
            </w:r>
          </w:p>
        </w:tc>
        <w:tc>
          <w:tcPr>
            <w:shd w:val="clear" w:color="auto" w:fill="F5F7FB"/>
          </w:tcPr>
          <w:p>
            <w:pPr>
              <w:pStyle w:val="Compact"/>
            </w:pPr>
            <w:r>
              <w:rPr>
                <w:sz w:val="17"/>
              </w:rPr>
              <w:t xml:space="preserve">—</w:t>
            </w:r>
          </w:p>
        </w:tc>
      </w:tr>
    </w:tbl>
    <w:p>
      <w:pPr>
        <w:pStyle w:val="BodyText"/>
      </w:pPr>
      <w:r>
        <w:t xml:space="preserve">La référence MOSOLO d’un événement est résolue à partir des métadonnées (</w:t>
      </w:r>
      <w:r>
        <w:rPr>
          <w:rStyle w:val="VerbatimChar"/>
        </w:rPr>
        <w:t xml:space="preserve">payment_reference</w:t>
      </w:r>
      <w:r>
        <w:t xml:space="preserve">,</w:t>
      </w:r>
      <w:r>
        <w:t xml:space="preserve"> </w:t>
      </w:r>
      <w:r>
        <w:rPr>
          <w:rStyle w:val="VerbatimChar"/>
        </w:rPr>
        <w:t xml:space="preserve">order_id</w:t>
      </w:r>
      <w:r>
        <w:t xml:space="preserve">) et de l’intention enregistrée sur l’ordre ; si ces sources divergent, l’événement est refusé (</w:t>
      </w:r>
      <w:r>
        <w:rPr>
          <w:rStyle w:val="VerbatimChar"/>
        </w:rPr>
        <w:t xml:space="preserve">REFERENCE_CONFLICT</w:t>
      </w:r>
      <w:r>
        <w:t xml:space="preserve">) et une alerte est levée. Un ordre lié à une intention ne peut être confirmé que par</w:t>
      </w:r>
      <w:r>
        <w:t xml:space="preserve"> </w:t>
      </w:r>
      <w:r>
        <w:rPr>
          <w:b/>
          <w:bCs/>
        </w:rPr>
        <w:t xml:space="preserve">ce</w:t>
      </w:r>
      <w:r>
        <w:t xml:space="preserve"> </w:t>
      </w:r>
      <w:r>
        <w:t xml:space="preserve">prestataire et pour</w:t>
      </w:r>
      <w:r>
        <w:t xml:space="preserve"> </w:t>
      </w:r>
      <w:r>
        <w:rPr>
          <w:b/>
          <w:bCs/>
        </w:rPr>
        <w:t xml:space="preserve">cette</w:t>
      </w:r>
      <w:r>
        <w:t xml:space="preserve"> </w:t>
      </w:r>
      <w:r>
        <w:t xml:space="preserve">intention (</w:t>
      </w:r>
      <w:r>
        <w:rPr>
          <w:rStyle w:val="VerbatimChar"/>
        </w:rPr>
        <w:t xml:space="preserve">PROVIDER_ORDER_MISMATCH</w:t>
      </w:r>
      <w:r>
        <w:t xml:space="preserve">).</w:t>
      </w:r>
    </w:p>
    <w:p>
      <w:pPr>
        <w:pStyle w:val="BodyText"/>
      </w:pPr>
      <w:r>
        <w:t xml:space="preserve">Les états</w:t>
      </w:r>
      <w:r>
        <w:t xml:space="preserve"> </w:t>
      </w:r>
      <w:r>
        <w:rPr>
          <w:rStyle w:val="VerbatimChar"/>
        </w:rPr>
        <w:t xml:space="preserve">REGLE</w:t>
      </w:r>
      <w:r>
        <w:t xml:space="preserve"> </w:t>
      </w:r>
      <w:r>
        <w:t xml:space="preserve">puis</w:t>
      </w:r>
      <w:r>
        <w:t xml:space="preserve"> </w:t>
      </w:r>
      <w:r>
        <w:rPr>
          <w:rStyle w:val="VerbatimChar"/>
        </w:rPr>
        <w:t xml:space="preserve">RAPPROCHE</w:t>
      </w:r>
      <w:r>
        <w:t xml:space="preserve">, et donc la quittance</w:t>
      </w:r>
      <w:r>
        <w:t xml:space="preserve"> </w:t>
      </w:r>
      <w:r>
        <w:rPr>
          <w:b/>
          <w:bCs/>
        </w:rPr>
        <w:t xml:space="preserve">définitive</w:t>
      </w:r>
      <w:r>
        <w:t xml:space="preserve">, ne résultent</w:t>
      </w:r>
      <w:r>
        <w:t xml:space="preserve"> </w:t>
      </w:r>
      <w:r>
        <w:rPr>
          <w:b/>
          <w:bCs/>
        </w:rPr>
        <w:t xml:space="preserve">que</w:t>
      </w:r>
      <w:r>
        <w:t xml:space="preserve"> </w:t>
      </w:r>
      <w:r>
        <w:t xml:space="preserve">du rapprochement à trois voies avec le relevé du compte public (§ 20.1). L’annonce de règlement d’un prestataire est une information utile, non une preuve d’arrivée des fonds.</w:t>
      </w:r>
    </w:p>
    <w:bookmarkEnd w:id="218"/>
    <w:bookmarkStart w:id="219" w:name="conversion-des-unités-mineures"/>
    <w:p>
      <w:pPr>
        <w:pStyle w:val="Heading2"/>
      </w:pPr>
      <w:r>
        <w:t xml:space="preserve">18.10 Conversion des unités mineures</w:t>
      </w:r>
    </w:p>
    <w:p>
      <w:pPr>
        <w:pStyle w:val="FirstParagraph"/>
      </w:pPr>
      <w:r>
        <w:t xml:space="preserve">Les prestataires échangent des montants entiers en</w:t>
      </w:r>
      <w:r>
        <w:t xml:space="preserve"> </w:t>
      </w:r>
      <w:r>
        <w:rPr>
          <w:i/>
          <w:iCs/>
        </w:rPr>
        <w:t xml:space="preserve">unités mineures</w:t>
      </w:r>
      <w:r>
        <w:t xml:space="preserve">, mais leurs conventions diffèrent de celles de MOSOLO, où le franc congolais compte deux décimales.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Devise</w:t>
            </w:r>
          </w:p>
        </w:tc>
        <w:tc>
          <w:tcPr>
            <w:shd w:val="clear" w:color="auto" w:fill="232C6B"/>
          </w:tcPr>
          <w:p>
            <w:pPr>
              <w:pStyle w:val="Compact"/>
            </w:pPr>
            <w:r>
              <w:rPr>
                <w:b/>
                <w:color w:val="FFFFFF"/>
                <w:sz w:val="17"/>
              </w:rPr>
              <w:t xml:space="preserve">MOSOLO</w:t>
            </w:r>
          </w:p>
        </w:tc>
        <w:tc>
          <w:tcPr>
            <w:shd w:val="clear" w:color="auto" w:fill="232C6B"/>
          </w:tcPr>
          <w:p>
            <w:pPr>
              <w:pStyle w:val="Compact"/>
            </w:pPr>
            <w:r>
              <w:rPr>
                <w:b/>
                <w:color w:val="FFFFFF"/>
                <w:sz w:val="17"/>
              </w:rPr>
              <w:t xml:space="preserve">KODA</w:t>
            </w:r>
          </w:p>
        </w:tc>
        <w:tc>
          <w:tcPr>
            <w:shd w:val="clear" w:color="auto" w:fill="232C6B"/>
          </w:tcPr>
          <w:p>
            <w:pPr>
              <w:pStyle w:val="Compact"/>
            </w:pPr>
            <w:r>
              <w:rPr>
                <w:b/>
                <w:color w:val="FFFFFF"/>
                <w:sz w:val="17"/>
              </w:rPr>
              <w:t xml:space="preserve">BitriPay</w:t>
            </w:r>
          </w:p>
        </w:tc>
      </w:tr>
      <w:tr>
        <w:tc>
          <w:tcPr/>
          <w:p>
            <w:pPr>
              <w:pStyle w:val="Compact"/>
            </w:pPr>
            <w:r>
              <w:rPr>
                <w:sz w:val="17"/>
              </w:rPr>
              <w:t xml:space="preserve">CDF</w:t>
            </w:r>
          </w:p>
        </w:tc>
        <w:tc>
          <w:tcPr/>
          <w:p>
            <w:pPr>
              <w:pStyle w:val="Compact"/>
            </w:pPr>
            <w:r>
              <w:rPr>
                <w:sz w:val="17"/>
              </w:rPr>
              <w:t xml:space="preserve">2 décimales</w:t>
            </w:r>
          </w:p>
        </w:tc>
        <w:tc>
          <w:tcPr/>
          <w:p>
            <w:pPr>
              <w:pStyle w:val="Compact"/>
            </w:pPr>
            <w:r>
              <w:rPr>
                <w:b/>
                <w:bCs/>
                <w:sz w:val="17"/>
              </w:rPr>
              <w:t xml:space="preserve">0 décimale</w:t>
            </w:r>
            <w:r>
              <w:rPr>
                <w:sz w:val="17"/>
              </w:rPr>
              <w:t xml:space="preserve"> </w:t>
            </w:r>
            <w:r>
              <w:rPr>
                <w:sz w:val="17"/>
              </w:rPr>
              <w:t xml:space="preserve">:</w:t>
            </w:r>
            <w:r>
              <w:rPr>
                <w:sz w:val="17"/>
              </w:rPr>
              <w:t xml:space="preserve"> </w:t>
            </w:r>
            <w:r>
              <w:rPr>
                <w:rStyle w:val="VerbatimChar"/>
                <w:sz w:val="17"/>
              </w:rPr>
              <w:t xml:space="preserve">25000</w:t>
            </w:r>
            <w:r>
              <w:rPr>
                <w:sz w:val="17"/>
              </w:rPr>
              <w:t xml:space="preserve"> </w:t>
            </w:r>
            <w:r>
              <w:rPr>
                <w:sz w:val="17"/>
              </w:rPr>
              <w:t xml:space="preserve">= 25 000 FC</w:t>
            </w:r>
          </w:p>
        </w:tc>
        <w:tc>
          <w:tcPr/>
          <w:p>
            <w:pPr>
              <w:pStyle w:val="Compact"/>
            </w:pPr>
            <w:r>
              <w:rPr>
                <w:sz w:val="17"/>
              </w:rPr>
              <w:t xml:space="preserve">2 décimales par défaut (ISO 4217), paramétrable</w:t>
            </w:r>
            <w:r>
              <w:rPr>
                <w:sz w:val="17"/>
              </w:rPr>
              <w:t xml:space="preserve"> </w:t>
            </w:r>
            <w:r>
              <w:rPr>
                <w:rStyle w:val="VerbatimChar"/>
                <w:sz w:val="17"/>
              </w:rPr>
              <w:t xml:space="preserve">BITRIPAY_CDF_EXPONENT</w:t>
            </w:r>
            <w:r>
              <w:rPr>
                <w:sz w:val="17"/>
              </w:rPr>
              <w:t xml:space="preserve"> </w:t>
            </w:r>
            <w:r>
              <w:rPr>
                <w:sz w:val="17"/>
              </w:rPr>
              <w:t xml:space="preserve">[À VÉRIFIER]</w:t>
            </w:r>
          </w:p>
        </w:tc>
      </w:tr>
      <w:tr>
        <w:tc>
          <w:tcPr>
            <w:shd w:val="clear" w:color="auto" w:fill="F5F7FB"/>
          </w:tcPr>
          <w:p>
            <w:pPr>
              <w:pStyle w:val="Compact"/>
            </w:pPr>
            <w:r>
              <w:rPr>
                <w:sz w:val="17"/>
              </w:rPr>
              <w:t xml:space="preserve">USD</w:t>
            </w:r>
          </w:p>
        </w:tc>
        <w:tc>
          <w:tcPr>
            <w:shd w:val="clear" w:color="auto" w:fill="F5F7FB"/>
          </w:tcPr>
          <w:p>
            <w:pPr>
              <w:pStyle w:val="Compact"/>
            </w:pPr>
            <w:r>
              <w:rPr>
                <w:sz w:val="17"/>
              </w:rPr>
              <w:t xml:space="preserve">2 décimales</w:t>
            </w:r>
          </w:p>
        </w:tc>
        <w:tc>
          <w:tcPr>
            <w:shd w:val="clear" w:color="auto" w:fill="F5F7FB"/>
          </w:tcPr>
          <w:p>
            <w:pPr>
              <w:pStyle w:val="Compact"/>
            </w:pPr>
            <w:r>
              <w:rPr>
                <w:sz w:val="17"/>
              </w:rPr>
              <w:t xml:space="preserve">2 décimales :</w:t>
            </w:r>
            <w:r>
              <w:rPr>
                <w:sz w:val="17"/>
              </w:rPr>
              <w:t xml:space="preserve"> </w:t>
            </w:r>
            <w:r>
              <w:rPr>
                <w:rStyle w:val="VerbatimChar"/>
                <w:sz w:val="17"/>
              </w:rPr>
              <w:t xml:space="preserve">589</w:t>
            </w:r>
            <w:r>
              <w:rPr>
                <w:sz w:val="17"/>
              </w:rPr>
              <w:t xml:space="preserve"> </w:t>
            </w:r>
            <w:r>
              <w:rPr>
                <w:sz w:val="17"/>
              </w:rPr>
              <w:t xml:space="preserve">= 5,89 $</w:t>
            </w:r>
          </w:p>
        </w:tc>
        <w:tc>
          <w:tcPr>
            <w:shd w:val="clear" w:color="auto" w:fill="F5F7FB"/>
          </w:tcPr>
          <w:p>
            <w:pPr>
              <w:pStyle w:val="Compact"/>
            </w:pPr>
            <w:r>
              <w:rPr>
                <w:sz w:val="17"/>
              </w:rPr>
              <w:t xml:space="preserve">2 décimales</w:t>
            </w:r>
          </w:p>
        </w:tc>
      </w:tr>
    </w:tbl>
    <w:p>
      <w:pPr>
        <w:pStyle w:val="BodyText"/>
      </w:pPr>
      <w:r>
        <w:t xml:space="preserve">La conversion est</w:t>
      </w:r>
      <w:r>
        <w:t xml:space="preserve"> </w:t>
      </w:r>
      <w:r>
        <w:rPr>
          <w:b/>
          <w:bCs/>
        </w:rPr>
        <w:t xml:space="preserve">exacte</w:t>
      </w:r>
      <w:r>
        <w:t xml:space="preserve"> </w:t>
      </w:r>
      <w:r>
        <w:t xml:space="preserve">(chaînes décimales et entiers</w:t>
      </w:r>
      <w:r>
        <w:t xml:space="preserve"> </w:t>
      </w:r>
      <w:r>
        <w:rPr>
          <w:rStyle w:val="VerbatimChar"/>
        </w:rPr>
        <w:t xml:space="preserve">BigInt</w:t>
      </w:r>
      <w:r>
        <w:t xml:space="preserve">, jamais de virgule flottante) et s’appuie sur une table d’exposants propre à chaque connecteur. Un montant non représentable chez le prestataire — par exemple 1 250,50 CDF chez KODA — est</w:t>
      </w:r>
      <w:r>
        <w:t xml:space="preserve"> </w:t>
      </w:r>
      <w:r>
        <w:rPr>
          <w:b/>
          <w:bCs/>
        </w:rPr>
        <w:t xml:space="preserve">refusé</w:t>
      </w:r>
      <w:r>
        <w:t xml:space="preserve"> </w:t>
      </w:r>
      <w:r>
        <w:t xml:space="preserve">(</w:t>
      </w:r>
      <w:r>
        <w:rPr>
          <w:rStyle w:val="VerbatimChar"/>
        </w:rPr>
        <w:t xml:space="preserve">422 AMOUNT_NOT_REPRESENTABLE</w:t>
      </w:r>
      <w:r>
        <w:t xml:space="preserve">) et jamais arrondi : tout arrondi créerait un écart entre le dû et le payé. En sens inverse,</w:t>
      </w:r>
      <w:r>
        <w:t xml:space="preserve"> </w:t>
      </w:r>
      <w:r>
        <w:rPr>
          <w:rStyle w:val="VerbatimChar"/>
        </w:rPr>
        <w:t xml:space="preserve">25000</w:t>
      </w:r>
      <w:r>
        <w:t xml:space="preserve"> </w:t>
      </w:r>
      <w:r>
        <w:t xml:space="preserve">CDF reçu de KODA devient</w:t>
      </w:r>
      <w:r>
        <w:t xml:space="preserve"> </w:t>
      </w:r>
      <w:r>
        <w:rPr>
          <w:rStyle w:val="VerbatimChar"/>
        </w:rPr>
        <w:t xml:space="preserve">"25000.00"</w:t>
      </w:r>
      <w:r>
        <w:t xml:space="preserve"> </w:t>
      </w:r>
      <w:r>
        <w:t xml:space="preserve">CDF ;</w:t>
      </w:r>
      <w:r>
        <w:t xml:space="preserve"> </w:t>
      </w:r>
      <w:r>
        <w:rPr>
          <w:rStyle w:val="VerbatimChar"/>
        </w:rPr>
        <w:t xml:space="preserve">589</w:t>
      </w:r>
      <w:r>
        <w:t xml:space="preserve"> </w:t>
      </w:r>
      <w:r>
        <w:t xml:space="preserve">USD devient</w:t>
      </w:r>
      <w:r>
        <w:t xml:space="preserve"> </w:t>
      </w:r>
      <w:r>
        <w:rPr>
          <w:rStyle w:val="VerbatimChar"/>
        </w:rPr>
        <w:t xml:space="preserve">"5.89"</w:t>
      </w:r>
      <w:r>
        <w:t xml:space="preserve"> </w:t>
      </w:r>
      <w:r>
        <w:t xml:space="preserve">USD. Un montant hors de la plage entière sûre d’un document JSON est également refusé.</w:t>
      </w:r>
    </w:p>
    <w:bookmarkEnd w:id="219"/>
    <w:bookmarkStart w:id="220" w:name="sécurité-signatures-anti-rejeu-secrets"/>
    <w:p>
      <w:pPr>
        <w:pStyle w:val="Heading2"/>
      </w:pPr>
      <w:r>
        <w:t xml:space="preserve">18.11 Sécurité : signatures, anti-rejeu, secrets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Mesure</w:t>
            </w:r>
          </w:p>
        </w:tc>
        <w:tc>
          <w:tcPr>
            <w:shd w:val="clear" w:color="auto" w:fill="232C6B"/>
          </w:tcPr>
          <w:p>
            <w:pPr>
              <w:pStyle w:val="Compact"/>
            </w:pPr>
            <w:r>
              <w:rPr>
                <w:b/>
                <w:color w:val="FFFFFF"/>
                <w:sz w:val="17"/>
              </w:rPr>
              <w:t xml:space="preserve">KODA</w:t>
            </w:r>
          </w:p>
        </w:tc>
        <w:tc>
          <w:tcPr>
            <w:shd w:val="clear" w:color="auto" w:fill="232C6B"/>
          </w:tcPr>
          <w:p>
            <w:pPr>
              <w:pStyle w:val="Compact"/>
            </w:pPr>
            <w:r>
              <w:rPr>
                <w:b/>
                <w:color w:val="FFFFFF"/>
                <w:sz w:val="17"/>
              </w:rPr>
              <w:t xml:space="preserve">BitriPay</w:t>
            </w:r>
          </w:p>
        </w:tc>
      </w:tr>
      <w:tr>
        <w:tc>
          <w:tcPr/>
          <w:p>
            <w:pPr>
              <w:pStyle w:val="Compact"/>
            </w:pPr>
            <w:r>
              <w:rPr>
                <w:sz w:val="17"/>
              </w:rPr>
              <w:t xml:space="preserve">Signature</w:t>
            </w:r>
          </w:p>
        </w:tc>
        <w:tc>
          <w:tcPr/>
          <w:p>
            <w:pPr>
              <w:pStyle w:val="Compact"/>
            </w:pPr>
            <w:r>
              <w:rPr>
                <w:rStyle w:val="VerbatimChar"/>
                <w:sz w:val="17"/>
              </w:rPr>
              <w:t xml:space="preserve">x-koda-signature</w:t>
            </w:r>
            <w:r>
              <w:rPr>
                <w:sz w:val="17"/>
              </w:rPr>
              <w:t xml:space="preserve"> </w:t>
            </w:r>
            <w:r>
              <w:rPr>
                <w:sz w:val="17"/>
              </w:rPr>
              <w:t xml:space="preserve">= HMAC-SHA256 hexadécimal du corps brut</w:t>
            </w:r>
          </w:p>
        </w:tc>
        <w:tc>
          <w:tcPr/>
          <w:p>
            <w:pPr>
              <w:pStyle w:val="Compact"/>
            </w:pPr>
            <w:r>
              <w:rPr>
                <w:rStyle w:val="VerbatimChar"/>
                <w:sz w:val="17"/>
              </w:rPr>
              <w:t xml:space="preserve">BitriPay-Signature: t=&lt;unix&gt;,v1=&lt;hex&gt;</w:t>
            </w:r>
            <w:r>
              <w:rPr>
                <w:sz w:val="17"/>
              </w:rPr>
              <w:t xml:space="preserve"> </w:t>
            </w:r>
            <w:r>
              <w:rPr>
                <w:sz w:val="17"/>
              </w:rPr>
              <w:t xml:space="preserve">avec HMAC-SHA256 de</w:t>
            </w:r>
            <w:r>
              <w:rPr>
                <w:sz w:val="17"/>
              </w:rPr>
              <w:t xml:space="preserve"> </w:t>
            </w:r>
            <w:r>
              <w:rPr>
                <w:rStyle w:val="VerbatimChar"/>
                <w:sz w:val="17"/>
              </w:rPr>
              <w:t xml:space="preserve">"&lt;t&gt;.&lt;corps brut&gt;"</w:t>
            </w:r>
            <w:r>
              <w:rPr>
                <w:sz w:val="17"/>
              </w:rPr>
              <w:t xml:space="preserve"> </w:t>
            </w:r>
            <w:r>
              <w:rPr>
                <w:sz w:val="17"/>
              </w:rPr>
              <w:t xml:space="preserve">[À VÉRIFIER] ; en complément,</w:t>
            </w:r>
            <w:r>
              <w:rPr>
                <w:sz w:val="17"/>
              </w:rPr>
              <w:t xml:space="preserve"> </w:t>
            </w:r>
            <w:r>
              <w:rPr>
                <w:rStyle w:val="VerbatimChar"/>
                <w:sz w:val="17"/>
              </w:rPr>
              <w:t xml:space="preserve">BitriPay-Signature-Ed25519</w:t>
            </w:r>
            <w:r>
              <w:rPr>
                <w:sz w:val="17"/>
              </w:rPr>
              <w:t xml:space="preserve"> </w:t>
            </w:r>
            <w:r>
              <w:rPr>
                <w:sz w:val="17"/>
              </w:rPr>
              <w:t xml:space="preserve">vérifiée avec la clé publique de la plateforme épinglée par configuration (exigible)</w:t>
            </w:r>
          </w:p>
        </w:tc>
      </w:tr>
      <w:tr>
        <w:tc>
          <w:tcPr>
            <w:shd w:val="clear" w:color="auto" w:fill="F5F7FB"/>
          </w:tcPr>
          <w:p>
            <w:pPr>
              <w:pStyle w:val="Compact"/>
            </w:pPr>
            <w:r>
              <w:rPr>
                <w:sz w:val="17"/>
              </w:rPr>
              <w:t xml:space="preserve">Comparaison</w:t>
            </w:r>
          </w:p>
        </w:tc>
        <w:tc>
          <w:tcPr>
            <w:shd w:val="clear" w:color="auto" w:fill="F5F7FB"/>
          </w:tcPr>
          <w:p>
            <w:pPr>
              <w:pStyle w:val="Compact"/>
            </w:pPr>
            <w:r>
              <w:rPr>
                <w:sz w:val="17"/>
              </w:rPr>
              <w:t xml:space="preserve">À temps constant</w:t>
            </w:r>
          </w:p>
        </w:tc>
        <w:tc>
          <w:tcPr>
            <w:shd w:val="clear" w:color="auto" w:fill="F5F7FB"/>
          </w:tcPr>
          <w:p>
            <w:pPr>
              <w:pStyle w:val="Compact"/>
            </w:pPr>
            <w:r>
              <w:rPr>
                <w:sz w:val="17"/>
              </w:rPr>
              <w:t xml:space="preserve">À temps constant</w:t>
            </w:r>
          </w:p>
        </w:tc>
      </w:tr>
      <w:tr>
        <w:tc>
          <w:tcPr/>
          <w:p>
            <w:pPr>
              <w:pStyle w:val="Compact"/>
            </w:pPr>
            <w:r>
              <w:rPr>
                <w:sz w:val="17"/>
              </w:rPr>
              <w:t xml:space="preserve">Fenêtre temporelle</w:t>
            </w:r>
          </w:p>
        </w:tc>
        <w:tc>
          <w:tcPr/>
          <w:p>
            <w:pPr>
              <w:pStyle w:val="Compact"/>
            </w:pPr>
            <w:r>
              <w:rPr>
                <w:sz w:val="17"/>
              </w:rPr>
              <w:t xml:space="preserve">Aucun horodatage signé connu : anti-rejeu par identifiant d’événement</w:t>
            </w:r>
          </w:p>
        </w:tc>
        <w:tc>
          <w:tcPr/>
          <w:p>
            <w:pPr>
              <w:pStyle w:val="Compact"/>
            </w:pPr>
            <w:r>
              <w:rPr>
                <w:sz w:val="17"/>
              </w:rPr>
              <w:t xml:space="preserve">±5 minutes sur l’horodatage signé</w:t>
            </w:r>
          </w:p>
        </w:tc>
      </w:tr>
      <w:tr>
        <w:tc>
          <w:tcPr>
            <w:shd w:val="clear" w:color="auto" w:fill="F5F7FB"/>
          </w:tcPr>
          <w:p>
            <w:pPr>
              <w:pStyle w:val="Compact"/>
            </w:pPr>
            <w:r>
              <w:rPr>
                <w:sz w:val="17"/>
              </w:rPr>
              <w:t xml:space="preserve">Anti-rejeu</w:t>
            </w:r>
          </w:p>
        </w:tc>
        <w:tc>
          <w:tcPr>
            <w:shd w:val="clear" w:color="auto" w:fill="F5F7FB"/>
          </w:tcPr>
          <w:p>
            <w:pPr>
              <w:pStyle w:val="Compact"/>
            </w:pPr>
            <w:r>
              <w:rPr>
                <w:sz w:val="17"/>
              </w:rPr>
              <w:t xml:space="preserve">Identifiant d’événement unique ; unicité du reçu KODA</w:t>
            </w:r>
          </w:p>
        </w:tc>
        <w:tc>
          <w:tcPr>
            <w:shd w:val="clear" w:color="auto" w:fill="F5F7FB"/>
          </w:tcPr>
          <w:p>
            <w:pPr>
              <w:pStyle w:val="Compact"/>
            </w:pPr>
            <w:r>
              <w:rPr>
                <w:sz w:val="17"/>
              </w:rPr>
              <w:t xml:space="preserve">Identifiant d’événement unique ; unicité de l’intention</w:t>
            </w:r>
          </w:p>
        </w:tc>
      </w:tr>
      <w:tr>
        <w:tc>
          <w:tcPr/>
          <w:p>
            <w:pPr>
              <w:pStyle w:val="Compact"/>
            </w:pPr>
            <w:r>
              <w:rPr>
                <w:sz w:val="17"/>
              </w:rPr>
              <w:t xml:space="preserve">Échec</w:t>
            </w:r>
          </w:p>
        </w:tc>
        <w:tc>
          <w:tcPr/>
          <w:p>
            <w:pPr>
              <w:pStyle w:val="Compact"/>
            </w:pPr>
            <w:r>
              <w:rPr>
                <w:sz w:val="17"/>
              </w:rPr>
              <w:t xml:space="preserve">401 + alerte de sécurité (critique pour une signature invalide)</w:t>
            </w:r>
          </w:p>
        </w:tc>
        <w:tc>
          <w:tcPr/>
          <w:p>
            <w:pPr>
              <w:pStyle w:val="Compact"/>
            </w:pPr>
            <w:r>
              <w:rPr>
                <w:sz w:val="17"/>
              </w:rPr>
              <w:t xml:space="preserve">Idem</w:t>
            </w:r>
          </w:p>
        </w:tc>
      </w:tr>
      <w:tr>
        <w:tc>
          <w:tcPr>
            <w:shd w:val="clear" w:color="auto" w:fill="F5F7FB"/>
          </w:tcPr>
          <w:p>
            <w:pPr>
              <w:pStyle w:val="Compact"/>
            </w:pPr>
            <w:r>
              <w:rPr>
                <w:sz w:val="17"/>
              </w:rPr>
              <w:t xml:space="preserve">Rejeu</w:t>
            </w:r>
          </w:p>
        </w:tc>
        <w:tc>
          <w:tcPr>
            <w:shd w:val="clear" w:color="auto" w:fill="F5F7FB"/>
          </w:tcPr>
          <w:p>
            <w:pPr>
              <w:pStyle w:val="Compact"/>
            </w:pPr>
            <w:r>
              <w:rPr>
                <w:sz w:val="17"/>
              </w:rPr>
              <w:t xml:space="preserve">200, réponse mémorisée, aucun double effet</w:t>
            </w:r>
          </w:p>
        </w:tc>
        <w:tc>
          <w:tcPr>
            <w:shd w:val="clear" w:color="auto" w:fill="F5F7FB"/>
          </w:tcPr>
          <w:p>
            <w:pPr>
              <w:pStyle w:val="Compact"/>
            </w:pPr>
            <w:r>
              <w:rPr>
                <w:sz w:val="17"/>
              </w:rPr>
              <w:t xml:space="preserve">Idem</w:t>
            </w:r>
          </w:p>
        </w:tc>
      </w:tr>
    </w:tbl>
    <w:p>
      <w:pPr>
        <w:pStyle w:val="BodyText"/>
      </w:pPr>
      <w:r>
        <w:t xml:space="preserve">Un événement refusé (montant différent, référence inconnue) n’est pas mémorisé : s’il est présenté de nouveau, il est de nouveau contrôlé, et de nouveau refusé avec alerte. La preuve interne attachée à chaque quittance provisoire indique la garde anti-rejeu utilisée (nonce ou identifiant d’événement) et si un horodatage signé a été vérifié.</w:t>
      </w:r>
    </w:p>
    <w:p>
      <w:pPr>
        <w:pStyle w:val="BodyText"/>
      </w:pPr>
      <w:r>
        <w:t xml:space="preserve">Les clés API sont des clés</w:t>
      </w:r>
      <w:r>
        <w:t xml:space="preserve"> </w:t>
      </w:r>
      <w:r>
        <w:rPr>
          <w:b/>
          <w:bCs/>
        </w:rPr>
        <w:t xml:space="preserve">secrètes</w:t>
      </w:r>
      <w:r>
        <w:t xml:space="preserve"> </w:t>
      </w:r>
      <w:r>
        <w:rPr>
          <w:rStyle w:val="VerbatimChar"/>
        </w:rPr>
        <w:t xml:space="preserve">sk_…</w:t>
      </w:r>
      <w:r>
        <w:t xml:space="preserve">, lues uniquement depuis les variables d’environnement du serveur ; une clé publiable</w:t>
      </w:r>
      <w:r>
        <w:t xml:space="preserve"> </w:t>
      </w:r>
      <w:r>
        <w:rPr>
          <w:rStyle w:val="VerbatimChar"/>
        </w:rPr>
        <w:t xml:space="preserve">pk_…</w:t>
      </w:r>
      <w:r>
        <w:t xml:space="preserve"> </w:t>
      </w:r>
      <w:r>
        <w:t xml:space="preserve">est refusée au démarrage. Aucune clé n’est journalisée : le client HTTP n’écrit que des valeurs masquées (</w:t>
      </w:r>
      <w:r>
        <w:rPr>
          <w:rStyle w:val="VerbatimChar"/>
        </w:rPr>
        <w:t xml:space="preserve">sk_live_…a1b2</w:t>
      </w:r>
      <w:r>
        <w:t xml:space="preserve">). Le</w:t>
      </w:r>
      <w:r>
        <w:t xml:space="preserve"> </w:t>
      </w:r>
      <w:r>
        <w:rPr>
          <w:rStyle w:val="VerbatimChar"/>
        </w:rPr>
        <w:t xml:space="preserve">client_secret</w:t>
      </w:r>
      <w:r>
        <w:t xml:space="preserve"> </w:t>
      </w:r>
      <w:r>
        <w:t xml:space="preserve">renvoyé par les prestataires n’est ni conservé ni transmis au navigateur. Hors bac à sable local, le secret de webhook est obligatoire ; les secrets de démonstration ne peuvent donc pas être utilisés en production. Chaque POST qui engage de l’argent porte un en-tête</w:t>
      </w:r>
      <w:r>
        <w:t xml:space="preserve"> </w:t>
      </w:r>
      <w:r>
        <w:rPr>
          <w:rStyle w:val="VerbatimChar"/>
        </w:rPr>
        <w:t xml:space="preserve">Idempotency-Key</w:t>
      </w:r>
      <w:r>
        <w:t xml:space="preserve"> </w:t>
      </w:r>
      <w:r>
        <w:t xml:space="preserve">égal à la référence de paiement MOSOLO ; les nouvelles tentatives automatiques ne concernent que les appels idempotents (lectures, et POST BitriPay dont l’idempotence est documentée).</w:t>
      </w:r>
    </w:p>
    <w:bookmarkEnd w:id="220"/>
    <w:bookmarkStart w:id="221" w:name="ce-qui-est-interdit"/>
    <w:p>
      <w:pPr>
        <w:pStyle w:val="Heading2"/>
      </w:pPr>
      <w:r>
        <w:t xml:space="preserve">18.12 Ce qui est interdit</w:t>
      </w:r>
    </w:p>
    <w:p>
      <w:pPr>
        <w:pStyle w:val="FirstParagraph"/>
      </w:pPr>
      <w:r>
        <w:rPr>
          <w:b/>
          <w:bCs/>
        </w:rPr>
        <w:t xml:space="preserve">Aucune quittance n’est émise sur présentation d’une capture d’écran ou d’un code SMS</w:t>
      </w:r>
      <w:r>
        <w:t xml:space="preserve"> </w:t>
      </w:r>
      <w:r>
        <w:t xml:space="preserve">(§ 18.5). Les deux prestataires proposent pourtant des points d’entrée qui acceptent de telles preuves (KODA :</w:t>
      </w:r>
      <w:r>
        <w:t xml:space="preserve"> </w:t>
      </w:r>
      <w:r>
        <w:rPr>
          <w:rStyle w:val="VerbatimChar"/>
        </w:rPr>
        <w:t xml:space="preserve">POST /intents/{id}/verify</w:t>
      </w:r>
      <w:r>
        <w:t xml:space="preserve">,</w:t>
      </w:r>
      <w:r>
        <w:t xml:space="preserve"> </w:t>
      </w:r>
      <w:r>
        <w:rPr>
          <w:rStyle w:val="VerbatimChar"/>
        </w:rPr>
        <w:t xml:space="preserve">POST /checkout/{id}/verify</w:t>
      </w:r>
      <w:r>
        <w:t xml:space="preserve"> </w:t>
      </w:r>
      <w:r>
        <w:t xml:space="preserve">; BitriPay :</w:t>
      </w:r>
      <w:r>
        <w:t xml:space="preserve"> </w:t>
      </w:r>
      <w:r>
        <w:rPr>
          <w:rStyle w:val="VerbatimChar"/>
        </w:rPr>
        <w:t xml:space="preserve">POST /verifications</w:t>
      </w:r>
      <w:r>
        <w:t xml:space="preserve">). MOSOLO</w:t>
      </w:r>
      <w:r>
        <w:t xml:space="preserve"> </w:t>
      </w:r>
      <w:r>
        <w:rPr>
          <w:b/>
          <w:bCs/>
        </w:rPr>
        <w:t xml:space="preserve">ne les expose pas au contribuable</w:t>
      </w:r>
      <w:r>
        <w:t xml:space="preserve"> </w:t>
      </w:r>
      <w:r>
        <w:t xml:space="preserve">et ne s’en sert jamais pour confirmer un paiement.</w:t>
      </w:r>
    </w:p>
    <w:p>
      <w:pPr>
        <w:pStyle w:val="BodyText"/>
      </w:pPr>
      <w:r>
        <w:t xml:space="preserve">Un relais serveur, réservé au comptable public (R17), à l’analyste de rapprochement (R18) et à l’agent de contentieux (R20), permet seulement de joindre le résultat de cette vérification à un</w:t>
      </w:r>
      <w:r>
        <w:t xml:space="preserve"> </w:t>
      </w:r>
      <w:r>
        <w:rPr>
          <w:b/>
          <w:bCs/>
        </w:rPr>
        <w:t xml:space="preserve">dossier de litige ou d’exception</w:t>
      </w:r>
      <w:r>
        <w:t xml:space="preserve">. Ce résultat est une pièce de dossier (</w:t>
      </w:r>
      <w:r>
        <w:rPr>
          <w:rStyle w:val="VerbatimChar"/>
        </w:rPr>
        <w:t xml:space="preserve">legalEffect: AUCUN</w:t>
      </w:r>
      <w:r>
        <w:t xml:space="preserve">) : il ne modifie jamais l’état du paiement et ne produit jamais de quittance. Aucune image n’est reçue par MOSOLO — seule son empreinte SHA-256 — et le code SMS présenté n’est conservé que sous forme hachée. Chaque demande est journalisée.</w:t>
      </w:r>
    </w:p>
    <w:p>
      <w:pPr>
        <w:pStyle w:val="BodyText"/>
      </w:pPr>
      <w:r>
        <w:t xml:space="preserve">Sont également interdits : tout</w:t>
      </w:r>
      <w:r>
        <w:t xml:space="preserve"> </w:t>
      </w:r>
      <w:r>
        <w:rPr>
          <w:b/>
          <w:bCs/>
        </w:rPr>
        <w:t xml:space="preserve">frais d’application</w:t>
      </w:r>
      <w:r>
        <w:t xml:space="preserve"> </w:t>
      </w:r>
      <w:r>
        <w:t xml:space="preserve">(</w:t>
      </w:r>
      <w:r>
        <w:rPr>
          <w:rStyle w:val="VerbatimChar"/>
        </w:rPr>
        <w:t xml:space="preserve">application_fee_minor</w:t>
      </w:r>
      <w:r>
        <w:t xml:space="preserve">) prélevé sur une intention de paiement d’une recette publique (§ 18.15) ; la confirmation d’un paiement à partir de l’URL de retour (</w:t>
      </w:r>
      <w:r>
        <w:rPr>
          <w:rStyle w:val="VerbatimChar"/>
        </w:rPr>
        <w:t xml:space="preserve">success_url</w:t>
      </w:r>
      <w:r>
        <w:t xml:space="preserve">) ou de la page de paiement du prestataire ; le règlement vers un compte absent du coffre ; la compensation de commissions sur le montant réglé sans convention approuvée (§ 20.1).</w:t>
      </w:r>
    </w:p>
    <w:bookmarkEnd w:id="221"/>
    <w:bookmarkStart w:id="230" w:name="diagrammes-de-séquence"/>
    <w:p>
      <w:pPr>
        <w:pStyle w:val="Heading2"/>
      </w:pPr>
      <w:r>
        <w:t xml:space="preserve">18.13 Diagrammes de séquence</w:t>
      </w:r>
    </w:p>
    <w:bookmarkStart w:id="225" w:name="koda"/>
    <w:p>
      <w:pPr>
        <w:pStyle w:val="Heading3"/>
      </w:pPr>
      <w:r>
        <w:t xml:space="preserve">KODA</w:t>
      </w:r>
    </w:p>
    <w:p>
      <w:pPr>
        <w:pStyle w:val="FirstParagraph"/>
      </w:pPr>
      <w:r>
        <w:drawing>
          <wp:inline>
            <wp:extent cx="6108700" cy="2150511"/>
            <wp:effectExtent b="0" l="0" r="0" t="0"/>
            <wp:docPr descr="" title="" id="223" name="Picture"/>
            <a:graphic>
              <a:graphicData uri="http://schemas.openxmlformats.org/drawingml/2006/picture">
                <pic:pic>
                  <pic:nvPicPr>
                    <pic:cNvPr descr="figures/mermaid/mmd-a5c2d4d1dfa8.png" id="224" name="Picture"/>
                    <pic:cNvPicPr>
                      <a:picLocks noChangeArrowheads="1" noChangeAspect="1"/>
                    </pic:cNvPicPr>
                  </pic:nvPicPr>
                  <pic:blipFill>
                    <a:blip r:embed="rId222"/>
                    <a:stretch>
                      <a:fillRect/>
                    </a:stretch>
                  </pic:blipFill>
                  <pic:spPr bwMode="auto">
                    <a:xfrm>
                      <a:off x="0" y="0"/>
                      <a:ext cx="6108700" cy="2150511"/>
                    </a:xfrm>
                    <a:prstGeom prst="rect">
                      <a:avLst/>
                    </a:prstGeom>
                    <a:noFill/>
                    <a:ln w="9525">
                      <a:noFill/>
                      <a:headEnd/>
                      <a:tailEnd/>
                    </a:ln>
                  </pic:spPr>
                </pic:pic>
              </a:graphicData>
            </a:graphic>
          </wp:inline>
        </w:drawing>
      </w:r>
    </w:p>
    <w:bookmarkEnd w:id="225"/>
    <w:bookmarkStart w:id="229" w:name="bitripay"/>
    <w:p>
      <w:pPr>
        <w:pStyle w:val="Heading3"/>
      </w:pPr>
      <w:r>
        <w:t xml:space="preserve">BitriPay</w:t>
      </w:r>
    </w:p>
    <w:p>
      <w:pPr>
        <w:pStyle w:val="FirstParagraph"/>
      </w:pPr>
      <w:r>
        <w:drawing>
          <wp:inline>
            <wp:extent cx="6108700" cy="2664764"/>
            <wp:effectExtent b="0" l="0" r="0" t="0"/>
            <wp:docPr descr="" title="" id="227" name="Picture"/>
            <a:graphic>
              <a:graphicData uri="http://schemas.openxmlformats.org/drawingml/2006/picture">
                <pic:pic>
                  <pic:nvPicPr>
                    <pic:cNvPr descr="figures/mermaid/mmd-b85762ecfe54.png" id="228" name="Picture"/>
                    <pic:cNvPicPr>
                      <a:picLocks noChangeArrowheads="1" noChangeAspect="1"/>
                    </pic:cNvPicPr>
                  </pic:nvPicPr>
                  <pic:blipFill>
                    <a:blip r:embed="rId226"/>
                    <a:stretch>
                      <a:fillRect/>
                    </a:stretch>
                  </pic:blipFill>
                  <pic:spPr bwMode="auto">
                    <a:xfrm>
                      <a:off x="0" y="0"/>
                      <a:ext cx="6108700" cy="2664764"/>
                    </a:xfrm>
                    <a:prstGeom prst="rect">
                      <a:avLst/>
                    </a:prstGeom>
                    <a:noFill/>
                    <a:ln w="9525">
                      <a:noFill/>
                      <a:headEnd/>
                      <a:tailEnd/>
                    </a:ln>
                  </pic:spPr>
                </pic:pic>
              </a:graphicData>
            </a:graphic>
          </wp:inline>
        </w:drawing>
      </w:r>
    </w:p>
    <w:bookmarkEnd w:id="229"/>
    <w:bookmarkEnd w:id="230"/>
    <w:bookmarkStart w:id="231" w:name="X59f9444d0cda11a32d24e151900d86852641013"/>
    <w:p>
      <w:pPr>
        <w:pStyle w:val="Heading2"/>
      </w:pPr>
      <w:r>
        <w:t xml:space="preserve">18.14 Points à vérifier avant mise en production</w:t>
      </w:r>
    </w:p>
    <w:p>
      <w:pPr>
        <w:pStyle w:val="FirstParagraph"/>
      </w:pPr>
      <w:r>
        <w:t xml:space="preserve">Les éléments ci-dessous ne sont pas documentés publiquement ou l’ont été de façon incomplète. Le socle adopte une hypothèse prudente, isolée dans le connecteur et paramétrable ; chacune doit être confirmée sur la spécification OpenAPI du prestataire lors de la recette.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w:t>
            </w:r>
          </w:p>
        </w:tc>
        <w:tc>
          <w:tcPr>
            <w:shd w:val="clear" w:color="auto" w:fill="232C6B"/>
          </w:tcPr>
          <w:p>
            <w:pPr>
              <w:pStyle w:val="Compact"/>
            </w:pPr>
            <w:r>
              <w:rPr>
                <w:b/>
                <w:color w:val="FFFFFF"/>
                <w:sz w:val="17"/>
              </w:rPr>
              <w:t xml:space="preserve">Prestataire</w:t>
            </w:r>
          </w:p>
        </w:tc>
        <w:tc>
          <w:tcPr>
            <w:shd w:val="clear" w:color="auto" w:fill="232C6B"/>
          </w:tcPr>
          <w:p>
            <w:pPr>
              <w:pStyle w:val="Compact"/>
            </w:pPr>
            <w:r>
              <w:rPr>
                <w:b/>
                <w:color w:val="FFFFFF"/>
                <w:sz w:val="17"/>
              </w:rPr>
              <w:t xml:space="preserve">Point</w:t>
            </w:r>
          </w:p>
        </w:tc>
        <w:tc>
          <w:tcPr>
            <w:shd w:val="clear" w:color="auto" w:fill="232C6B"/>
          </w:tcPr>
          <w:p>
            <w:pPr>
              <w:pStyle w:val="Compact"/>
            </w:pPr>
            <w:r>
              <w:rPr>
                <w:b/>
                <w:color w:val="FFFFFF"/>
                <w:sz w:val="17"/>
              </w:rPr>
              <w:t xml:space="preserve">Hypothèse retenue dans le socle</w:t>
            </w:r>
          </w:p>
        </w:tc>
      </w:tr>
      <w:tr>
        <w:tc>
          <w:tcPr/>
          <w:p>
            <w:pPr>
              <w:pStyle w:val="Compact"/>
            </w:pPr>
            <w:r>
              <w:rPr>
                <w:sz w:val="17"/>
              </w:rPr>
              <w:t xml:space="preserve">1</w:t>
            </w:r>
          </w:p>
        </w:tc>
        <w:tc>
          <w:tcPr/>
          <w:p>
            <w:pPr>
              <w:pStyle w:val="Compact"/>
            </w:pPr>
            <w:r>
              <w:rPr>
                <w:sz w:val="17"/>
              </w:rPr>
              <w:t xml:space="preserve">KODA</w:t>
            </w:r>
          </w:p>
        </w:tc>
        <w:tc>
          <w:tcPr/>
          <w:p>
            <w:pPr>
              <w:pStyle w:val="Compact"/>
            </w:pPr>
            <w:r>
              <w:rPr>
                <w:sz w:val="17"/>
              </w:rPr>
              <w:t xml:space="preserve">Forme exacte du corps des webhooks</w:t>
            </w:r>
          </w:p>
        </w:tc>
        <w:tc>
          <w:tcPr/>
          <w:p>
            <w:pPr>
              <w:pStyle w:val="Compact"/>
            </w:pPr>
            <w:r>
              <w:rPr>
                <w:sz w:val="17"/>
              </w:rPr>
              <w:t xml:space="preserve">Parseur tolérant : intention</w:t>
            </w:r>
            <w:r>
              <w:rPr>
                <w:sz w:val="17"/>
              </w:rPr>
              <w:t xml:space="preserve"> </w:t>
            </w:r>
            <w:r>
              <w:rPr>
                <w:rStyle w:val="VerbatimChar"/>
                <w:sz w:val="17"/>
              </w:rPr>
              <w:t xml:space="preserve">intent_id</w:t>
            </w:r>
            <w:r>
              <w:rPr>
                <w:sz w:val="17"/>
              </w:rPr>
              <w:t xml:space="preserve"> </w:t>
            </w:r>
            <w:r>
              <w:rPr>
                <w:sz w:val="17"/>
              </w:rPr>
              <w:t xml:space="preserve">|</w:t>
            </w:r>
            <w:r>
              <w:rPr>
                <w:sz w:val="17"/>
              </w:rPr>
              <w:t xml:space="preserve"> </w:t>
            </w:r>
            <w:r>
              <w:rPr>
                <w:rStyle w:val="VerbatimChar"/>
                <w:sz w:val="17"/>
              </w:rPr>
              <w:t xml:space="preserve">intent.id</w:t>
            </w:r>
            <w:r>
              <w:rPr>
                <w:sz w:val="17"/>
              </w:rPr>
              <w:t xml:space="preserve"> </w:t>
            </w:r>
            <w:r>
              <w:rPr>
                <w:sz w:val="17"/>
              </w:rPr>
              <w:t xml:space="preserve">|</w:t>
            </w:r>
            <w:r>
              <w:rPr>
                <w:sz w:val="17"/>
              </w:rPr>
              <w:t xml:space="preserve"> </w:t>
            </w:r>
            <w:r>
              <w:rPr>
                <w:rStyle w:val="VerbatimChar"/>
                <w:sz w:val="17"/>
              </w:rPr>
              <w:t xml:space="preserve">data.intent_id</w:t>
            </w:r>
            <w:r>
              <w:rPr>
                <w:sz w:val="17"/>
              </w:rPr>
              <w:t xml:space="preserve"> </w:t>
            </w:r>
            <w:r>
              <w:rPr>
                <w:sz w:val="17"/>
              </w:rPr>
              <w:t xml:space="preserve">; montant</w:t>
            </w:r>
            <w:r>
              <w:rPr>
                <w:sz w:val="17"/>
              </w:rPr>
              <w:t xml:space="preserve"> </w:t>
            </w:r>
            <w:r>
              <w:rPr>
                <w:rStyle w:val="VerbatimChar"/>
                <w:sz w:val="17"/>
              </w:rPr>
              <w:t xml:space="preserve">amount</w:t>
            </w:r>
            <w:r>
              <w:rPr>
                <w:sz w:val="17"/>
              </w:rPr>
              <w:t xml:space="preserve"> </w:t>
            </w:r>
            <w:r>
              <w:rPr>
                <w:sz w:val="17"/>
              </w:rPr>
              <w:t xml:space="preserve">|</w:t>
            </w:r>
            <w:r>
              <w:rPr>
                <w:sz w:val="17"/>
              </w:rPr>
              <w:t xml:space="preserve"> </w:t>
            </w:r>
            <w:r>
              <w:rPr>
                <w:rStyle w:val="VerbatimChar"/>
                <w:sz w:val="17"/>
              </w:rPr>
              <w:t xml:space="preserve">data.amount</w:t>
            </w:r>
            <w:r>
              <w:rPr>
                <w:sz w:val="17"/>
              </w:rPr>
              <w:t xml:space="preserve"> </w:t>
            </w:r>
            <w:r>
              <w:rPr>
                <w:sz w:val="17"/>
              </w:rPr>
              <w:t xml:space="preserve">(unités mineures) ;</w:t>
            </w:r>
            <w:r>
              <w:rPr>
                <w:sz w:val="17"/>
              </w:rPr>
              <w:t xml:space="preserve"> </w:t>
            </w:r>
            <w:r>
              <w:rPr>
                <w:rStyle w:val="VerbatimChar"/>
                <w:sz w:val="17"/>
              </w:rPr>
              <w:t xml:space="preserve">currency</w:t>
            </w:r>
            <w:r>
              <w:rPr>
                <w:sz w:val="17"/>
              </w:rPr>
              <w:t xml:space="preserve"> </w:t>
            </w:r>
            <w:r>
              <w:rPr>
                <w:sz w:val="17"/>
              </w:rPr>
              <w:t xml:space="preserve">;</w:t>
            </w:r>
            <w:r>
              <w:rPr>
                <w:sz w:val="17"/>
              </w:rPr>
              <w:t xml:space="preserve"> </w:t>
            </w:r>
            <w:r>
              <w:rPr>
                <w:rStyle w:val="VerbatimChar"/>
                <w:sz w:val="17"/>
              </w:rPr>
              <w:t xml:space="preserve">receipt_id</w:t>
            </w:r>
            <w:r>
              <w:rPr>
                <w:sz w:val="17"/>
              </w:rPr>
              <w:t xml:space="preserve"> </w:t>
            </w:r>
            <w:r>
              <w:rPr>
                <w:sz w:val="17"/>
              </w:rPr>
              <w:t xml:space="preserve">;</w:t>
            </w:r>
            <w:r>
              <w:rPr>
                <w:sz w:val="17"/>
              </w:rPr>
              <w:t xml:space="preserve"> </w:t>
            </w:r>
            <w:r>
              <w:rPr>
                <w:rStyle w:val="VerbatimChar"/>
                <w:sz w:val="17"/>
              </w:rPr>
              <w:t xml:space="preserve">metadata.order_id</w:t>
            </w:r>
            <w:r>
              <w:rPr>
                <w:sz w:val="17"/>
              </w:rPr>
              <w:t xml:space="preserve"> </w:t>
            </w:r>
            <w:r>
              <w:rPr>
                <w:sz w:val="17"/>
              </w:rPr>
              <w:t xml:space="preserve">ou</w:t>
            </w:r>
            <w:r>
              <w:rPr>
                <w:sz w:val="17"/>
              </w:rPr>
              <w:t xml:space="preserve"> </w:t>
            </w:r>
            <w:r>
              <w:rPr>
                <w:rStyle w:val="VerbatimChar"/>
                <w:sz w:val="17"/>
              </w:rPr>
              <w:t xml:space="preserve">metadata.payment_reference</w:t>
            </w:r>
            <w:r>
              <w:rPr>
                <w:sz w:val="17"/>
              </w:rPr>
              <w:t xml:space="preserve"> </w:t>
            </w:r>
            <w:r>
              <w:rPr>
                <w:sz w:val="17"/>
              </w:rPr>
              <w:t xml:space="preserve">; identifiant d’événement</w:t>
            </w:r>
            <w:r>
              <w:rPr>
                <w:sz w:val="17"/>
              </w:rPr>
              <w:t xml:space="preserve"> </w:t>
            </w:r>
            <w:r>
              <w:rPr>
                <w:rStyle w:val="VerbatimChar"/>
                <w:sz w:val="17"/>
              </w:rPr>
              <w:t xml:space="preserve">id</w:t>
            </w:r>
            <w:r>
              <w:rPr>
                <w:sz w:val="17"/>
              </w:rPr>
              <w:t xml:space="preserve"> </w:t>
            </w:r>
            <w:r>
              <w:rPr>
                <w:sz w:val="17"/>
              </w:rPr>
              <w:t xml:space="preserve">|</w:t>
            </w:r>
            <w:r>
              <w:rPr>
                <w:sz w:val="17"/>
              </w:rPr>
              <w:t xml:space="preserve"> </w:t>
            </w:r>
            <w:r>
              <w:rPr>
                <w:rStyle w:val="VerbatimChar"/>
                <w:sz w:val="17"/>
              </w:rPr>
              <w:t xml:space="preserve">event_id</w:t>
            </w:r>
            <w:r>
              <w:rPr>
                <w:sz w:val="17"/>
              </w:rPr>
              <w:t xml:space="preserve"> </w:t>
            </w:r>
            <w:r>
              <w:rPr>
                <w:sz w:val="17"/>
              </w:rPr>
              <w:t xml:space="preserve">(à défaut, empreinte du corps) [À VÉRIFIER sur /v1/openapi.json]</w:t>
            </w:r>
          </w:p>
        </w:tc>
      </w:tr>
      <w:tr>
        <w:tc>
          <w:tcPr>
            <w:shd w:val="clear" w:color="auto" w:fill="F5F7FB"/>
          </w:tcPr>
          <w:p>
            <w:pPr>
              <w:pStyle w:val="Compact"/>
            </w:pPr>
            <w:r>
              <w:rPr>
                <w:sz w:val="17"/>
              </w:rPr>
              <w:t xml:space="preserve">2</w:t>
            </w:r>
          </w:p>
        </w:tc>
        <w:tc>
          <w:tcPr>
            <w:shd w:val="clear" w:color="auto" w:fill="F5F7FB"/>
          </w:tcPr>
          <w:p>
            <w:pPr>
              <w:pStyle w:val="Compact"/>
            </w:pPr>
            <w:r>
              <w:rPr>
                <w:sz w:val="17"/>
              </w:rPr>
              <w:t xml:space="preserve">KODA</w:t>
            </w:r>
          </w:p>
        </w:tc>
        <w:tc>
          <w:tcPr>
            <w:shd w:val="clear" w:color="auto" w:fill="F5F7FB"/>
          </w:tcPr>
          <w:p>
            <w:pPr>
              <w:pStyle w:val="Compact"/>
            </w:pPr>
            <w:r>
              <w:rPr>
                <w:sz w:val="17"/>
              </w:rPr>
              <w:t xml:space="preserve">Horodatage signé des webhooks</w:t>
            </w:r>
          </w:p>
        </w:tc>
        <w:tc>
          <w:tcPr>
            <w:shd w:val="clear" w:color="auto" w:fill="F5F7FB"/>
          </w:tcPr>
          <w:p>
            <w:pPr>
              <w:pStyle w:val="Compact"/>
            </w:pPr>
            <w:r>
              <w:rPr>
                <w:sz w:val="17"/>
              </w:rPr>
              <w:t xml:space="preserve">Aucun : anti-rejeu par identifiant d’événement et unicité du reçu [À VÉRIFIER sur /v1/openapi.json]</w:t>
            </w:r>
          </w:p>
        </w:tc>
      </w:tr>
      <w:tr>
        <w:tc>
          <w:tcPr/>
          <w:p>
            <w:pPr>
              <w:pStyle w:val="Compact"/>
            </w:pPr>
            <w:r>
              <w:rPr>
                <w:sz w:val="17"/>
              </w:rPr>
              <w:t xml:space="preserve">3</w:t>
            </w:r>
          </w:p>
        </w:tc>
        <w:tc>
          <w:tcPr/>
          <w:p>
            <w:pPr>
              <w:pStyle w:val="Compact"/>
            </w:pPr>
            <w:r>
              <w:rPr>
                <w:sz w:val="17"/>
              </w:rPr>
              <w:t xml:space="preserve">KODA</w:t>
            </w:r>
          </w:p>
        </w:tc>
        <w:tc>
          <w:tcPr/>
          <w:p>
            <w:pPr>
              <w:pStyle w:val="Compact"/>
            </w:pPr>
            <w:r>
              <w:rPr>
                <w:sz w:val="17"/>
              </w:rPr>
              <w:t xml:space="preserve">Préfixe</w:t>
            </w:r>
            <w:r>
              <w:rPr>
                <w:sz w:val="17"/>
              </w:rPr>
              <w:t xml:space="preserve"> </w:t>
            </w:r>
            <w:r>
              <w:rPr>
                <w:rStyle w:val="VerbatimChar"/>
                <w:sz w:val="17"/>
              </w:rPr>
              <w:t xml:space="preserve">sha256=</w:t>
            </w:r>
            <w:r>
              <w:rPr>
                <w:sz w:val="17"/>
              </w:rPr>
              <w:t xml:space="preserve"> </w:t>
            </w:r>
            <w:r>
              <w:rPr>
                <w:sz w:val="17"/>
              </w:rPr>
              <w:t xml:space="preserve">éventuel de la signature</w:t>
            </w:r>
          </w:p>
        </w:tc>
        <w:tc>
          <w:tcPr/>
          <w:p>
            <w:pPr>
              <w:pStyle w:val="Compact"/>
            </w:pPr>
            <w:r>
              <w:rPr>
                <w:sz w:val="17"/>
              </w:rPr>
              <w:t xml:space="preserve">Toléré [À VÉRIFIER sur /v1/openapi.json]</w:t>
            </w:r>
          </w:p>
        </w:tc>
      </w:tr>
      <w:tr>
        <w:tc>
          <w:tcPr>
            <w:shd w:val="clear" w:color="auto" w:fill="F5F7FB"/>
          </w:tcPr>
          <w:p>
            <w:pPr>
              <w:pStyle w:val="Compact"/>
            </w:pPr>
            <w:r>
              <w:rPr>
                <w:sz w:val="17"/>
              </w:rPr>
              <w:t xml:space="preserve">4</w:t>
            </w:r>
          </w:p>
        </w:tc>
        <w:tc>
          <w:tcPr>
            <w:shd w:val="clear" w:color="auto" w:fill="F5F7FB"/>
          </w:tcPr>
          <w:p>
            <w:pPr>
              <w:pStyle w:val="Compact"/>
            </w:pPr>
            <w:r>
              <w:rPr>
                <w:sz w:val="17"/>
              </w:rPr>
              <w:t xml:space="preserve">KODA</w:t>
            </w:r>
          </w:p>
        </w:tc>
        <w:tc>
          <w:tcPr>
            <w:shd w:val="clear" w:color="auto" w:fill="F5F7FB"/>
          </w:tcPr>
          <w:p>
            <w:pPr>
              <w:pStyle w:val="Compact"/>
            </w:pPr>
            <w:r>
              <w:rPr>
                <w:sz w:val="17"/>
              </w:rPr>
              <w:t xml:space="preserve">Prise en charge de l’en-tête Idempotency-Key</w:t>
            </w:r>
          </w:p>
        </w:tc>
        <w:tc>
          <w:tcPr>
            <w:shd w:val="clear" w:color="auto" w:fill="F5F7FB"/>
          </w:tcPr>
          <w:p>
            <w:pPr>
              <w:pStyle w:val="Compact"/>
            </w:pPr>
            <w:r>
              <w:rPr>
                <w:sz w:val="17"/>
              </w:rPr>
              <w:t xml:space="preserve">Envoyé, mais aucune nouvelle tentative automatique de POST [À VÉRIFIER sur /v1/openapi.json]</w:t>
            </w:r>
          </w:p>
        </w:tc>
      </w:tr>
      <w:tr>
        <w:tc>
          <w:tcPr/>
          <w:p>
            <w:pPr>
              <w:pStyle w:val="Compact"/>
            </w:pPr>
            <w:r>
              <w:rPr>
                <w:sz w:val="17"/>
              </w:rPr>
              <w:t xml:space="preserve">5</w:t>
            </w:r>
          </w:p>
        </w:tc>
        <w:tc>
          <w:tcPr/>
          <w:p>
            <w:pPr>
              <w:pStyle w:val="Compact"/>
            </w:pPr>
            <w:r>
              <w:rPr>
                <w:sz w:val="17"/>
              </w:rPr>
              <w:t xml:space="preserve">KODA</w:t>
            </w:r>
          </w:p>
        </w:tc>
        <w:tc>
          <w:tcPr/>
          <w:p>
            <w:pPr>
              <w:pStyle w:val="Compact"/>
            </w:pPr>
            <w:r>
              <w:rPr>
                <w:sz w:val="17"/>
              </w:rPr>
              <w:t xml:space="preserve">Champ de description d’une intention</w:t>
            </w:r>
          </w:p>
        </w:tc>
        <w:tc>
          <w:tcPr/>
          <w:p>
            <w:pPr>
              <w:pStyle w:val="Compact"/>
            </w:pPr>
            <w:r>
              <w:rPr>
                <w:sz w:val="17"/>
              </w:rPr>
              <w:t xml:space="preserve">Porté dans</w:t>
            </w:r>
            <w:r>
              <w:rPr>
                <w:sz w:val="17"/>
              </w:rPr>
              <w:t xml:space="preserve"> </w:t>
            </w:r>
            <w:r>
              <w:rPr>
                <w:rStyle w:val="VerbatimChar"/>
                <w:sz w:val="17"/>
              </w:rPr>
              <w:t xml:space="preserve">metadata.description</w:t>
            </w:r>
            <w:r>
              <w:rPr>
                <w:sz w:val="17"/>
              </w:rPr>
              <w:t xml:space="preserve"> </w:t>
            </w:r>
            <w:r>
              <w:rPr>
                <w:sz w:val="17"/>
              </w:rPr>
              <w:t xml:space="preserve">[À VÉRIFIER sur /v1/openapi.json]</w:t>
            </w:r>
          </w:p>
        </w:tc>
      </w:tr>
      <w:tr>
        <w:tc>
          <w:tcPr>
            <w:shd w:val="clear" w:color="auto" w:fill="F5F7FB"/>
          </w:tcPr>
          <w:p>
            <w:pPr>
              <w:pStyle w:val="Compact"/>
            </w:pPr>
            <w:r>
              <w:rPr>
                <w:sz w:val="17"/>
              </w:rPr>
              <w:t xml:space="preserve">6</w:t>
            </w:r>
          </w:p>
        </w:tc>
        <w:tc>
          <w:tcPr>
            <w:shd w:val="clear" w:color="auto" w:fill="F5F7FB"/>
          </w:tcPr>
          <w:p>
            <w:pPr>
              <w:pStyle w:val="Compact"/>
            </w:pPr>
            <w:r>
              <w:rPr>
                <w:sz w:val="17"/>
              </w:rPr>
              <w:t xml:space="preserve">KODA</w:t>
            </w:r>
          </w:p>
        </w:tc>
        <w:tc>
          <w:tcPr>
            <w:shd w:val="clear" w:color="auto" w:fill="F5F7FB"/>
          </w:tcPr>
          <w:p>
            <w:pPr>
              <w:pStyle w:val="Compact"/>
            </w:pPr>
            <w:r>
              <w:rPr>
                <w:sz w:val="17"/>
              </w:rPr>
              <w:t xml:space="preserve">Préfixe des clés de test (</w:t>
            </w:r>
            <w:r>
              <w:rPr>
                <w:rStyle w:val="VerbatimChar"/>
                <w:sz w:val="17"/>
              </w:rPr>
              <w:t xml:space="preserve">sk_test_</w:t>
            </w:r>
            <w:r>
              <w:rPr>
                <w:sz w:val="17"/>
              </w:rPr>
              <w:t xml:space="preserve">) et références magiques du bac à sable (</w:t>
            </w:r>
            <w:r>
              <w:rPr>
                <w:rStyle w:val="VerbatimChar"/>
                <w:sz w:val="17"/>
              </w:rPr>
              <w:t xml:space="preserve">TEST-OK-25000</w:t>
            </w:r>
            <w:r>
              <w:rPr>
                <w:sz w:val="17"/>
              </w:rPr>
              <w:t xml:space="preserve">,</w:t>
            </w:r>
            <w:r>
              <w:rPr>
                <w:sz w:val="17"/>
              </w:rPr>
              <w:t xml:space="preserve"> </w:t>
            </w:r>
            <w:r>
              <w:rPr>
                <w:rStyle w:val="VerbatimChar"/>
                <w:sz w:val="17"/>
              </w:rPr>
              <w:t xml:space="preserve">TEST-REPLAY</w:t>
            </w:r>
            <w:r>
              <w:rPr>
                <w:sz w:val="17"/>
              </w:rPr>
              <w:t xml:space="preserve">…)</w:t>
            </w:r>
          </w:p>
        </w:tc>
        <w:tc>
          <w:tcPr>
            <w:shd w:val="clear" w:color="auto" w:fill="F5F7FB"/>
          </w:tcPr>
          <w:p>
            <w:pPr>
              <w:pStyle w:val="Compact"/>
            </w:pPr>
            <w:r>
              <w:rPr>
                <w:sz w:val="17"/>
              </w:rPr>
              <w:t xml:space="preserve">Clé</w:t>
            </w:r>
            <w:r>
              <w:rPr>
                <w:sz w:val="17"/>
              </w:rPr>
              <w:t xml:space="preserve"> </w:t>
            </w:r>
            <w:r>
              <w:rPr>
                <w:rStyle w:val="VerbatimChar"/>
                <w:sz w:val="17"/>
              </w:rPr>
              <w:t xml:space="preserve">sk_live_</w:t>
            </w:r>
            <w:r>
              <w:rPr>
                <w:sz w:val="17"/>
              </w:rPr>
              <w:t xml:space="preserve"> </w:t>
            </w:r>
            <w:r>
              <w:rPr>
                <w:sz w:val="17"/>
              </w:rPr>
              <w:t xml:space="preserve">= réel, autre</w:t>
            </w:r>
            <w:r>
              <w:rPr>
                <w:sz w:val="17"/>
              </w:rPr>
              <w:t xml:space="preserve"> </w:t>
            </w:r>
            <w:r>
              <w:rPr>
                <w:rStyle w:val="VerbatimChar"/>
                <w:sz w:val="17"/>
              </w:rPr>
              <w:t xml:space="preserve">sk_</w:t>
            </w:r>
            <w:r>
              <w:rPr>
                <w:sz w:val="17"/>
              </w:rPr>
              <w:t xml:space="preserve"> </w:t>
            </w:r>
            <w:r>
              <w:rPr>
                <w:sz w:val="17"/>
              </w:rPr>
              <w:t xml:space="preserve">= test [À VÉRIFIER sur /v1/openapi.json]</w:t>
            </w:r>
          </w:p>
        </w:tc>
      </w:tr>
      <w:tr>
        <w:tc>
          <w:tcPr/>
          <w:p>
            <w:pPr>
              <w:pStyle w:val="Compact"/>
            </w:pPr>
            <w:r>
              <w:rPr>
                <w:sz w:val="17"/>
              </w:rPr>
              <w:t xml:space="preserve">7</w:t>
            </w:r>
          </w:p>
        </w:tc>
        <w:tc>
          <w:tcPr/>
          <w:p>
            <w:pPr>
              <w:pStyle w:val="Compact"/>
            </w:pPr>
            <w:r>
              <w:rPr>
                <w:sz w:val="17"/>
              </w:rPr>
              <w:t xml:space="preserve">KODA</w:t>
            </w:r>
          </w:p>
        </w:tc>
        <w:tc>
          <w:tcPr/>
          <w:p>
            <w:pPr>
              <w:pStyle w:val="Compact"/>
            </w:pPr>
            <w:r>
              <w:rPr>
                <w:sz w:val="17"/>
              </w:rPr>
              <w:t xml:space="preserve">Événement d’échec de paiement</w:t>
            </w:r>
          </w:p>
        </w:tc>
        <w:tc>
          <w:tcPr/>
          <w:p>
            <w:pPr>
              <w:pStyle w:val="Compact"/>
            </w:pPr>
            <w:r>
              <w:rPr>
                <w:sz w:val="17"/>
              </w:rPr>
              <w:t xml:space="preserve">Aucun traité ; seuls</w:t>
            </w:r>
            <w:r>
              <w:rPr>
                <w:sz w:val="17"/>
              </w:rPr>
              <w:t xml:space="preserve"> </w:t>
            </w:r>
            <w:r>
              <w:rPr>
                <w:rStyle w:val="VerbatimChar"/>
                <w:sz w:val="17"/>
              </w:rPr>
              <w:t xml:space="preserve">payment.verified</w:t>
            </w:r>
            <w:r>
              <w:rPr>
                <w:sz w:val="17"/>
              </w:rPr>
              <w:t xml:space="preserve"> </w:t>
            </w:r>
            <w:r>
              <w:rPr>
                <w:sz w:val="17"/>
              </w:rPr>
              <w:t xml:space="preserve">et</w:t>
            </w:r>
            <w:r>
              <w:rPr>
                <w:sz w:val="17"/>
              </w:rPr>
              <w:t xml:space="preserve"> </w:t>
            </w:r>
            <w:r>
              <w:rPr>
                <w:rStyle w:val="VerbatimChar"/>
                <w:sz w:val="17"/>
              </w:rPr>
              <w:t xml:space="preserve">payment.verified.late</w:t>
            </w:r>
            <w:r>
              <w:rPr>
                <w:sz w:val="17"/>
              </w:rPr>
              <w:t xml:space="preserve"> </w:t>
            </w:r>
            <w:r>
              <w:rPr>
                <w:sz w:val="17"/>
              </w:rPr>
              <w:t xml:space="preserve">[À VÉRIFIER sur /v1/openapi.json]</w:t>
            </w:r>
          </w:p>
        </w:tc>
      </w:tr>
      <w:tr>
        <w:tc>
          <w:tcPr>
            <w:shd w:val="clear" w:color="auto" w:fill="F5F7FB"/>
          </w:tcPr>
          <w:p>
            <w:pPr>
              <w:pStyle w:val="Compact"/>
            </w:pPr>
            <w:r>
              <w:rPr>
                <w:sz w:val="17"/>
              </w:rPr>
              <w:t xml:space="preserve">8</w:t>
            </w:r>
          </w:p>
        </w:tc>
        <w:tc>
          <w:tcPr>
            <w:shd w:val="clear" w:color="auto" w:fill="F5F7FB"/>
          </w:tcPr>
          <w:p>
            <w:pPr>
              <w:pStyle w:val="Compact"/>
            </w:pPr>
            <w:r>
              <w:rPr>
                <w:sz w:val="17"/>
              </w:rPr>
              <w:t xml:space="preserve">KODA</w:t>
            </w:r>
          </w:p>
        </w:tc>
        <w:tc>
          <w:tcPr>
            <w:shd w:val="clear" w:color="auto" w:fill="F5F7FB"/>
          </w:tcPr>
          <w:p>
            <w:pPr>
              <w:pStyle w:val="Compact"/>
            </w:pPr>
            <w:r>
              <w:rPr>
                <w:sz w:val="17"/>
              </w:rPr>
              <w:t xml:space="preserve">Corps de</w:t>
            </w:r>
            <w:r>
              <w:rPr>
                <w:sz w:val="17"/>
              </w:rPr>
              <w:t xml:space="preserve"> </w:t>
            </w:r>
            <w:r>
              <w:rPr>
                <w:rStyle w:val="VerbatimChar"/>
                <w:sz w:val="17"/>
              </w:rPr>
              <w:t xml:space="preserve">POST /intents/{id}/verify</w:t>
            </w:r>
          </w:p>
        </w:tc>
        <w:tc>
          <w:tcPr>
            <w:shd w:val="clear" w:color="auto" w:fill="F5F7FB"/>
          </w:tcPr>
          <w:p>
            <w:pPr>
              <w:pStyle w:val="Compact"/>
            </w:pPr>
            <w:r>
              <w:rPr>
                <w:rStyle w:val="VerbatimChar"/>
                <w:sz w:val="17"/>
              </w:rPr>
              <w:t xml:space="preserve">{sms_code?, screenshot_sha256?}</w:t>
            </w:r>
            <w:r>
              <w:rPr>
                <w:sz w:val="17"/>
              </w:rPr>
              <w:t xml:space="preserve"> </w:t>
            </w:r>
            <w:r>
              <w:rPr>
                <w:sz w:val="17"/>
              </w:rPr>
              <w:t xml:space="preserve">(pièce de dossier uniquement) [À VÉRIFIER sur /v1/openapi.json]</w:t>
            </w:r>
          </w:p>
        </w:tc>
      </w:tr>
      <w:tr>
        <w:tc>
          <w:tcPr/>
          <w:p>
            <w:pPr>
              <w:pStyle w:val="Compact"/>
            </w:pPr>
            <w:r>
              <w:rPr>
                <w:sz w:val="17"/>
              </w:rPr>
              <w:t xml:space="preserve">9</w:t>
            </w:r>
          </w:p>
        </w:tc>
        <w:tc>
          <w:tcPr/>
          <w:p>
            <w:pPr>
              <w:pStyle w:val="Compact"/>
            </w:pPr>
            <w:r>
              <w:rPr>
                <w:sz w:val="17"/>
              </w:rPr>
              <w:t xml:space="preserve">BitriPay</w:t>
            </w:r>
          </w:p>
        </w:tc>
        <w:tc>
          <w:tcPr/>
          <w:p>
            <w:pPr>
              <w:pStyle w:val="Compact"/>
            </w:pPr>
            <w:r>
              <w:rPr>
                <w:sz w:val="17"/>
              </w:rPr>
              <w:t xml:space="preserve">Format de l’en-tête</w:t>
            </w:r>
            <w:r>
              <w:rPr>
                <w:sz w:val="17"/>
              </w:rPr>
              <w:t xml:space="preserve"> </w:t>
            </w:r>
            <w:r>
              <w:rPr>
                <w:rStyle w:val="VerbatimChar"/>
                <w:sz w:val="17"/>
              </w:rPr>
              <w:t xml:space="preserve">BitriPay-Signature</w:t>
            </w:r>
          </w:p>
        </w:tc>
        <w:tc>
          <w:tcPr/>
          <w:p>
            <w:pPr>
              <w:pStyle w:val="Compact"/>
            </w:pPr>
            <w:r>
              <w:rPr>
                <w:rStyle w:val="VerbatimChar"/>
                <w:sz w:val="17"/>
              </w:rPr>
              <w:t xml:space="preserve">t=&lt;unix&gt;,v1=&lt;hex HMAC-SHA256 de "&lt;t&gt;.&lt;corps&gt;"&gt;</w:t>
            </w:r>
            <w:r>
              <w:rPr>
                <w:sz w:val="17"/>
              </w:rPr>
              <w:t xml:space="preserve">, tolérance ±5 min [À VÉRIFIER sur l’OpenAPI BitriPay]</w:t>
            </w:r>
          </w:p>
        </w:tc>
      </w:tr>
      <w:tr>
        <w:tc>
          <w:tcPr>
            <w:shd w:val="clear" w:color="auto" w:fill="F5F7FB"/>
          </w:tcPr>
          <w:p>
            <w:pPr>
              <w:pStyle w:val="Compact"/>
            </w:pPr>
            <w:r>
              <w:rPr>
                <w:sz w:val="17"/>
              </w:rPr>
              <w:t xml:space="preserve">10</w:t>
            </w:r>
          </w:p>
        </w:tc>
        <w:tc>
          <w:tcPr>
            <w:shd w:val="clear" w:color="auto" w:fill="F5F7FB"/>
          </w:tcPr>
          <w:p>
            <w:pPr>
              <w:pStyle w:val="Compact"/>
            </w:pPr>
            <w:r>
              <w:rPr>
                <w:sz w:val="17"/>
              </w:rPr>
              <w:t xml:space="preserve">BitriPay</w:t>
            </w:r>
          </w:p>
        </w:tc>
        <w:tc>
          <w:tcPr>
            <w:shd w:val="clear" w:color="auto" w:fill="F5F7FB"/>
          </w:tcPr>
          <w:p>
            <w:pPr>
              <w:pStyle w:val="Compact"/>
            </w:pPr>
            <w:r>
              <w:rPr>
                <w:sz w:val="17"/>
              </w:rPr>
              <w:t xml:space="preserve">Signature Ed25519</w:t>
            </w:r>
          </w:p>
        </w:tc>
        <w:tc>
          <w:tcPr>
            <w:shd w:val="clear" w:color="auto" w:fill="F5F7FB"/>
          </w:tcPr>
          <w:p>
            <w:pPr>
              <w:pStyle w:val="Compact"/>
            </w:pPr>
            <w:r>
              <w:rPr>
                <w:sz w:val="17"/>
              </w:rPr>
              <w:t xml:space="preserve">En-tête</w:t>
            </w:r>
            <w:r>
              <w:rPr>
                <w:sz w:val="17"/>
              </w:rPr>
              <w:t xml:space="preserve"> </w:t>
            </w:r>
            <w:r>
              <w:rPr>
                <w:rStyle w:val="VerbatimChar"/>
                <w:sz w:val="17"/>
              </w:rPr>
              <w:t xml:space="preserve">BitriPay-Signature-Ed25519</w:t>
            </w:r>
            <w:r>
              <w:rPr>
                <w:sz w:val="17"/>
              </w:rPr>
              <w:t xml:space="preserve">, base64 sur le corps brut ; clé publique épinglée depuis</w:t>
            </w:r>
            <w:r>
              <w:rPr>
                <w:sz w:val="17"/>
              </w:rPr>
              <w:t xml:space="preserve"> </w:t>
            </w:r>
            <w:r>
              <w:rPr>
                <w:rStyle w:val="VerbatimChar"/>
                <w:sz w:val="17"/>
              </w:rPr>
              <w:t xml:space="preserve">GET /v1/keys</w:t>
            </w:r>
            <w:r>
              <w:rPr>
                <w:sz w:val="17"/>
              </w:rPr>
              <w:t xml:space="preserve"> </w:t>
            </w:r>
            <w:r>
              <w:rPr>
                <w:sz w:val="17"/>
              </w:rPr>
              <w:t xml:space="preserve">[À VÉRIFIER sur l’OpenAPI BitriPay]</w:t>
            </w:r>
          </w:p>
        </w:tc>
      </w:tr>
      <w:tr>
        <w:tc>
          <w:tcPr/>
          <w:p>
            <w:pPr>
              <w:pStyle w:val="Compact"/>
            </w:pPr>
            <w:r>
              <w:rPr>
                <w:sz w:val="17"/>
              </w:rPr>
              <w:t xml:space="preserve">11</w:t>
            </w:r>
          </w:p>
        </w:tc>
        <w:tc>
          <w:tcPr/>
          <w:p>
            <w:pPr>
              <w:pStyle w:val="Compact"/>
            </w:pPr>
            <w:r>
              <w:rPr>
                <w:sz w:val="17"/>
              </w:rPr>
              <w:t xml:space="preserve">BitriPay</w:t>
            </w:r>
          </w:p>
        </w:tc>
        <w:tc>
          <w:tcPr/>
          <w:p>
            <w:pPr>
              <w:pStyle w:val="Compact"/>
            </w:pPr>
            <w:r>
              <w:rPr>
                <w:sz w:val="17"/>
              </w:rPr>
              <w:t xml:space="preserve">Exposant du CDF</w:t>
            </w:r>
          </w:p>
        </w:tc>
        <w:tc>
          <w:tcPr/>
          <w:p>
            <w:pPr>
              <w:pStyle w:val="Compact"/>
            </w:pPr>
            <w:r>
              <w:rPr>
                <w:sz w:val="17"/>
              </w:rPr>
              <w:t xml:space="preserve">2 (ISO 4217), paramétrable 0 ou 2 [À VÉRIFIER sur l’OpenAPI BitriPay]</w:t>
            </w:r>
          </w:p>
        </w:tc>
      </w:tr>
      <w:tr>
        <w:tc>
          <w:tcPr>
            <w:shd w:val="clear" w:color="auto" w:fill="F5F7FB"/>
          </w:tcPr>
          <w:p>
            <w:pPr>
              <w:pStyle w:val="Compact"/>
            </w:pPr>
            <w:r>
              <w:rPr>
                <w:sz w:val="17"/>
              </w:rPr>
              <w:t xml:space="preserve">12</w:t>
            </w:r>
          </w:p>
        </w:tc>
        <w:tc>
          <w:tcPr>
            <w:shd w:val="clear" w:color="auto" w:fill="F5F7FB"/>
          </w:tcPr>
          <w:p>
            <w:pPr>
              <w:pStyle w:val="Compact"/>
            </w:pPr>
            <w:r>
              <w:rPr>
                <w:sz w:val="17"/>
              </w:rPr>
              <w:t xml:space="preserve">BitriPay</w:t>
            </w:r>
          </w:p>
        </w:tc>
        <w:tc>
          <w:tcPr>
            <w:shd w:val="clear" w:color="auto" w:fill="F5F7FB"/>
          </w:tcPr>
          <w:p>
            <w:pPr>
              <w:pStyle w:val="Compact"/>
            </w:pPr>
            <w:r>
              <w:rPr>
                <w:sz w:val="17"/>
              </w:rPr>
              <w:t xml:space="preserve">Forme des événements</w:t>
            </w:r>
          </w:p>
        </w:tc>
        <w:tc>
          <w:tcPr>
            <w:shd w:val="clear" w:color="auto" w:fill="F5F7FB"/>
          </w:tcPr>
          <w:p>
            <w:pPr>
              <w:pStyle w:val="Compact"/>
            </w:pPr>
            <w:r>
              <w:rPr>
                <w:rStyle w:val="VerbatimChar"/>
                <w:sz w:val="17"/>
              </w:rPr>
              <w:t xml:space="preserve">data.object</w:t>
            </w:r>
            <w:r>
              <w:rPr>
                <w:sz w:val="17"/>
              </w:rPr>
              <w:t xml:space="preserve"> </w:t>
            </w:r>
            <w:r>
              <w:rPr>
                <w:sz w:val="17"/>
              </w:rPr>
              <w:t xml:space="preserve">avec</w:t>
            </w:r>
            <w:r>
              <w:rPr>
                <w:sz w:val="17"/>
              </w:rPr>
              <w:t xml:space="preserve"> </w:t>
            </w:r>
            <w:r>
              <w:rPr>
                <w:rStyle w:val="VerbatimChar"/>
                <w:sz w:val="17"/>
              </w:rPr>
              <w:t xml:space="preserve">id</w:t>
            </w:r>
            <w:r>
              <w:rPr>
                <w:sz w:val="17"/>
              </w:rPr>
              <w:t xml:space="preserve">,</w:t>
            </w:r>
            <w:r>
              <w:rPr>
                <w:sz w:val="17"/>
              </w:rPr>
              <w:t xml:space="preserve"> </w:t>
            </w:r>
            <w:r>
              <w:rPr>
                <w:rStyle w:val="VerbatimChar"/>
                <w:sz w:val="17"/>
              </w:rPr>
              <w:t xml:space="preserve">amount_minor</w:t>
            </w:r>
            <w:r>
              <w:rPr>
                <w:sz w:val="17"/>
              </w:rPr>
              <w:t xml:space="preserve">,</w:t>
            </w:r>
            <w:r>
              <w:rPr>
                <w:sz w:val="17"/>
              </w:rPr>
              <w:t xml:space="preserve"> </w:t>
            </w:r>
            <w:r>
              <w:rPr>
                <w:rStyle w:val="VerbatimChar"/>
                <w:sz w:val="17"/>
              </w:rPr>
              <w:t xml:space="preserve">currency</w:t>
            </w:r>
            <w:r>
              <w:rPr>
                <w:sz w:val="17"/>
              </w:rPr>
              <w:t xml:space="preserve">,</w:t>
            </w:r>
            <w:r>
              <w:rPr>
                <w:sz w:val="17"/>
              </w:rPr>
              <w:t xml:space="preserve"> </w:t>
            </w:r>
            <w:r>
              <w:rPr>
                <w:rStyle w:val="VerbatimChar"/>
                <w:sz w:val="17"/>
              </w:rPr>
              <w:t xml:space="preserve">metadata</w:t>
            </w:r>
            <w:r>
              <w:rPr>
                <w:sz w:val="17"/>
              </w:rPr>
              <w:t xml:space="preserve"> </w:t>
            </w:r>
            <w:r>
              <w:rPr>
                <w:sz w:val="17"/>
              </w:rPr>
              <w:t xml:space="preserve">[À VÉRIFIER sur l’OpenAPI BitriPay]</w:t>
            </w:r>
          </w:p>
        </w:tc>
      </w:tr>
      <w:tr>
        <w:tc>
          <w:tcPr/>
          <w:p>
            <w:pPr>
              <w:pStyle w:val="Compact"/>
            </w:pPr>
            <w:r>
              <w:rPr>
                <w:sz w:val="17"/>
              </w:rPr>
              <w:t xml:space="preserve">13</w:t>
            </w:r>
          </w:p>
        </w:tc>
        <w:tc>
          <w:tcPr/>
          <w:p>
            <w:pPr>
              <w:pStyle w:val="Compact"/>
            </w:pPr>
            <w:r>
              <w:rPr>
                <w:sz w:val="17"/>
              </w:rPr>
              <w:t xml:space="preserve">BitriPay</w:t>
            </w:r>
          </w:p>
        </w:tc>
        <w:tc>
          <w:tcPr/>
          <w:p>
            <w:pPr>
              <w:pStyle w:val="Compact"/>
            </w:pPr>
            <w:r>
              <w:rPr>
                <w:sz w:val="17"/>
              </w:rPr>
              <w:t xml:space="preserve">Noms</w:t>
            </w:r>
            <w:r>
              <w:rPr>
                <w:sz w:val="17"/>
              </w:rPr>
              <w:t xml:space="preserve"> </w:t>
            </w:r>
            <w:r>
              <w:rPr>
                <w:rStyle w:val="VerbatimChar"/>
                <w:sz w:val="17"/>
              </w:rPr>
              <w:t xml:space="preserve">payment_intent.payment_failed</w:t>
            </w:r>
            <w:r>
              <w:rPr>
                <w:sz w:val="17"/>
              </w:rPr>
              <w:t xml:space="preserve"> </w:t>
            </w:r>
            <w:r>
              <w:rPr>
                <w:sz w:val="17"/>
              </w:rPr>
              <w:t xml:space="preserve">et</w:t>
            </w:r>
            <w:r>
              <w:rPr>
                <w:sz w:val="17"/>
              </w:rPr>
              <w:t xml:space="preserve"> </w:t>
            </w:r>
            <w:r>
              <w:rPr>
                <w:rStyle w:val="VerbatimChar"/>
                <w:sz w:val="17"/>
              </w:rPr>
              <w:t xml:space="preserve">payment_intent.canceled</w:t>
            </w:r>
          </w:p>
        </w:tc>
        <w:tc>
          <w:tcPr/>
          <w:p>
            <w:pPr>
              <w:pStyle w:val="Compact"/>
            </w:pPr>
            <w:r>
              <w:rPr>
                <w:sz w:val="17"/>
              </w:rPr>
              <w:t xml:space="preserve">Traités respectivement comme tentative non terminale et comme échec [À VÉRIFIER sur l’OpenAPI BitriPay]</w:t>
            </w:r>
          </w:p>
        </w:tc>
      </w:tr>
      <w:tr>
        <w:tc>
          <w:tcPr>
            <w:shd w:val="clear" w:color="auto" w:fill="F5F7FB"/>
          </w:tcPr>
          <w:p>
            <w:pPr>
              <w:pStyle w:val="Compact"/>
            </w:pPr>
            <w:r>
              <w:rPr>
                <w:sz w:val="17"/>
              </w:rPr>
              <w:t xml:space="preserve">14</w:t>
            </w:r>
          </w:p>
        </w:tc>
        <w:tc>
          <w:tcPr>
            <w:shd w:val="clear" w:color="auto" w:fill="F5F7FB"/>
          </w:tcPr>
          <w:p>
            <w:pPr>
              <w:pStyle w:val="Compact"/>
            </w:pPr>
            <w:r>
              <w:rPr>
                <w:sz w:val="17"/>
              </w:rPr>
              <w:t xml:space="preserve">BitriPay</w:t>
            </w:r>
          </w:p>
        </w:tc>
        <w:tc>
          <w:tcPr>
            <w:shd w:val="clear" w:color="auto" w:fill="F5F7FB"/>
          </w:tcPr>
          <w:p>
            <w:pPr>
              <w:pStyle w:val="Compact"/>
            </w:pPr>
            <w:r>
              <w:rPr>
                <w:sz w:val="17"/>
              </w:rPr>
              <w:t xml:space="preserve">Corps de</w:t>
            </w:r>
            <w:r>
              <w:rPr>
                <w:sz w:val="17"/>
              </w:rPr>
              <w:t xml:space="preserve"> </w:t>
            </w:r>
            <w:r>
              <w:rPr>
                <w:rStyle w:val="VerbatimChar"/>
                <w:sz w:val="17"/>
              </w:rPr>
              <w:t xml:space="preserve">POST /verifications</w:t>
            </w:r>
          </w:p>
        </w:tc>
        <w:tc>
          <w:tcPr>
            <w:shd w:val="clear" w:color="auto" w:fill="F5F7FB"/>
          </w:tcPr>
          <w:p>
            <w:pPr>
              <w:pStyle w:val="Compact"/>
            </w:pPr>
            <w:r>
              <w:rPr>
                <w:rStyle w:val="VerbatimChar"/>
                <w:sz w:val="17"/>
              </w:rPr>
              <w:t xml:space="preserve">{payment_intent, sms_code?, screenshot_sha256?}</w:t>
            </w:r>
            <w:r>
              <w:rPr>
                <w:sz w:val="17"/>
              </w:rPr>
              <w:t xml:space="preserve"> </w:t>
            </w:r>
            <w:r>
              <w:rPr>
                <w:sz w:val="17"/>
              </w:rPr>
              <w:t xml:space="preserve">(pièce de dossier uniquement) [À VÉRIFIER sur l’OpenAPI BitriPay]</w:t>
            </w:r>
          </w:p>
        </w:tc>
      </w:tr>
      <w:tr>
        <w:tc>
          <w:tcPr/>
          <w:p>
            <w:pPr>
              <w:pStyle w:val="Compact"/>
            </w:pPr>
            <w:r>
              <w:rPr>
                <w:sz w:val="17"/>
              </w:rPr>
              <w:t xml:space="preserve">15</w:t>
            </w:r>
          </w:p>
        </w:tc>
        <w:tc>
          <w:tcPr/>
          <w:p>
            <w:pPr>
              <w:pStyle w:val="Compact"/>
            </w:pPr>
            <w:r>
              <w:rPr>
                <w:sz w:val="17"/>
              </w:rPr>
              <w:t xml:space="preserve">BitriPay</w:t>
            </w:r>
          </w:p>
        </w:tc>
        <w:tc>
          <w:tcPr/>
          <w:p>
            <w:pPr>
              <w:pStyle w:val="Compact"/>
            </w:pPr>
            <w:r>
              <w:rPr>
                <w:sz w:val="17"/>
              </w:rPr>
              <w:t xml:space="preserve">Exploitation des relevés (</w:t>
            </w:r>
            <w:r>
              <w:rPr>
                <w:rStyle w:val="VerbatimChar"/>
                <w:sz w:val="17"/>
              </w:rPr>
              <w:t xml:space="preserve">settlements:read</w:t>
            </w:r>
            <w:r>
              <w:rPr>
                <w:sz w:val="17"/>
              </w:rPr>
              <w:t xml:space="preserve">) et rapports (</w:t>
            </w:r>
            <w:r>
              <w:rPr>
                <w:rStyle w:val="VerbatimChar"/>
                <w:sz w:val="17"/>
              </w:rPr>
              <w:t xml:space="preserve">reconciliation:read</w:t>
            </w:r>
            <w:r>
              <w:rPr>
                <w:sz w:val="17"/>
              </w:rPr>
              <w:t xml:space="preserve">)</w:t>
            </w:r>
          </w:p>
        </w:tc>
        <w:tc>
          <w:tcPr/>
          <w:p>
            <w:pPr>
              <w:pStyle w:val="Compact"/>
            </w:pPr>
            <w:r>
              <w:rPr>
                <w:sz w:val="17"/>
              </w:rPr>
              <w:t xml:space="preserve">Non raccordés : seul le relevé du compte public fait foi ; ces sources pourront alimenter la décomposition des règlements groupés (§ 20.1)</w:t>
            </w:r>
          </w:p>
        </w:tc>
      </w:tr>
      <w:tr>
        <w:tc>
          <w:tcPr>
            <w:shd w:val="clear" w:color="auto" w:fill="F5F7FB"/>
          </w:tcPr>
          <w:p>
            <w:pPr>
              <w:pStyle w:val="Compact"/>
            </w:pPr>
            <w:r>
              <w:rPr>
                <w:sz w:val="17"/>
              </w:rPr>
              <w:t xml:space="preserve">17</w:t>
            </w:r>
          </w:p>
        </w:tc>
        <w:tc>
          <w:tcPr>
            <w:shd w:val="clear" w:color="auto" w:fill="F5F7FB"/>
          </w:tcPr>
          <w:p>
            <w:pPr>
              <w:pStyle w:val="Compact"/>
            </w:pPr>
            <w:r>
              <w:rPr>
                <w:sz w:val="17"/>
              </w:rPr>
              <w:t xml:space="preserve">BitriPay</w:t>
            </w:r>
          </w:p>
        </w:tc>
        <w:tc>
          <w:tcPr>
            <w:shd w:val="clear" w:color="auto" w:fill="F5F7FB"/>
          </w:tcPr>
          <w:p>
            <w:pPr>
              <w:pStyle w:val="Compact"/>
            </w:pPr>
            <w:r>
              <w:rPr>
                <w:sz w:val="17"/>
              </w:rPr>
              <w:t xml:space="preserve">Paramètres de</w:t>
            </w:r>
            <w:r>
              <w:rPr>
                <w:sz w:val="17"/>
              </w:rPr>
              <w:t xml:space="preserve"> </w:t>
            </w:r>
            <w:r>
              <w:rPr>
                <w:rStyle w:val="VerbatimChar"/>
                <w:sz w:val="17"/>
              </w:rPr>
              <w:t xml:space="preserve">GET /payment_resolution</w:t>
            </w:r>
          </w:p>
        </w:tc>
        <w:tc>
          <w:tcPr>
            <w:shd w:val="clear" w:color="auto" w:fill="F5F7FB"/>
          </w:tcPr>
          <w:p>
            <w:pPr>
              <w:pStyle w:val="Compact"/>
            </w:pPr>
            <w:r>
              <w:rPr>
                <w:rStyle w:val="VerbatimChar"/>
                <w:sz w:val="17"/>
              </w:rPr>
              <w:t xml:space="preserve">payment_intent</w:t>
            </w:r>
            <w:r>
              <w:rPr>
                <w:sz w:val="17"/>
              </w:rPr>
              <w:t xml:space="preserve"> </w:t>
            </w:r>
            <w:r>
              <w:rPr>
                <w:sz w:val="17"/>
              </w:rPr>
              <w:t xml:space="preserve">et</w:t>
            </w:r>
            <w:r>
              <w:rPr>
                <w:sz w:val="17"/>
              </w:rPr>
              <w:t xml:space="preserve"> </w:t>
            </w:r>
            <w:r>
              <w:rPr>
                <w:rStyle w:val="VerbatimChar"/>
                <w:sz w:val="17"/>
              </w:rPr>
              <w:t xml:space="preserve">reference</w:t>
            </w:r>
            <w:r>
              <w:rPr>
                <w:sz w:val="17"/>
              </w:rPr>
              <w:t xml:space="preserve"> </w:t>
            </w:r>
            <w:r>
              <w:rPr>
                <w:sz w:val="17"/>
              </w:rPr>
              <w:t xml:space="preserve">; réponse CONFIRMED, PENDING, AMBIGUOUS ou NOT_FOUND versée au dossier [À VÉRIFIER sur l’OpenAPI BitriPay]</w:t>
            </w:r>
          </w:p>
        </w:tc>
      </w:tr>
      <w:tr>
        <w:tc>
          <w:tcPr/>
          <w:p>
            <w:pPr>
              <w:pStyle w:val="Compact"/>
            </w:pPr>
            <w:r>
              <w:rPr>
                <w:sz w:val="17"/>
              </w:rPr>
              <w:t xml:space="preserve">18</w:t>
            </w:r>
          </w:p>
        </w:tc>
        <w:tc>
          <w:tcPr/>
          <w:p>
            <w:pPr>
              <w:pStyle w:val="Compact"/>
            </w:pPr>
            <w:r>
              <w:rPr>
                <w:sz w:val="17"/>
              </w:rPr>
              <w:t xml:space="preserve">BitriPay</w:t>
            </w:r>
          </w:p>
        </w:tc>
        <w:tc>
          <w:tcPr/>
          <w:p>
            <w:pPr>
              <w:pStyle w:val="Compact"/>
            </w:pPr>
            <w:r>
              <w:rPr>
                <w:sz w:val="17"/>
              </w:rPr>
              <w:t xml:space="preserve">Présence du champ</w:t>
            </w:r>
            <w:r>
              <w:rPr>
                <w:sz w:val="17"/>
              </w:rPr>
              <w:t xml:space="preserve"> </w:t>
            </w:r>
            <w:r>
              <w:rPr>
                <w:rStyle w:val="VerbatimChar"/>
                <w:sz w:val="17"/>
              </w:rPr>
              <w:t xml:space="preserve">account</w:t>
            </w:r>
            <w:r>
              <w:rPr>
                <w:sz w:val="17"/>
              </w:rPr>
              <w:t xml:space="preserve"> </w:t>
            </w:r>
            <w:r>
              <w:rPr>
                <w:sz w:val="17"/>
              </w:rPr>
              <w:t xml:space="preserve">dans les webhooks des comptes connectés, et son absence pour un compte propre</w:t>
            </w:r>
          </w:p>
        </w:tc>
        <w:tc>
          <w:tcPr/>
          <w:p>
            <w:pPr>
              <w:pStyle w:val="Compact"/>
            </w:pPr>
            <w:r>
              <w:rPr>
                <w:sz w:val="17"/>
              </w:rPr>
              <w:t xml:space="preserve">Exigé et comparé au compte configuré ; refusé s’il est présent sans compte configuré [À VÉRIFIER sur l’OpenAPI BitriPay]</w:t>
            </w:r>
          </w:p>
        </w:tc>
      </w:tr>
      <w:tr>
        <w:tc>
          <w:tcPr>
            <w:shd w:val="clear" w:color="auto" w:fill="F5F7FB"/>
          </w:tcPr>
          <w:p>
            <w:pPr>
              <w:pStyle w:val="Compact"/>
            </w:pPr>
            <w:r>
              <w:rPr>
                <w:sz w:val="17"/>
              </w:rPr>
              <w:t xml:space="preserve">19</w:t>
            </w:r>
          </w:p>
        </w:tc>
        <w:tc>
          <w:tcPr>
            <w:shd w:val="clear" w:color="auto" w:fill="F5F7FB"/>
          </w:tcPr>
          <w:p>
            <w:pPr>
              <w:pStyle w:val="Compact"/>
            </w:pPr>
            <w:r>
              <w:rPr>
                <w:sz w:val="17"/>
              </w:rPr>
              <w:t xml:space="preserve">BitriPay</w:t>
            </w:r>
          </w:p>
        </w:tc>
        <w:tc>
          <w:tcPr>
            <w:shd w:val="clear" w:color="auto" w:fill="F5F7FB"/>
          </w:tcPr>
          <w:p>
            <w:pPr>
              <w:pStyle w:val="Compact"/>
            </w:pPr>
            <w:r>
              <w:rPr>
                <w:sz w:val="17"/>
              </w:rPr>
              <w:t xml:space="preserve">Nom du champ de frais sur l’intention reçue</w:t>
            </w:r>
          </w:p>
        </w:tc>
        <w:tc>
          <w:tcPr>
            <w:shd w:val="clear" w:color="auto" w:fill="F5F7FB"/>
          </w:tcPr>
          <w:p>
            <w:pPr>
              <w:pStyle w:val="Compact"/>
            </w:pPr>
            <w:r>
              <w:rPr>
                <w:rStyle w:val="VerbatimChar"/>
                <w:sz w:val="17"/>
              </w:rPr>
              <w:t xml:space="preserve">application_fee_minor</w:t>
            </w:r>
            <w:r>
              <w:rPr>
                <w:sz w:val="17"/>
              </w:rPr>
              <w:t xml:space="preserve"> </w:t>
            </w:r>
            <w:r>
              <w:rPr>
                <w:sz w:val="17"/>
              </w:rPr>
              <w:t xml:space="preserve">ou</w:t>
            </w:r>
            <w:r>
              <w:rPr>
                <w:sz w:val="17"/>
              </w:rPr>
              <w:t xml:space="preserve"> </w:t>
            </w:r>
            <w:r>
              <w:rPr>
                <w:rStyle w:val="VerbatimChar"/>
                <w:sz w:val="17"/>
              </w:rPr>
              <w:t xml:space="preserve">application_fee_amount</w:t>
            </w:r>
            <w:r>
              <w:rPr>
                <w:sz w:val="17"/>
              </w:rPr>
              <w:t xml:space="preserve"> </w:t>
            </w:r>
            <w:r>
              <w:rPr>
                <w:sz w:val="17"/>
              </w:rPr>
              <w:t xml:space="preserve">[À VÉRIFIER sur l’OpenAPI BitriPay]</w:t>
            </w:r>
          </w:p>
        </w:tc>
      </w:tr>
      <w:tr>
        <w:tc>
          <w:tcPr/>
          <w:p>
            <w:pPr>
              <w:pStyle w:val="Compact"/>
            </w:pPr>
            <w:r>
              <w:rPr>
                <w:sz w:val="17"/>
              </w:rPr>
              <w:t xml:space="preserve">16</w:t>
            </w:r>
          </w:p>
        </w:tc>
        <w:tc>
          <w:tcPr/>
          <w:p>
            <w:pPr>
              <w:pStyle w:val="Compact"/>
            </w:pPr>
            <w:r>
              <w:rPr>
                <w:sz w:val="17"/>
              </w:rPr>
              <w:t xml:space="preserve">Les deux</w:t>
            </w:r>
          </w:p>
        </w:tc>
        <w:tc>
          <w:tcPr/>
          <w:p>
            <w:pPr>
              <w:pStyle w:val="Compact"/>
            </w:pPr>
            <w:r>
              <w:rPr>
                <w:sz w:val="17"/>
              </w:rPr>
              <w:t xml:space="preserve">Un compte marchand, donc un alias de règlement, par entité bénéficiaire</w:t>
            </w:r>
          </w:p>
        </w:tc>
        <w:tc>
          <w:tcPr/>
          <w:p>
            <w:pPr>
              <w:pStyle w:val="Compact"/>
            </w:pPr>
            <w:r>
              <w:rPr>
                <w:sz w:val="17"/>
              </w:rPr>
              <w:t xml:space="preserve">Un alias par connecteur ; toute obligation d’une autre entité est refusée (</w:t>
            </w:r>
            <w:r>
              <w:rPr>
                <w:rStyle w:val="VerbatimChar"/>
                <w:sz w:val="17"/>
              </w:rPr>
              <w:t xml:space="preserve">SETTLEMENT_ACCOUNT_MISMATCH</w:t>
            </w:r>
            <w:r>
              <w:rPr>
                <w:sz w:val="17"/>
              </w:rPr>
              <w:t xml:space="preserve">) [À VÉRIFIER dans la convention]</w:t>
            </w:r>
          </w:p>
        </w:tc>
      </w:tr>
    </w:tbl>
    <w:bookmarkEnd w:id="231"/>
    <w:bookmarkStart w:id="232" w:name="X4ce936e5b69db04f3bdc42955781d18566deb15"/>
    <w:p>
      <w:pPr>
        <w:pStyle w:val="Heading2"/>
      </w:pPr>
      <w:r>
        <w:t xml:space="preserve">18.15 BitriPay : comptes connectés, attente prestataire et résolution</w:t>
      </w:r>
    </w:p>
    <w:p>
      <w:pPr>
        <w:pStyle w:val="FirstParagraph"/>
      </w:pPr>
      <w:r>
        <w:t xml:space="preserve">BitriPay propose aux plateformes et intégrateurs d’ouvrir, par API, le compte marchand de chacun de leurs clients (</w:t>
      </w:r>
      <w:r>
        <w:rPr>
          <w:rStyle w:val="VerbatimChar"/>
        </w:rPr>
        <w:t xml:space="preserve">POST /accounts</w:t>
      </w:r>
      <w:r>
        <w:t xml:space="preserve">), puis d’agir pour ce compte avec leur propre clé en ajoutant l’en-tête</w:t>
      </w:r>
      <w:r>
        <w:t xml:space="preserve"> </w:t>
      </w:r>
      <w:r>
        <w:rPr>
          <w:rStyle w:val="VerbatimChar"/>
        </w:rPr>
        <w:t xml:space="preserve">BitriPay-Account: acct_…</w:t>
      </w:r>
      <w:r>
        <w:t xml:space="preserve"> </w:t>
      </w:r>
      <w:r>
        <w:t xml:space="preserve">à chaque requête. BitriPay conserve la licence d’agrégateur et reste la partie régulée ; chaque client est le</w:t>
      </w:r>
      <w:r>
        <w:t xml:space="preserve"> </w:t>
      </w:r>
      <w:r>
        <w:rPr>
          <w:b/>
          <w:bCs/>
        </w:rPr>
        <w:t xml:space="preserve">marchand en titre</w:t>
      </w:r>
      <w:r>
        <w:t xml:space="preserve"> </w:t>
      </w:r>
      <w:r>
        <w:t xml:space="preserve">(</w:t>
      </w:r>
      <w:r>
        <w:rPr>
          <w:i/>
          <w:iCs/>
        </w:rPr>
        <w:t xml:space="preserve">merchant of record</w:t>
      </w:r>
      <w:r>
        <w:t xml:space="preserve">), avec ses portefeuilles, son profil de règlement, ses relevés et sa vérification. Le client peut revendiquer son compte par un lien à usage unique, voir l’intégrateur dans son équipe, et le retirer à tout moment : clés, portefeuilles et historique restent les siens.</w:t>
      </w:r>
    </w:p>
    <w:p>
      <w:pPr>
        <w:pStyle w:val="BodyText"/>
      </w:pPr>
      <w:r>
        <w:t xml:space="preserve">Ce modèle est compatible avec la doctrine de MOSOLO</w:t>
      </w:r>
      <w:r>
        <w:t xml:space="preserve"> </w:t>
      </w:r>
      <w:r>
        <w:rPr>
          <w:b/>
          <w:bCs/>
        </w:rPr>
        <w:t xml:space="preserve">à quatre conditions</w:t>
      </w:r>
      <w:r>
        <w:t xml:space="preserve">, que le connecteur applique :</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Condition</w:t>
            </w:r>
          </w:p>
        </w:tc>
        <w:tc>
          <w:tcPr>
            <w:shd w:val="clear" w:color="auto" w:fill="232C6B"/>
          </w:tcPr>
          <w:p>
            <w:pPr>
              <w:pStyle w:val="Compact"/>
            </w:pPr>
            <w:r>
              <w:rPr>
                <w:b/>
                <w:color w:val="FFFFFF"/>
                <w:sz w:val="17"/>
              </w:rPr>
              <w:t xml:space="preserve">Application dans le socle</w:t>
            </w:r>
          </w:p>
        </w:tc>
      </w:tr>
      <w:tr>
        <w:tc>
          <w:tcPr/>
          <w:p>
            <w:pPr>
              <w:pStyle w:val="Compact"/>
            </w:pPr>
            <w:r>
              <w:rPr>
                <w:sz w:val="17"/>
              </w:rPr>
              <w:t xml:space="preserve">La Ville est le marchand en titre</w:t>
            </w:r>
          </w:p>
        </w:tc>
        <w:tc>
          <w:tcPr/>
          <w:p>
            <w:pPr>
              <w:pStyle w:val="Compact"/>
            </w:pPr>
            <w:r>
              <w:rPr>
                <w:sz w:val="17"/>
              </w:rPr>
              <w:t xml:space="preserve">Le compte connecté est celui de l’entité publique (régie) ; son profil de règlement verse au</w:t>
            </w:r>
            <w:r>
              <w:rPr>
                <w:sz w:val="17"/>
              </w:rPr>
              <w:t xml:space="preserve"> </w:t>
            </w:r>
            <w:r>
              <w:rPr>
                <w:b/>
                <w:bCs/>
                <w:sz w:val="17"/>
              </w:rPr>
              <w:t xml:space="preserve">compte public inscrit au coffre</w:t>
            </w:r>
            <w:r>
              <w:rPr>
                <w:sz w:val="17"/>
              </w:rPr>
              <w:t xml:space="preserve"> </w:t>
            </w:r>
            <w:r>
              <w:rPr>
                <w:sz w:val="17"/>
              </w:rPr>
              <w:t xml:space="preserve">(</w:t>
            </w:r>
            <w:r>
              <w:rPr>
                <w:rStyle w:val="VerbatimChar"/>
                <w:sz w:val="17"/>
              </w:rPr>
              <w:t xml:space="preserve">settlementAccountAlias</w:t>
            </w:r>
            <w:r>
              <w:rPr>
                <w:sz w:val="17"/>
              </w:rPr>
              <w:t xml:space="preserve">). Paramètre</w:t>
            </w:r>
            <w:r>
              <w:rPr>
                <w:sz w:val="17"/>
              </w:rPr>
              <w:t xml:space="preserve"> </w:t>
            </w:r>
            <w:r>
              <w:rPr>
                <w:rStyle w:val="VerbatimChar"/>
                <w:sz w:val="17"/>
              </w:rPr>
              <w:t xml:space="preserve">BITRIPAY_ACCOUNT_ID</w:t>
            </w:r>
            <w:r>
              <w:rPr>
                <w:sz w:val="17"/>
              </w:rPr>
              <w:t xml:space="preserve"> </w:t>
            </w:r>
            <w:r>
              <w:rPr>
                <w:sz w:val="17"/>
              </w:rPr>
              <w:t xml:space="preserve">(format</w:t>
            </w:r>
            <w:r>
              <w:rPr>
                <w:sz w:val="17"/>
              </w:rPr>
              <w:t xml:space="preserve"> </w:t>
            </w:r>
            <w:r>
              <w:rPr>
                <w:rStyle w:val="VerbatimChar"/>
                <w:sz w:val="17"/>
              </w:rPr>
              <w:t xml:space="preserve">acct_…</w:t>
            </w:r>
            <w:r>
              <w:rPr>
                <w:sz w:val="17"/>
              </w:rPr>
              <w:t xml:space="preserve"> </w:t>
            </w:r>
            <w:r>
              <w:rPr>
                <w:sz w:val="17"/>
              </w:rPr>
              <w:t xml:space="preserve">contrôlé au démarrage) ; l’en-tête</w:t>
            </w:r>
            <w:r>
              <w:rPr>
                <w:sz w:val="17"/>
              </w:rPr>
              <w:t xml:space="preserve"> </w:t>
            </w:r>
            <w:r>
              <w:rPr>
                <w:rStyle w:val="VerbatimChar"/>
                <w:sz w:val="17"/>
              </w:rPr>
              <w:t xml:space="preserve">BitriPay-Account</w:t>
            </w:r>
            <w:r>
              <w:rPr>
                <w:sz w:val="17"/>
              </w:rPr>
              <w:t xml:space="preserve"> </w:t>
            </w:r>
            <w:r>
              <w:rPr>
                <w:sz w:val="17"/>
              </w:rPr>
              <w:t xml:space="preserve">accompagne</w:t>
            </w:r>
            <w:r>
              <w:rPr>
                <w:sz w:val="17"/>
              </w:rPr>
              <w:t xml:space="preserve"> </w:t>
            </w:r>
            <w:r>
              <w:rPr>
                <w:b/>
                <w:bCs/>
                <w:sz w:val="17"/>
              </w:rPr>
              <w:t xml:space="preserve">chaque</w:t>
            </w:r>
            <w:r>
              <w:rPr>
                <w:sz w:val="17"/>
              </w:rPr>
              <w:t xml:space="preserve"> </w:t>
            </w:r>
            <w:r>
              <w:rPr>
                <w:sz w:val="17"/>
              </w:rPr>
              <w:t xml:space="preserve">requête, y compris les lectures</w:t>
            </w:r>
          </w:p>
        </w:tc>
      </w:tr>
      <w:tr>
        <w:tc>
          <w:tcPr>
            <w:shd w:val="clear" w:color="auto" w:fill="F5F7FB"/>
          </w:tcPr>
          <w:p>
            <w:pPr>
              <w:pStyle w:val="Compact"/>
            </w:pPr>
            <w:r>
              <w:rPr>
                <w:sz w:val="17"/>
              </w:rPr>
              <w:t xml:space="preserve">Aucun prélèvement sur la recette</w:t>
            </w:r>
          </w:p>
        </w:tc>
        <w:tc>
          <w:tcPr>
            <w:shd w:val="clear" w:color="auto" w:fill="F5F7FB"/>
          </w:tcPr>
          <w:p>
            <w:pPr>
              <w:pStyle w:val="Compact"/>
            </w:pPr>
            <w:r>
              <w:rPr>
                <w:sz w:val="17"/>
              </w:rPr>
              <w:t xml:space="preserve">Le connecteur</w:t>
            </w:r>
            <w:r>
              <w:rPr>
                <w:sz w:val="17"/>
              </w:rPr>
              <w:t xml:space="preserve"> </w:t>
            </w:r>
            <w:r>
              <w:rPr>
                <w:b/>
                <w:bCs/>
                <w:sz w:val="17"/>
              </w:rPr>
              <w:t xml:space="preserve">n’envoie jamais</w:t>
            </w:r>
            <w:r>
              <w:rPr>
                <w:sz w:val="17"/>
              </w:rPr>
              <w:t xml:space="preserve"> </w:t>
            </w:r>
            <w:r>
              <w:rPr>
                <w:rStyle w:val="VerbatimChar"/>
                <w:sz w:val="17"/>
              </w:rPr>
              <w:t xml:space="preserve">application_fee_minor</w:t>
            </w:r>
            <w:r>
              <w:rPr>
                <w:sz w:val="17"/>
              </w:rPr>
              <w:t xml:space="preserve">. La rémunération d’un intégrateur relève d’un contrat plafonné et facturé séparément (modèle hybride plafonné, § 20.1), jamais d’une retenue sur la recette. Si un événement de paiement révèle un frais retenu, la quittance reste due au payeur (il a payé l’intégralité), mais une</w:t>
            </w:r>
            <w:r>
              <w:rPr>
                <w:sz w:val="17"/>
              </w:rPr>
              <w:t xml:space="preserve"> </w:t>
            </w:r>
            <w:r>
              <w:rPr>
                <w:b/>
                <w:bCs/>
                <w:sz w:val="17"/>
              </w:rPr>
              <w:t xml:space="preserve">alerte critique</w:t>
            </w:r>
            <w:r>
              <w:rPr>
                <w:sz w:val="17"/>
              </w:rPr>
              <w:t xml:space="preserve"> </w:t>
            </w:r>
            <w:r>
              <w:rPr>
                <w:rStyle w:val="VerbatimChar"/>
                <w:sz w:val="17"/>
              </w:rPr>
              <w:t xml:space="preserve">APPLICATION_FEE_ON_PUBLIC_REVENUE</w:t>
            </w:r>
            <w:r>
              <w:rPr>
                <w:sz w:val="17"/>
              </w:rPr>
              <w:t xml:space="preserve"> </w:t>
            </w:r>
            <w:r>
              <w:rPr>
                <w:sz w:val="17"/>
              </w:rPr>
              <w:t xml:space="preserve">est levée et le rapprochement fera apparaître l’écart au compte public</w:t>
            </w:r>
          </w:p>
        </w:tc>
      </w:tr>
      <w:tr>
        <w:tc>
          <w:tcPr/>
          <w:p>
            <w:pPr>
              <w:pStyle w:val="Compact"/>
            </w:pPr>
            <w:r>
              <w:rPr>
                <w:sz w:val="17"/>
              </w:rPr>
              <w:t xml:space="preserve">Chaque événement concerne la Ville</w:t>
            </w:r>
          </w:p>
        </w:tc>
        <w:tc>
          <w:tcPr/>
          <w:p>
            <w:pPr>
              <w:pStyle w:val="Compact"/>
            </w:pPr>
            <w:r>
              <w:rPr>
                <w:sz w:val="17"/>
              </w:rPr>
              <w:t xml:space="preserve">Le champ</w:t>
            </w:r>
            <w:r>
              <w:rPr>
                <w:sz w:val="17"/>
              </w:rPr>
              <w:t xml:space="preserve"> </w:t>
            </w:r>
            <w:r>
              <w:rPr>
                <w:rStyle w:val="VerbatimChar"/>
                <w:sz w:val="17"/>
              </w:rPr>
              <w:t xml:space="preserve">account</w:t>
            </w:r>
            <w:r>
              <w:rPr>
                <w:sz w:val="17"/>
              </w:rPr>
              <w:t xml:space="preserve"> </w:t>
            </w:r>
            <w:r>
              <w:rPr>
                <w:sz w:val="17"/>
              </w:rPr>
              <w:t xml:space="preserve">de chaque webhook doit être celui de la Ville : sinon</w:t>
            </w:r>
            <w:r>
              <w:rPr>
                <w:sz w:val="17"/>
              </w:rPr>
              <w:t xml:space="preserve"> </w:t>
            </w:r>
            <w:r>
              <w:rPr>
                <w:rStyle w:val="VerbatimChar"/>
                <w:sz w:val="17"/>
              </w:rPr>
              <w:t xml:space="preserve">422 CONNECTED_ACCOUNT_MISMATCH</w:t>
            </w:r>
            <w:r>
              <w:rPr>
                <w:sz w:val="17"/>
              </w:rPr>
              <w:t xml:space="preserve"> </w:t>
            </w:r>
            <w:r>
              <w:rPr>
                <w:sz w:val="17"/>
              </w:rPr>
              <w:t xml:space="preserve">et alerte, sans effet. Sans compte connecté configuré, un événement portant un</w:t>
            </w:r>
            <w:r>
              <w:rPr>
                <w:sz w:val="17"/>
              </w:rPr>
              <w:t xml:space="preserve"> </w:t>
            </w:r>
            <w:r>
              <w:rPr>
                <w:rStyle w:val="VerbatimChar"/>
                <w:sz w:val="17"/>
              </w:rPr>
              <w:t xml:space="preserve">account</w:t>
            </w:r>
            <w:r>
              <w:rPr>
                <w:sz w:val="17"/>
              </w:rPr>
              <w:t xml:space="preserve"> </w:t>
            </w:r>
            <w:r>
              <w:rPr>
                <w:sz w:val="17"/>
              </w:rPr>
              <w:t xml:space="preserve">est refusé (</w:t>
            </w:r>
            <w:r>
              <w:rPr>
                <w:rStyle w:val="VerbatimChar"/>
                <w:sz w:val="17"/>
              </w:rPr>
              <w:t xml:space="preserve">UNEXPECTED_CONNECTED_ACCOUNT</w:t>
            </w:r>
            <w:r>
              <w:rPr>
                <w:sz w:val="17"/>
              </w:rPr>
              <w:t xml:space="preserve">)</w:t>
            </w:r>
          </w:p>
        </w:tc>
      </w:tr>
      <w:tr>
        <w:tc>
          <w:tcPr>
            <w:shd w:val="clear" w:color="auto" w:fill="F5F7FB"/>
          </w:tcPr>
          <w:p>
            <w:pPr>
              <w:pStyle w:val="Compact"/>
            </w:pPr>
            <w:r>
              <w:rPr>
                <w:sz w:val="17"/>
              </w:rPr>
              <w:t xml:space="preserve">La Ville garde la maîtrise</w:t>
            </w:r>
          </w:p>
        </w:tc>
        <w:tc>
          <w:tcPr>
            <w:shd w:val="clear" w:color="auto" w:fill="F5F7FB"/>
          </w:tcPr>
          <w:p>
            <w:pPr>
              <w:pStyle w:val="Compact"/>
            </w:pPr>
            <w:r>
              <w:rPr>
                <w:sz w:val="17"/>
              </w:rPr>
              <w:t xml:space="preserve">Le compte est revendiqué par la Ville (lien de revendication), l’intégrateur n’y a que le rôle</w:t>
            </w:r>
            <w:r>
              <w:rPr>
                <w:sz w:val="17"/>
              </w:rPr>
              <w:t xml:space="preserve"> </w:t>
            </w:r>
            <w:r>
              <w:rPr>
                <w:i/>
                <w:iCs/>
                <w:sz w:val="17"/>
              </w:rPr>
              <w:t xml:space="preserve">développeur</w:t>
            </w:r>
            <w:r>
              <w:rPr>
                <w:sz w:val="17"/>
              </w:rPr>
              <w:t xml:space="preserve"> </w:t>
            </w:r>
            <w:r>
              <w:rPr>
                <w:sz w:val="17"/>
              </w:rPr>
              <w:t xml:space="preserve">(clés, webhooks, création de paiements — rien sur le règlement, les virements ou les exports) et la Ville peut le détacher à tout moment. Ces dispositions figurent dans la convention [ACTE REQUIS]</w:t>
            </w:r>
          </w:p>
        </w:tc>
      </w:tr>
    </w:tbl>
    <w:p>
      <w:pPr>
        <w:pStyle w:val="BodyText"/>
      </w:pPr>
      <w:r>
        <w:rPr>
          <w:b/>
          <w:bCs/>
        </w:rPr>
        <w:t xml:space="preserve">Attente prestataire.</w:t>
      </w:r>
      <w:r>
        <w:t xml:space="preserve"> </w:t>
      </w:r>
      <w:r>
        <w:t xml:space="preserve">Lorsque le résultat chez l’opérateur est inconnu, BitriPay place le paiement en revue manuelle et émet</w:t>
      </w:r>
      <w:r>
        <w:t xml:space="preserve"> </w:t>
      </w:r>
      <w:r>
        <w:rPr>
          <w:rStyle w:val="VerbatimChar"/>
        </w:rPr>
        <w:t xml:space="preserve">payment_intent.ambiguous_hold</w:t>
      </w:r>
      <w:r>
        <w:t xml:space="preserve">. MOSOLO n’en tire</w:t>
      </w:r>
      <w:r>
        <w:t xml:space="preserve"> </w:t>
      </w:r>
      <w:r>
        <w:rPr>
          <w:b/>
          <w:bCs/>
        </w:rPr>
        <w:t xml:space="preserve">aucune</w:t>
      </w:r>
      <w:r>
        <w:t xml:space="preserve"> </w:t>
      </w:r>
      <w:r>
        <w:t xml:space="preserve">conséquence financière : l’ordre reste</w:t>
      </w:r>
      <w:r>
        <w:t xml:space="preserve"> </w:t>
      </w:r>
      <w:r>
        <w:rPr>
          <w:rStyle w:val="VerbatimChar"/>
        </w:rPr>
        <w:t xml:space="preserve">INITIE</w:t>
      </w:r>
      <w:r>
        <w:t xml:space="preserve">, aucune quittance n’est émise, une alerte est levée et une exception calculée</w:t>
      </w:r>
      <w:r>
        <w:t xml:space="preserve"> </w:t>
      </w:r>
      <w:r>
        <w:rPr>
          <w:rStyle w:val="VerbatimChar"/>
        </w:rPr>
        <w:t xml:space="preserve">PROVIDER_AMBIGUOUS</w:t>
      </w:r>
      <w:r>
        <w:t xml:space="preserve"> </w:t>
      </w:r>
      <w:r>
        <w:t xml:space="preserve">apparaît dans la file du Trésor tant que ni confirmation signée ni échec ne sont arrivés.</w:t>
      </w:r>
    </w:p>
    <w:p>
      <w:pPr>
        <w:pStyle w:val="BodyText"/>
      </w:pPr>
      <w:r>
        <w:rPr>
          <w:b/>
          <w:bCs/>
        </w:rPr>
        <w:t xml:space="preserve">Résolution.</w:t>
      </w:r>
      <w:r>
        <w:t xml:space="preserve"> </w:t>
      </w:r>
      <w:r>
        <w:t xml:space="preserve">Pour instruire une exception, le comptable public, l’analyste de rapprochement ou l’agent de contentieux peut interroger</w:t>
      </w:r>
      <w:r>
        <w:t xml:space="preserve"> </w:t>
      </w:r>
      <w:r>
        <w:rPr>
          <w:rStyle w:val="VerbatimChar"/>
        </w:rPr>
        <w:t xml:space="preserve">GET /payment_resolution</w:t>
      </w:r>
      <w:r>
        <w:t xml:space="preserve"> </w:t>
      </w:r>
      <w:r>
        <w:t xml:space="preserve">(« ce paiement a-t-il eu lieu ? ») par la route</w:t>
      </w:r>
      <w:r>
        <w:t xml:space="preserve"> </w:t>
      </w:r>
      <w:r>
        <w:rPr>
          <w:rStyle w:val="VerbatimChar"/>
        </w:rPr>
        <w:t xml:space="preserve">POST /v1/payment-orders/{référence}/provider-resolution</w:t>
      </w:r>
      <w:r>
        <w:t xml:space="preserve">. La réponse du prestataire est une</w:t>
      </w:r>
      <w:r>
        <w:t xml:space="preserve"> </w:t>
      </w:r>
      <w:r>
        <w:rPr>
          <w:b/>
          <w:bCs/>
        </w:rPr>
        <w:t xml:space="preserve">pièce de dossier</w:t>
      </w:r>
      <w:r>
        <w:t xml:space="preserve"> </w:t>
      </w:r>
      <w:r>
        <w:t xml:space="preserve">(</w:t>
      </w:r>
      <w:r>
        <w:rPr>
          <w:rStyle w:val="VerbatimChar"/>
        </w:rPr>
        <w:t xml:space="preserve">legalEffect: AUCUN</w:t>
      </w:r>
      <w:r>
        <w:t xml:space="preserve">) : même « CONFIRMED », elle ne vaut ni confirmation signée ni quittance. Seuls la confirmation signée serveur à serveur et le relevé du compte public font foi.</w:t>
      </w:r>
    </w:p>
    <w:p>
      <w:pPr>
        <w:pStyle w:val="BodyText"/>
      </w:pPr>
      <w:r>
        <w:rPr>
          <w:b/>
          <w:bCs/>
        </w:rPr>
        <w:t xml:space="preserve">Bac à sable.</w:t>
      </w:r>
      <w:r>
        <w:t xml:space="preserve"> </w:t>
      </w:r>
      <w:r>
        <w:t xml:space="preserve">Avec une clé de test, les numéros suivants pilotent le moteur de tentatives de BitriPay et permettent la recette de chaque issue sans opérateur :</w:t>
      </w:r>
      <w:r>
        <w:t xml:space="preserve"> </w:t>
      </w:r>
      <w:r>
        <w:rPr>
          <w:rStyle w:val="VerbatimChar"/>
        </w:rPr>
        <w:t xml:space="preserve">+243000000501</w:t>
      </w:r>
      <w:r>
        <w:t xml:space="preserve"> </w:t>
      </w:r>
      <w:r>
        <w:t xml:space="preserve">réussite ;</w:t>
      </w:r>
      <w:r>
        <w:t xml:space="preserve"> </w:t>
      </w:r>
      <w:r>
        <w:rPr>
          <w:rStyle w:val="VerbatimChar"/>
        </w:rPr>
        <w:t xml:space="preserve">+243000000404</w:t>
      </w:r>
      <w:r>
        <w:t xml:space="preserve"> </w:t>
      </w:r>
      <w:r>
        <w:t xml:space="preserve">portefeuille introuvable ;</w:t>
      </w:r>
      <w:r>
        <w:t xml:space="preserve"> </w:t>
      </w:r>
      <w:r>
        <w:rPr>
          <w:rStyle w:val="VerbatimChar"/>
        </w:rPr>
        <w:t xml:space="preserve">+243000000408</w:t>
      </w:r>
      <w:r>
        <w:t xml:space="preserve"> </w:t>
      </w:r>
      <w:r>
        <w:t xml:space="preserve">résultat ambigu (</w:t>
      </w:r>
      <w:r>
        <w:rPr>
          <w:rStyle w:val="VerbatimChar"/>
        </w:rPr>
        <w:t xml:space="preserve">payment_intent.ambiguous_hold</w:t>
      </w:r>
      <w:r>
        <w:t xml:space="preserve">) ;</w:t>
      </w:r>
      <w:r>
        <w:t xml:space="preserve"> </w:t>
      </w:r>
      <w:r>
        <w:rPr>
          <w:rStyle w:val="VerbatimChar"/>
        </w:rPr>
        <w:t xml:space="preserve">+243000000500</w:t>
      </w:r>
      <w:r>
        <w:t xml:space="preserve"> </w:t>
      </w:r>
      <w:r>
        <w:t xml:space="preserve">délai puis réussite ;</w:t>
      </w:r>
      <w:r>
        <w:t xml:space="preserve"> </w:t>
      </w:r>
      <w:r>
        <w:rPr>
          <w:rStyle w:val="VerbatimChar"/>
        </w:rPr>
        <w:t xml:space="preserve">+243000000503</w:t>
      </w:r>
      <w:r>
        <w:t xml:space="preserve"> </w:t>
      </w:r>
      <w:r>
        <w:t xml:space="preserve">opérateur indisponible ; tout numéro finissant par</w:t>
      </w:r>
      <w:r>
        <w:t xml:space="preserve"> </w:t>
      </w:r>
      <w:r>
        <w:rPr>
          <w:rStyle w:val="VerbatimChar"/>
        </w:rPr>
        <w:t xml:space="preserve">0000</w:t>
      </w:r>
      <w:r>
        <w:t xml:space="preserve"> </w:t>
      </w:r>
      <w:r>
        <w:t xml:space="preserve">refus du payeur. Les autres services de BitriPay (transferts, virements groupés, change, abonnements, crédit, diaspora, paiements hors ligne, agents d’IA)</w:t>
      </w:r>
      <w:r>
        <w:t xml:space="preserve"> </w:t>
      </w:r>
      <w:r>
        <w:rPr>
          <w:b/>
          <w:bCs/>
        </w:rPr>
        <w:t xml:space="preserve">ne sont pas raccordés</w:t>
      </w:r>
      <w:r>
        <w:t xml:space="preserve"> </w:t>
      </w:r>
      <w:r>
        <w:t xml:space="preserve">: ils sortent du périmètre d’une recette publique et exigeraient chacun une base légale et une convention propres.</w:t>
      </w:r>
    </w:p>
    <w:bookmarkEnd w:id="232"/>
    <w:bookmarkEnd w:id="233"/>
    <w:bookmarkStart w:id="254" w:name="Xffaa8886a3c8f9c5cd6a9b1edac510bf94ddbe2"/>
    <w:p>
      <w:pPr>
        <w:pStyle w:val="Heading1"/>
      </w:pPr>
      <w:r>
        <w:t xml:space="preserve">23. Architecture des agents d’intelligence artificielle</w:t>
      </w:r>
    </w:p>
    <w:bookmarkStart w:id="234" w:name="doctrine-1"/>
    <w:p>
      <w:pPr>
        <w:pStyle w:val="Heading2"/>
      </w:pPr>
      <w:r>
        <w:t xml:space="preserve">23.1 Doctrine</w:t>
      </w:r>
    </w:p>
    <w:p>
      <w:pPr>
        <w:pStyle w:val="FirstParagraph"/>
      </w:pPr>
      <w:r>
        <w:t xml:space="preserve">L’IA de KINSHASA MOSOLO</w:t>
      </w:r>
      <w:r>
        <w:t xml:space="preserve"> </w:t>
      </w:r>
      <w:r>
        <w:rPr>
          <w:b/>
          <w:bCs/>
        </w:rPr>
        <w:t xml:space="preserve">détecte, explique, priorise, rédige et recommande</w:t>
      </w:r>
      <w:r>
        <w:t xml:space="preserve">. Elle ne décide ni n’exécute aucun acte ayant un effet juridique ou financier. Chaque agent fonctionne derrière une</w:t>
      </w:r>
      <w:r>
        <w:t xml:space="preserve"> </w:t>
      </w:r>
      <w:r>
        <w:rPr>
          <w:b/>
          <w:bCs/>
        </w:rPr>
        <w:t xml:space="preserve">passerelle d’IA</w:t>
      </w:r>
      <w:r>
        <w:t xml:space="preserve"> </w:t>
      </w:r>
      <w:r>
        <w:t xml:space="preserve">(AI Gateway) qui contrôle ses accès aux données, ses outils, ses journaux et ses limites.</w:t>
      </w:r>
    </w:p>
    <w:p>
      <w:pPr>
        <w:pStyle w:val="BodyText"/>
      </w:pPr>
      <w:r>
        <w:rPr>
          <w:b/>
          <w:bCs/>
        </w:rPr>
        <w:t xml:space="preserve">Aucun agent ne peut, de lui-même :</w:t>
      </w:r>
      <w:r>
        <w:t xml:space="preserve"> </w:t>
      </w:r>
      <w:r>
        <w:t xml:space="preserve">créer une taxe ; imposer une pénalité ; déterminer la propriété définitive ; saisir un bien ; suspendre un droit d’un citoyen ; approuver une exonération ; clore un recours ; transférer de l’argent ; modifier un compte bénéficiaire ; détruire un enregistrement d’audit. Ces interdits sont</w:t>
      </w:r>
      <w:r>
        <w:t xml:space="preserve"> </w:t>
      </w:r>
      <w:r>
        <w:rPr>
          <w:b/>
          <w:bCs/>
        </w:rPr>
        <w:t xml:space="preserve">techniques</w:t>
      </w:r>
      <w:r>
        <w:t xml:space="preserve"> </w:t>
      </w:r>
      <w:r>
        <w:t xml:space="preserve">: les agents n’ont pas de droits d’écriture sur les domaines concernés ; leurs sorties sont des objets</w:t>
      </w:r>
      <w:r>
        <w:t xml:space="preserve"> </w:t>
      </w:r>
      <w:r>
        <w:rPr>
          <w:rStyle w:val="VerbatimChar"/>
        </w:rPr>
        <w:t xml:space="preserve">AIRecommendation</w:t>
      </w:r>
      <w:r>
        <w:t xml:space="preserve"> </w:t>
      </w:r>
      <w:r>
        <w:t xml:space="preserve">qu’un humain habilité accepte, modifie ou rejette.</w:t>
      </w:r>
    </w:p>
    <w:bookmarkEnd w:id="234"/>
    <w:bookmarkStart w:id="235" w:name="catalogue-des-agents"/>
    <w:p>
      <w:pPr>
        <w:pStyle w:val="Heading2"/>
      </w:pPr>
      <w:r>
        <w:t xml:space="preserve">23.2 Catalogue des agents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584"/>
        <w:gridCol w:w="1584"/>
        <w:gridCol w:w="1584"/>
        <w:gridCol w:w="1584"/>
        <w:gridCol w:w="1584"/>
      </w:tblGrid>
      <w:tr>
        <w:trPr>
          <w:tblHeader w:val="on"/>
        </w:trPr>
        <w:tc>
          <w:tcPr>
            <w:shd w:val="clear" w:color="auto" w:fill="232C6B"/>
          </w:tcPr>
          <w:p>
            <w:pPr>
              <w:pStyle w:val="Compact"/>
            </w:pPr>
            <w:r>
              <w:rPr>
                <w:b/>
                <w:color w:val="FFFFFF"/>
                <w:sz w:val="17"/>
              </w:rPr>
              <w:t xml:space="preserve">Agent</w:t>
            </w:r>
          </w:p>
        </w:tc>
        <w:tc>
          <w:tcPr>
            <w:shd w:val="clear" w:color="auto" w:fill="232C6B"/>
          </w:tcPr>
          <w:p>
            <w:pPr>
              <w:pStyle w:val="Compact"/>
            </w:pPr>
            <w:r>
              <w:rPr>
                <w:b/>
                <w:color w:val="FFFFFF"/>
                <w:sz w:val="17"/>
              </w:rPr>
              <w:t xml:space="preserve">Mission</w:t>
            </w:r>
          </w:p>
        </w:tc>
        <w:tc>
          <w:tcPr>
            <w:shd w:val="clear" w:color="auto" w:fill="232C6B"/>
          </w:tcPr>
          <w:p>
            <w:pPr>
              <w:pStyle w:val="Compact"/>
            </w:pPr>
            <w:r>
              <w:rPr>
                <w:b/>
                <w:color w:val="FFFFFF"/>
                <w:sz w:val="17"/>
              </w:rPr>
              <w:t xml:space="preserve">Données accessibles</w:t>
            </w:r>
          </w:p>
        </w:tc>
        <w:tc>
          <w:tcPr>
            <w:shd w:val="clear" w:color="auto" w:fill="232C6B"/>
          </w:tcPr>
          <w:p>
            <w:pPr>
              <w:pStyle w:val="Compact"/>
            </w:pPr>
            <w:r>
              <w:rPr>
                <w:b/>
                <w:color w:val="FFFFFF"/>
                <w:sz w:val="17"/>
              </w:rPr>
              <w:t xml:space="preserve">Sorties</w:t>
            </w:r>
          </w:p>
        </w:tc>
        <w:tc>
          <w:tcPr>
            <w:shd w:val="clear" w:color="auto" w:fill="232C6B"/>
          </w:tcPr>
          <w:p>
            <w:pPr>
              <w:pStyle w:val="Compact"/>
            </w:pPr>
            <w:r>
              <w:rPr>
                <w:b/>
                <w:color w:val="FFFFFF"/>
                <w:sz w:val="17"/>
              </w:rPr>
              <w:t xml:space="preserve">Validation humaine</w:t>
            </w:r>
          </w:p>
        </w:tc>
      </w:tr>
      <w:tr>
        <w:tc>
          <w:tcPr/>
          <w:p>
            <w:pPr>
              <w:pStyle w:val="Compact"/>
            </w:pPr>
            <w:r>
              <w:rPr>
                <w:b/>
                <w:bCs/>
                <w:sz w:val="17"/>
              </w:rPr>
              <w:t xml:space="preserve">Découverte des recettes</w:t>
            </w:r>
          </w:p>
        </w:tc>
        <w:tc>
          <w:tcPr/>
          <w:p>
            <w:pPr>
              <w:pStyle w:val="Compact"/>
            </w:pPr>
            <w:r>
              <w:rPr>
                <w:sz w:val="17"/>
              </w:rPr>
              <w:t xml:space="preserve">Identifier sous-enregistrement, activités non déclarées, actifs publics non valorisés</w:t>
            </w:r>
          </w:p>
        </w:tc>
        <w:tc>
          <w:tcPr/>
          <w:p>
            <w:pPr>
              <w:pStyle w:val="Compact"/>
            </w:pPr>
            <w:r>
              <w:rPr>
                <w:sz w:val="17"/>
              </w:rPr>
              <w:t xml:space="preserve">Agrégats, objets, signaux partenaires pseudonymisés</w:t>
            </w:r>
          </w:p>
        </w:tc>
        <w:tc>
          <w:tcPr/>
          <w:p>
            <w:pPr>
              <w:pStyle w:val="Compact"/>
            </w:pPr>
            <w:r>
              <w:rPr>
                <w:sz w:val="17"/>
              </w:rPr>
              <w:t xml:space="preserve">Fiches d’opportunité (§ 8.1)</w:t>
            </w:r>
          </w:p>
        </w:tc>
        <w:tc>
          <w:tcPr/>
          <w:p>
            <w:pPr>
              <w:pStyle w:val="Compact"/>
            </w:pPr>
            <w:r>
              <w:rPr>
                <w:sz w:val="17"/>
              </w:rPr>
              <w:t xml:space="preserve">Analyste + juriste + comité</w:t>
            </w:r>
          </w:p>
        </w:tc>
      </w:tr>
      <w:tr>
        <w:tc>
          <w:tcPr>
            <w:shd w:val="clear" w:color="auto" w:fill="F5F7FB"/>
          </w:tcPr>
          <w:p>
            <w:pPr>
              <w:pStyle w:val="Compact"/>
            </w:pPr>
            <w:r>
              <w:rPr>
                <w:b/>
                <w:bCs/>
                <w:sz w:val="17"/>
              </w:rPr>
              <w:t xml:space="preserve">Enrôlement</w:t>
            </w:r>
          </w:p>
        </w:tc>
        <w:tc>
          <w:tcPr>
            <w:shd w:val="clear" w:color="auto" w:fill="F5F7FB"/>
          </w:tcPr>
          <w:p>
            <w:pPr>
              <w:pStyle w:val="Compact"/>
            </w:pPr>
            <w:r>
              <w:rPr>
                <w:sz w:val="17"/>
              </w:rPr>
              <w:t xml:space="preserve">Guider l’inscription, détecter les pièces manquantes, réutiliser les données vérifiées</w:t>
            </w:r>
          </w:p>
        </w:tc>
        <w:tc>
          <w:tcPr>
            <w:shd w:val="clear" w:color="auto" w:fill="F5F7FB"/>
          </w:tcPr>
          <w:p>
            <w:pPr>
              <w:pStyle w:val="Compact"/>
            </w:pPr>
            <w:r>
              <w:rPr>
                <w:sz w:val="17"/>
              </w:rPr>
              <w:t xml:space="preserve">Données du compte en cours</w:t>
            </w:r>
          </w:p>
        </w:tc>
        <w:tc>
          <w:tcPr>
            <w:shd w:val="clear" w:color="auto" w:fill="F5F7FB"/>
          </w:tcPr>
          <w:p>
            <w:pPr>
              <w:pStyle w:val="Compact"/>
            </w:pPr>
            <w:r>
              <w:rPr>
                <w:sz w:val="17"/>
              </w:rPr>
              <w:t xml:space="preserve">Suggestions, pré-remplissage</w:t>
            </w:r>
          </w:p>
        </w:tc>
        <w:tc>
          <w:tcPr>
            <w:shd w:val="clear" w:color="auto" w:fill="F5F7FB"/>
          </w:tcPr>
          <w:p>
            <w:pPr>
              <w:pStyle w:val="Compact"/>
            </w:pPr>
            <w:r>
              <w:rPr>
                <w:sz w:val="17"/>
              </w:rPr>
              <w:t xml:space="preserve">Le contribuable confirme</w:t>
            </w:r>
          </w:p>
        </w:tc>
      </w:tr>
      <w:tr>
        <w:tc>
          <w:tcPr/>
          <w:p>
            <w:pPr>
              <w:pStyle w:val="Compact"/>
            </w:pPr>
            <w:r>
              <w:rPr>
                <w:b/>
                <w:bCs/>
                <w:sz w:val="17"/>
              </w:rPr>
              <w:t xml:space="preserve">Apprentissage de l’usager</w:t>
            </w:r>
          </w:p>
        </w:tc>
        <w:tc>
          <w:tcPr/>
          <w:p>
            <w:pPr>
              <w:pStyle w:val="Compact"/>
            </w:pPr>
            <w:r>
              <w:rPr>
                <w:sz w:val="17"/>
              </w:rPr>
              <w:t xml:space="preserve">Expliquer obligations, échéances, pièces, moyens de paiement, droits de recours, usage de la plateforme — en français simple, lingala et autres langues</w:t>
            </w:r>
          </w:p>
        </w:tc>
        <w:tc>
          <w:tcPr/>
          <w:p>
            <w:pPr>
              <w:pStyle w:val="Compact"/>
            </w:pPr>
            <w:r>
              <w:rPr>
                <w:sz w:val="17"/>
              </w:rPr>
              <w:t xml:space="preserve">Base de connaissances publique + données du compte de l’usager authentifié</w:t>
            </w:r>
          </w:p>
        </w:tc>
        <w:tc>
          <w:tcPr/>
          <w:p>
            <w:pPr>
              <w:pStyle w:val="Compact"/>
            </w:pPr>
            <w:r>
              <w:rPr>
                <w:sz w:val="17"/>
              </w:rPr>
              <w:t xml:space="preserve">Réponses sourcées (citation du texte ou de la page d’aide)</w:t>
            </w:r>
          </w:p>
        </w:tc>
        <w:tc>
          <w:tcPr/>
          <w:p>
            <w:pPr>
              <w:pStyle w:val="Compact"/>
            </w:pPr>
            <w:r>
              <w:rPr>
                <w:sz w:val="17"/>
              </w:rPr>
              <w:t xml:space="preserve">Réponses sans effet juridique ; renvoi vers un humain</w:t>
            </w:r>
          </w:p>
        </w:tc>
      </w:tr>
      <w:tr>
        <w:tc>
          <w:tcPr>
            <w:shd w:val="clear" w:color="auto" w:fill="F5F7FB"/>
          </w:tcPr>
          <w:p>
            <w:pPr>
              <w:pStyle w:val="Compact"/>
            </w:pPr>
            <w:r>
              <w:rPr>
                <w:b/>
                <w:bCs/>
                <w:sz w:val="17"/>
              </w:rPr>
              <w:t xml:space="preserve">Copilote des agents publics</w:t>
            </w:r>
          </w:p>
        </w:tc>
        <w:tc>
          <w:tcPr>
            <w:shd w:val="clear" w:color="auto" w:fill="F5F7FB"/>
          </w:tcPr>
          <w:p>
            <w:pPr>
              <w:pStyle w:val="Compact"/>
            </w:pPr>
            <w:r>
              <w:rPr>
                <w:sz w:val="17"/>
              </w:rPr>
              <w:t xml:space="preserve">Résumés de dossiers, guidage procédural, projets de documents, prochaines étapes, priorisation, formation</w:t>
            </w:r>
          </w:p>
        </w:tc>
        <w:tc>
          <w:tcPr>
            <w:shd w:val="clear" w:color="auto" w:fill="F5F7FB"/>
          </w:tcPr>
          <w:p>
            <w:pPr>
              <w:pStyle w:val="Compact"/>
            </w:pPr>
            <w:r>
              <w:rPr>
                <w:sz w:val="17"/>
              </w:rPr>
              <w:t xml:space="preserve">Dossiers dans le périmètre de l’utilisateur</w:t>
            </w:r>
          </w:p>
        </w:tc>
        <w:tc>
          <w:tcPr>
            <w:shd w:val="clear" w:color="auto" w:fill="F5F7FB"/>
          </w:tcPr>
          <w:p>
            <w:pPr>
              <w:pStyle w:val="Compact"/>
            </w:pPr>
            <w:r>
              <w:rPr>
                <w:sz w:val="17"/>
              </w:rPr>
              <w:t xml:space="preserve">Brouillons, résumés</w:t>
            </w:r>
          </w:p>
        </w:tc>
        <w:tc>
          <w:tcPr>
            <w:shd w:val="clear" w:color="auto" w:fill="F5F7FB"/>
          </w:tcPr>
          <w:p>
            <w:pPr>
              <w:pStyle w:val="Compact"/>
            </w:pPr>
            <w:r>
              <w:rPr>
                <w:sz w:val="17"/>
              </w:rPr>
              <w:t xml:space="preserve">L’agent public signe</w:t>
            </w:r>
          </w:p>
        </w:tc>
      </w:tr>
      <w:tr>
        <w:tc>
          <w:tcPr/>
          <w:p>
            <w:pPr>
              <w:pStyle w:val="Compact"/>
            </w:pPr>
            <w:r>
              <w:rPr>
                <w:b/>
                <w:bCs/>
                <w:sz w:val="17"/>
              </w:rPr>
              <w:t xml:space="preserve">Veille juridique</w:t>
            </w:r>
          </w:p>
        </w:tc>
        <w:tc>
          <w:tcPr/>
          <w:p>
            <w:pPr>
              <w:pStyle w:val="Compact"/>
            </w:pPr>
            <w:r>
              <w:rPr>
                <w:sz w:val="17"/>
              </w:rPr>
              <w:t xml:space="preserve">Suivre les textes, repérer règles expirées et conflits</w:t>
            </w:r>
          </w:p>
        </w:tc>
        <w:tc>
          <w:tcPr/>
          <w:p>
            <w:pPr>
              <w:pStyle w:val="Compact"/>
            </w:pPr>
            <w:r>
              <w:rPr>
                <w:sz w:val="17"/>
              </w:rPr>
              <w:t xml:space="preserve">Registre juridique, textes officiels</w:t>
            </w:r>
          </w:p>
        </w:tc>
        <w:tc>
          <w:tcPr/>
          <w:p>
            <w:pPr>
              <w:pStyle w:val="Compact"/>
            </w:pPr>
            <w:r>
              <w:rPr>
                <w:sz w:val="17"/>
              </w:rPr>
              <w:t xml:space="preserve">Alertes, propositions de fiches</w:t>
            </w:r>
          </w:p>
        </w:tc>
        <w:tc>
          <w:tcPr/>
          <w:p>
            <w:pPr>
              <w:pStyle w:val="Compact"/>
            </w:pPr>
            <w:r>
              <w:rPr>
                <w:sz w:val="17"/>
              </w:rPr>
              <w:t xml:space="preserve">Juristes ;</w:t>
            </w:r>
            <w:r>
              <w:rPr>
                <w:sz w:val="17"/>
              </w:rPr>
              <w:t xml:space="preserve"> </w:t>
            </w:r>
            <w:r>
              <w:rPr>
                <w:b/>
                <w:bCs/>
                <w:sz w:val="17"/>
              </w:rPr>
              <w:t xml:space="preserve">aucune publication</w:t>
            </w:r>
          </w:p>
        </w:tc>
      </w:tr>
      <w:tr>
        <w:tc>
          <w:tcPr>
            <w:shd w:val="clear" w:color="auto" w:fill="F5F7FB"/>
          </w:tcPr>
          <w:p>
            <w:pPr>
              <w:pStyle w:val="Compact"/>
            </w:pPr>
            <w:r>
              <w:rPr>
                <w:b/>
                <w:bCs/>
                <w:sz w:val="17"/>
              </w:rPr>
              <w:t xml:space="preserve">Intelligence locative</w:t>
            </w:r>
          </w:p>
        </w:tc>
        <w:tc>
          <w:tcPr>
            <w:shd w:val="clear" w:color="auto" w:fill="F5F7FB"/>
          </w:tcPr>
          <w:p>
            <w:pPr>
              <w:pStyle w:val="Compact"/>
            </w:pPr>
            <w:r>
              <w:rPr>
                <w:sz w:val="17"/>
              </w:rPr>
              <w:t xml:space="preserve">Repérer biens probablement loués, incohérences d’occupation, zones à vérifier</w:t>
            </w:r>
          </w:p>
        </w:tc>
        <w:tc>
          <w:tcPr>
            <w:shd w:val="clear" w:color="auto" w:fill="F5F7FB"/>
          </w:tcPr>
          <w:p>
            <w:pPr>
              <w:pStyle w:val="Compact"/>
            </w:pPr>
            <w:r>
              <w:rPr>
                <w:sz w:val="17"/>
              </w:rPr>
              <w:t xml:space="preserve">Objets, déclarations, signaux sous protocole</w:t>
            </w:r>
          </w:p>
        </w:tc>
        <w:tc>
          <w:tcPr>
            <w:shd w:val="clear" w:color="auto" w:fill="F5F7FB"/>
          </w:tcPr>
          <w:p>
            <w:pPr>
              <w:pStyle w:val="Compact"/>
            </w:pPr>
            <w:r>
              <w:rPr>
                <w:sz w:val="17"/>
              </w:rPr>
              <w:t xml:space="preserve">Listes de vérification avec scores expliqués</w:t>
            </w:r>
          </w:p>
        </w:tc>
        <w:tc>
          <w:tcPr>
            <w:shd w:val="clear" w:color="auto" w:fill="F5F7FB"/>
          </w:tcPr>
          <w:p>
            <w:pPr>
              <w:pStyle w:val="Compact"/>
            </w:pPr>
            <w:r>
              <w:rPr>
                <w:sz w:val="17"/>
              </w:rPr>
              <w:t xml:space="preserve">Superviseur</w:t>
            </w:r>
          </w:p>
        </w:tc>
      </w:tr>
      <w:tr>
        <w:tc>
          <w:tcPr/>
          <w:p>
            <w:pPr>
              <w:pStyle w:val="Compact"/>
            </w:pPr>
            <w:r>
              <w:rPr>
                <w:b/>
                <w:bCs/>
                <w:sz w:val="17"/>
              </w:rPr>
              <w:t xml:space="preserve">Missions terrain</w:t>
            </w:r>
          </w:p>
        </w:tc>
        <w:tc>
          <w:tcPr/>
          <w:p>
            <w:pPr>
              <w:pStyle w:val="Compact"/>
            </w:pPr>
            <w:r>
              <w:rPr>
                <w:sz w:val="17"/>
              </w:rPr>
              <w:t xml:space="preserve">Planifier des tournées efficaces, prioriser les objets, préparer les dossiers</w:t>
            </w:r>
          </w:p>
        </w:tc>
        <w:tc>
          <w:tcPr/>
          <w:p>
            <w:pPr>
              <w:pStyle w:val="Compact"/>
            </w:pPr>
            <w:r>
              <w:rPr>
                <w:sz w:val="17"/>
              </w:rPr>
              <w:t xml:space="preserve">Objets de la zone, contraintes d’équipe</w:t>
            </w:r>
          </w:p>
        </w:tc>
        <w:tc>
          <w:tcPr/>
          <w:p>
            <w:pPr>
              <w:pStyle w:val="Compact"/>
            </w:pPr>
            <w:r>
              <w:rPr>
                <w:sz w:val="17"/>
              </w:rPr>
              <w:t xml:space="preserve">Plans de mission</w:t>
            </w:r>
          </w:p>
        </w:tc>
        <w:tc>
          <w:tcPr/>
          <w:p>
            <w:pPr>
              <w:pStyle w:val="Compact"/>
            </w:pPr>
            <w:r>
              <w:rPr>
                <w:sz w:val="17"/>
              </w:rPr>
              <w:t xml:space="preserve">Superviseur</w:t>
            </w:r>
          </w:p>
        </w:tc>
      </w:tr>
      <w:tr>
        <w:tc>
          <w:tcPr>
            <w:shd w:val="clear" w:color="auto" w:fill="F5F7FB"/>
          </w:tcPr>
          <w:p>
            <w:pPr>
              <w:pStyle w:val="Compact"/>
            </w:pPr>
            <w:r>
              <w:rPr>
                <w:b/>
                <w:bCs/>
                <w:sz w:val="17"/>
              </w:rPr>
              <w:t xml:space="preserve">Rapprochement</w:t>
            </w:r>
          </w:p>
        </w:tc>
        <w:tc>
          <w:tcPr>
            <w:shd w:val="clear" w:color="auto" w:fill="F5F7FB"/>
          </w:tcPr>
          <w:p>
            <w:pPr>
              <w:pStyle w:val="Compact"/>
            </w:pPr>
            <w:r>
              <w:rPr>
                <w:sz w:val="17"/>
              </w:rPr>
              <w:t xml:space="preserve">Proposer des appariements complexes, expliquer les écarts</w:t>
            </w:r>
          </w:p>
        </w:tc>
        <w:tc>
          <w:tcPr>
            <w:shd w:val="clear" w:color="auto" w:fill="F5F7FB"/>
          </w:tcPr>
          <w:p>
            <w:pPr>
              <w:pStyle w:val="Compact"/>
            </w:pPr>
            <w:r>
              <w:rPr>
                <w:sz w:val="17"/>
              </w:rPr>
              <w:t xml:space="preserve">Paiements, relevés, obligations</w:t>
            </w:r>
          </w:p>
        </w:tc>
        <w:tc>
          <w:tcPr>
            <w:shd w:val="clear" w:color="auto" w:fill="F5F7FB"/>
          </w:tcPr>
          <w:p>
            <w:pPr>
              <w:pStyle w:val="Compact"/>
            </w:pPr>
            <w:r>
              <w:rPr>
                <w:sz w:val="17"/>
              </w:rPr>
              <w:t xml:space="preserve">Propositions d’appariement</w:t>
            </w:r>
          </w:p>
        </w:tc>
        <w:tc>
          <w:tcPr>
            <w:shd w:val="clear" w:color="auto" w:fill="F5F7FB"/>
          </w:tcPr>
          <w:p>
            <w:pPr>
              <w:pStyle w:val="Compact"/>
            </w:pPr>
            <w:r>
              <w:rPr>
                <w:sz w:val="17"/>
              </w:rPr>
              <w:t xml:space="preserve">Analyste (quatre yeux au-delà des tolérances)</w:t>
            </w:r>
          </w:p>
        </w:tc>
      </w:tr>
      <w:tr>
        <w:tc>
          <w:tcPr/>
          <w:p>
            <w:pPr>
              <w:pStyle w:val="Compact"/>
            </w:pPr>
            <w:r>
              <w:rPr>
                <w:b/>
                <w:bCs/>
                <w:sz w:val="17"/>
              </w:rPr>
              <w:t xml:space="preserve">Détection de fraude</w:t>
            </w:r>
          </w:p>
        </w:tc>
        <w:tc>
          <w:tcPr/>
          <w:p>
            <w:pPr>
              <w:pStyle w:val="Compact"/>
            </w:pPr>
            <w:r>
              <w:rPr>
                <w:sz w:val="17"/>
              </w:rPr>
              <w:t xml:space="preserve">Identités dupliquées, exonérations suspectes, annulations anormales, collusions, activité géographique inhabituelle, réutilisation d’appareils, manipulation de quittances, changements de bénéficiaires irréguliers, baisses de recettes inexpliquées</w:t>
            </w:r>
          </w:p>
        </w:tc>
        <w:tc>
          <w:tcPr/>
          <w:p>
            <w:pPr>
              <w:pStyle w:val="Compact"/>
            </w:pPr>
            <w:r>
              <w:rPr>
                <w:sz w:val="17"/>
              </w:rPr>
              <w:t xml:space="preserve">Journaux, transactions, métadonnées</w:t>
            </w:r>
          </w:p>
        </w:tc>
        <w:tc>
          <w:tcPr/>
          <w:p>
            <w:pPr>
              <w:pStyle w:val="Compact"/>
            </w:pPr>
            <w:r>
              <w:rPr>
                <w:sz w:val="17"/>
              </w:rPr>
              <w:t xml:space="preserve">Alertes expliquées</w:t>
            </w:r>
          </w:p>
        </w:tc>
        <w:tc>
          <w:tcPr/>
          <w:p>
            <w:pPr>
              <w:pStyle w:val="Compact"/>
            </w:pPr>
            <w:r>
              <w:rPr>
                <w:sz w:val="17"/>
              </w:rPr>
              <w:t xml:space="preserve">Enquêteur</w:t>
            </w:r>
          </w:p>
        </w:tc>
      </w:tr>
      <w:tr>
        <w:tc>
          <w:tcPr>
            <w:shd w:val="clear" w:color="auto" w:fill="F5F7FB"/>
          </w:tcPr>
          <w:p>
            <w:pPr>
              <w:pStyle w:val="Compact"/>
            </w:pPr>
            <w:r>
              <w:rPr>
                <w:b/>
                <w:bCs/>
                <w:sz w:val="17"/>
              </w:rPr>
              <w:t xml:space="preserve">Prévision</w:t>
            </w:r>
          </w:p>
        </w:tc>
        <w:tc>
          <w:tcPr>
            <w:shd w:val="clear" w:color="auto" w:fill="F5F7FB"/>
          </w:tcPr>
          <w:p>
            <w:pPr>
              <w:pStyle w:val="Compact"/>
            </w:pPr>
            <w:r>
              <w:rPr>
                <w:sz w:val="17"/>
              </w:rPr>
              <w:t xml:space="preserve">Scénarios conservateur, attendu, ambitieux, avec hypothèses explicites</w:t>
            </w:r>
          </w:p>
        </w:tc>
        <w:tc>
          <w:tcPr>
            <w:shd w:val="clear" w:color="auto" w:fill="F5F7FB"/>
          </w:tcPr>
          <w:p>
            <w:pPr>
              <w:pStyle w:val="Compact"/>
            </w:pPr>
            <w:r>
              <w:rPr>
                <w:sz w:val="17"/>
              </w:rPr>
              <w:t xml:space="preserve">Séries historiques, base de référence</w:t>
            </w:r>
          </w:p>
        </w:tc>
        <w:tc>
          <w:tcPr>
            <w:shd w:val="clear" w:color="auto" w:fill="F5F7FB"/>
          </w:tcPr>
          <w:p>
            <w:pPr>
              <w:pStyle w:val="Compact"/>
            </w:pPr>
            <w:r>
              <w:rPr>
                <w:sz w:val="17"/>
              </w:rPr>
              <w:t xml:space="preserve">Prévisions + intervalles</w:t>
            </w:r>
          </w:p>
        </w:tc>
        <w:tc>
          <w:tcPr>
            <w:shd w:val="clear" w:color="auto" w:fill="F5F7FB"/>
          </w:tcPr>
          <w:p>
            <w:pPr>
              <w:pStyle w:val="Compact"/>
            </w:pPr>
            <w:r>
              <w:rPr>
                <w:sz w:val="17"/>
              </w:rPr>
              <w:t xml:space="preserve">Direction financière</w:t>
            </w:r>
          </w:p>
        </w:tc>
      </w:tr>
      <w:tr>
        <w:tc>
          <w:tcPr/>
          <w:p>
            <w:pPr>
              <w:pStyle w:val="Compact"/>
            </w:pPr>
            <w:r>
              <w:rPr>
                <w:b/>
                <w:bCs/>
                <w:sz w:val="17"/>
              </w:rPr>
              <w:t xml:space="preserve">Aide à la décision exécutive</w:t>
            </w:r>
          </w:p>
        </w:tc>
        <w:tc>
          <w:tcPr/>
          <w:p>
            <w:pPr>
              <w:pStyle w:val="Compact"/>
            </w:pPr>
            <w:r>
              <w:rPr>
                <w:sz w:val="17"/>
              </w:rPr>
              <w:t xml:space="preserve">Transformer les données en recommandations prêtes à décider</w:t>
            </w:r>
          </w:p>
        </w:tc>
        <w:tc>
          <w:tcPr/>
          <w:p>
            <w:pPr>
              <w:pStyle w:val="Compact"/>
            </w:pPr>
            <w:r>
              <w:rPr>
                <w:sz w:val="17"/>
              </w:rPr>
              <w:t xml:space="preserve">Agrégats</w:t>
            </w:r>
          </w:p>
        </w:tc>
        <w:tc>
          <w:tcPr/>
          <w:p>
            <w:pPr>
              <w:pStyle w:val="Compact"/>
            </w:pPr>
            <w:r>
              <w:rPr>
                <w:sz w:val="17"/>
              </w:rPr>
              <w:t xml:space="preserve">Notes de décision (options, effets, risques)</w:t>
            </w:r>
          </w:p>
        </w:tc>
        <w:tc>
          <w:tcPr/>
          <w:p>
            <w:pPr>
              <w:pStyle w:val="Compact"/>
            </w:pPr>
            <w:r>
              <w:rPr>
                <w:sz w:val="17"/>
              </w:rPr>
              <w:t xml:space="preserve">Gouverneur et autorités</w:t>
            </w:r>
          </w:p>
        </w:tc>
      </w:tr>
      <w:tr>
        <w:tc>
          <w:tcPr>
            <w:shd w:val="clear" w:color="auto" w:fill="F5F7FB"/>
          </w:tcPr>
          <w:p>
            <w:pPr>
              <w:pStyle w:val="Compact"/>
            </w:pPr>
            <w:r>
              <w:rPr>
                <w:b/>
                <w:bCs/>
                <w:sz w:val="17"/>
              </w:rPr>
              <w:t xml:space="preserve">Allocation des investissements</w:t>
            </w:r>
          </w:p>
        </w:tc>
        <w:tc>
          <w:tcPr>
            <w:shd w:val="clear" w:color="auto" w:fill="F5F7FB"/>
          </w:tcPr>
          <w:p>
            <w:pPr>
              <w:pStyle w:val="Compact"/>
            </w:pPr>
            <w:r>
              <w:rPr>
                <w:sz w:val="17"/>
              </w:rPr>
              <w:t xml:space="preserve">Proposer des scénarios d’emploi des fonds disponibles</w:t>
            </w:r>
          </w:p>
        </w:tc>
        <w:tc>
          <w:tcPr>
            <w:shd w:val="clear" w:color="auto" w:fill="F5F7FB"/>
          </w:tcPr>
          <w:p>
            <w:pPr>
              <w:pStyle w:val="Compact"/>
            </w:pPr>
            <w:r>
              <w:rPr>
                <w:sz w:val="17"/>
              </w:rPr>
              <w:t xml:space="preserve">Recettes réglées, budget, projets, indicateurs territoriaux</w:t>
            </w:r>
          </w:p>
        </w:tc>
        <w:tc>
          <w:tcPr>
            <w:shd w:val="clear" w:color="auto" w:fill="F5F7FB"/>
          </w:tcPr>
          <w:p>
            <w:pPr>
              <w:pStyle w:val="Compact"/>
            </w:pPr>
            <w:r>
              <w:rPr>
                <w:sz w:val="17"/>
              </w:rPr>
              <w:t xml:space="preserve">Scénarios (ch. 27)</w:t>
            </w:r>
          </w:p>
        </w:tc>
        <w:tc>
          <w:tcPr>
            <w:shd w:val="clear" w:color="auto" w:fill="F5F7FB"/>
          </w:tcPr>
          <w:p>
            <w:pPr>
              <w:pStyle w:val="Compact"/>
            </w:pPr>
            <w:r>
              <w:rPr>
                <w:sz w:val="17"/>
              </w:rPr>
              <w:t xml:space="preserve">Autorités budgétaires</w:t>
            </w:r>
          </w:p>
        </w:tc>
      </w:tr>
      <w:tr>
        <w:tc>
          <w:tcPr/>
          <w:p>
            <w:pPr>
              <w:pStyle w:val="Compact"/>
            </w:pPr>
            <w:r>
              <w:rPr>
                <w:b/>
                <w:bCs/>
                <w:sz w:val="17"/>
              </w:rPr>
              <w:t xml:space="preserve">Apprentissage continu</w:t>
            </w:r>
          </w:p>
        </w:tc>
        <w:tc>
          <w:tcPr/>
          <w:p>
            <w:pPr>
              <w:pStyle w:val="Compact"/>
            </w:pPr>
            <w:r>
              <w:rPr>
                <w:sz w:val="17"/>
              </w:rPr>
              <w:t xml:space="preserve">Améliorer les modèles à partir de corrections validées</w:t>
            </w:r>
          </w:p>
        </w:tc>
        <w:tc>
          <w:tcPr/>
          <w:p>
            <w:pPr>
              <w:pStyle w:val="Compact"/>
            </w:pPr>
            <w:r>
              <w:rPr>
                <w:sz w:val="17"/>
              </w:rPr>
              <w:t xml:space="preserve">Jeux de données</w:t>
            </w:r>
            <w:r>
              <w:rPr>
                <w:sz w:val="17"/>
              </w:rPr>
              <w:t xml:space="preserve"> </w:t>
            </w:r>
            <w:r>
              <w:rPr>
                <w:b/>
                <w:bCs/>
                <w:sz w:val="17"/>
              </w:rPr>
              <w:t xml:space="preserve">approuvés</w:t>
            </w:r>
          </w:p>
        </w:tc>
        <w:tc>
          <w:tcPr/>
          <w:p>
            <w:pPr>
              <w:pStyle w:val="Compact"/>
            </w:pPr>
            <w:r>
              <w:rPr>
                <w:sz w:val="17"/>
              </w:rPr>
              <w:t xml:space="preserve">Nouvelles versions candidates</w:t>
            </w:r>
          </w:p>
        </w:tc>
        <w:tc>
          <w:tcPr/>
          <w:p>
            <w:pPr>
              <w:pStyle w:val="Compact"/>
            </w:pPr>
            <w:r>
              <w:rPr>
                <w:sz w:val="17"/>
              </w:rPr>
              <w:t xml:space="preserve">Comité des modèles</w:t>
            </w:r>
          </w:p>
        </w:tc>
      </w:tr>
    </w:tbl>
    <w:bookmarkEnd w:id="235"/>
    <w:bookmarkStart w:id="239" w:name="flux-de-travail-dun-agent"/>
    <w:p>
      <w:pPr>
        <w:pStyle w:val="Heading2"/>
      </w:pPr>
      <w:r>
        <w:t xml:space="preserve">23.3 Flux de travail d’un agent</w:t>
      </w:r>
    </w:p>
    <w:p>
      <w:pPr>
        <w:pStyle w:val="FirstParagraph"/>
      </w:pPr>
      <w:r>
        <w:drawing>
          <wp:inline>
            <wp:extent cx="6108700" cy="2633597"/>
            <wp:effectExtent b="0" l="0" r="0" t="0"/>
            <wp:docPr descr="" title="" id="237" name="Picture"/>
            <a:graphic>
              <a:graphicData uri="http://schemas.openxmlformats.org/drawingml/2006/picture">
                <pic:pic>
                  <pic:nvPicPr>
                    <pic:cNvPr descr="figures/mermaid/mmd-31be79e76ad1.png" id="238" name="Picture"/>
                    <pic:cNvPicPr>
                      <a:picLocks noChangeArrowheads="1" noChangeAspect="1"/>
                    </pic:cNvPicPr>
                  </pic:nvPicPr>
                  <pic:blipFill>
                    <a:blip r:embed="rId236"/>
                    <a:stretch>
                      <a:fillRect/>
                    </a:stretch>
                  </pic:blipFill>
                  <pic:spPr bwMode="auto">
                    <a:xfrm>
                      <a:off x="0" y="0"/>
                      <a:ext cx="6108700" cy="2633597"/>
                    </a:xfrm>
                    <a:prstGeom prst="rect">
                      <a:avLst/>
                    </a:prstGeom>
                    <a:noFill/>
                    <a:ln w="9525">
                      <a:noFill/>
                      <a:headEnd/>
                      <a:tailEnd/>
                    </a:ln>
                  </pic:spPr>
                </pic:pic>
              </a:graphicData>
            </a:graphic>
          </wp:inline>
        </w:drawing>
      </w:r>
    </w:p>
    <w:bookmarkEnd w:id="239"/>
    <w:bookmarkStart w:id="240" w:name="gouvernance-des-modèles"/>
    <w:p>
      <w:pPr>
        <w:pStyle w:val="Heading2"/>
      </w:pPr>
      <w:r>
        <w:t xml:space="preserve">23.4 Gouvernance des modèles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Exigence</w:t>
            </w:r>
          </w:p>
        </w:tc>
        <w:tc>
          <w:tcPr>
            <w:shd w:val="clear" w:color="auto" w:fill="232C6B"/>
          </w:tcPr>
          <w:p>
            <w:pPr>
              <w:pStyle w:val="Compact"/>
            </w:pPr>
            <w:r>
              <w:rPr>
                <w:b/>
                <w:color w:val="FFFFFF"/>
                <w:sz w:val="17"/>
              </w:rPr>
              <w:t xml:space="preserve">Mise en œuvre</w:t>
            </w:r>
          </w:p>
        </w:tc>
      </w:tr>
      <w:tr>
        <w:tc>
          <w:tcPr/>
          <w:p>
            <w:pPr>
              <w:pStyle w:val="Compact"/>
            </w:pPr>
            <w:r>
              <w:rPr>
                <w:sz w:val="17"/>
              </w:rPr>
              <w:t xml:space="preserve">Jeux d’entraînement approuvés</w:t>
            </w:r>
          </w:p>
        </w:tc>
        <w:tc>
          <w:tcPr/>
          <w:p>
            <w:pPr>
              <w:pStyle w:val="Compact"/>
            </w:pPr>
            <w:r>
              <w:rPr>
                <w:sz w:val="17"/>
              </w:rPr>
              <w:t xml:space="preserve">Registre des jeux de données (source, base légale, période, pseudonymisation, validation) ; aucune donnée sensible non approuvée</w:t>
            </w:r>
          </w:p>
        </w:tc>
      </w:tr>
      <w:tr>
        <w:tc>
          <w:tcPr>
            <w:shd w:val="clear" w:color="auto" w:fill="F5F7FB"/>
          </w:tcPr>
          <w:p>
            <w:pPr>
              <w:pStyle w:val="Compact"/>
            </w:pPr>
            <w:r>
              <w:rPr>
                <w:sz w:val="17"/>
              </w:rPr>
              <w:t xml:space="preserve">Pas de réentraînement silencieux</w:t>
            </w:r>
          </w:p>
        </w:tc>
        <w:tc>
          <w:tcPr>
            <w:shd w:val="clear" w:color="auto" w:fill="F5F7FB"/>
          </w:tcPr>
          <w:p>
            <w:pPr>
              <w:pStyle w:val="Compact"/>
            </w:pPr>
            <w:r>
              <w:rPr>
                <w:sz w:val="17"/>
              </w:rPr>
              <w:t xml:space="preserve">L’apprentissage continu produit des</w:t>
            </w:r>
            <w:r>
              <w:rPr>
                <w:sz w:val="17"/>
              </w:rPr>
              <w:t xml:space="preserve"> </w:t>
            </w:r>
            <w:r>
              <w:rPr>
                <w:b/>
                <w:bCs/>
                <w:sz w:val="17"/>
              </w:rPr>
              <w:t xml:space="preserve">candidats</w:t>
            </w:r>
            <w:r>
              <w:rPr>
                <w:sz w:val="17"/>
              </w:rPr>
              <w:t xml:space="preserve"> </w:t>
            </w:r>
            <w:r>
              <w:rPr>
                <w:sz w:val="17"/>
              </w:rPr>
              <w:t xml:space="preserve">; mise en production uniquement après validation</w:t>
            </w:r>
          </w:p>
        </w:tc>
      </w:tr>
      <w:tr>
        <w:tc>
          <w:tcPr/>
          <w:p>
            <w:pPr>
              <w:pStyle w:val="Compact"/>
            </w:pPr>
            <w:r>
              <w:rPr>
                <w:sz w:val="17"/>
              </w:rPr>
              <w:t xml:space="preserve">Versionnage</w:t>
            </w:r>
          </w:p>
        </w:tc>
        <w:tc>
          <w:tcPr/>
          <w:p>
            <w:pPr>
              <w:pStyle w:val="Compact"/>
            </w:pPr>
            <w:r>
              <w:rPr>
                <w:sz w:val="17"/>
              </w:rPr>
              <w:t xml:space="preserve">Modèles, prompts, paramètres et jeux de données versionnés ensemble</w:t>
            </w:r>
          </w:p>
        </w:tc>
      </w:tr>
      <w:tr>
        <w:tc>
          <w:tcPr>
            <w:shd w:val="clear" w:color="auto" w:fill="F5F7FB"/>
          </w:tcPr>
          <w:p>
            <w:pPr>
              <w:pStyle w:val="Compact"/>
            </w:pPr>
            <w:r>
              <w:rPr>
                <w:sz w:val="17"/>
              </w:rPr>
              <w:t xml:space="preserve">Validation humaine</w:t>
            </w:r>
          </w:p>
        </w:tc>
        <w:tc>
          <w:tcPr>
            <w:shd w:val="clear" w:color="auto" w:fill="F5F7FB"/>
          </w:tcPr>
          <w:p>
            <w:pPr>
              <w:pStyle w:val="Compact"/>
            </w:pPr>
            <w:r>
              <w:rPr>
                <w:sz w:val="17"/>
              </w:rPr>
              <w:t xml:space="preserve">Comité des modèles (métier, audit, protection des données, sécurité)</w:t>
            </w:r>
          </w:p>
        </w:tc>
      </w:tr>
      <w:tr>
        <w:tc>
          <w:tcPr/>
          <w:p>
            <w:pPr>
              <w:pStyle w:val="Compact"/>
            </w:pPr>
            <w:r>
              <w:rPr>
                <w:sz w:val="17"/>
              </w:rPr>
              <w:t xml:space="preserve">Suivi de performance</w:t>
            </w:r>
          </w:p>
        </w:tc>
        <w:tc>
          <w:tcPr/>
          <w:p>
            <w:pPr>
              <w:pStyle w:val="Compact"/>
            </w:pPr>
            <w:r>
              <w:rPr>
                <w:sz w:val="17"/>
              </w:rPr>
              <w:t xml:space="preserve">Précision, rappel, taux d’acceptation des recommandations, faux positifs par commune</w:t>
            </w:r>
          </w:p>
        </w:tc>
      </w:tr>
      <w:tr>
        <w:tc>
          <w:tcPr>
            <w:shd w:val="clear" w:color="auto" w:fill="F5F7FB"/>
          </w:tcPr>
          <w:p>
            <w:pPr>
              <w:pStyle w:val="Compact"/>
            </w:pPr>
            <w:r>
              <w:rPr>
                <w:sz w:val="17"/>
              </w:rPr>
              <w:t xml:space="preserve">Tests de biais</w:t>
            </w:r>
          </w:p>
        </w:tc>
        <w:tc>
          <w:tcPr>
            <w:shd w:val="clear" w:color="auto" w:fill="F5F7FB"/>
          </w:tcPr>
          <w:p>
            <w:pPr>
              <w:pStyle w:val="Compact"/>
            </w:pPr>
            <w:r>
              <w:rPr>
                <w:sz w:val="17"/>
              </w:rPr>
              <w:t xml:space="preserve">Écarts de ciblage entre communes, catégories de contribuables, genre lorsque la donnée existe</w:t>
            </w:r>
          </w:p>
        </w:tc>
      </w:tr>
      <w:tr>
        <w:tc>
          <w:tcPr/>
          <w:p>
            <w:pPr>
              <w:pStyle w:val="Compact"/>
            </w:pPr>
            <w:r>
              <w:rPr>
                <w:sz w:val="17"/>
              </w:rPr>
              <w:t xml:space="preserve">Détection de dérive</w:t>
            </w:r>
          </w:p>
        </w:tc>
        <w:tc>
          <w:tcPr/>
          <w:p>
            <w:pPr>
              <w:pStyle w:val="Compact"/>
            </w:pPr>
            <w:r>
              <w:rPr>
                <w:sz w:val="17"/>
              </w:rPr>
              <w:t xml:space="preserve">Surveillance statistique des entrées et sorties</w:t>
            </w:r>
          </w:p>
        </w:tc>
      </w:tr>
      <w:tr>
        <w:tc>
          <w:tcPr>
            <w:shd w:val="clear" w:color="auto" w:fill="F5F7FB"/>
          </w:tcPr>
          <w:p>
            <w:pPr>
              <w:pStyle w:val="Compact"/>
            </w:pPr>
            <w:r>
              <w:rPr>
                <w:sz w:val="17"/>
              </w:rPr>
              <w:t xml:space="preserve">Explicabilité</w:t>
            </w:r>
          </w:p>
        </w:tc>
        <w:tc>
          <w:tcPr>
            <w:shd w:val="clear" w:color="auto" w:fill="F5F7FB"/>
          </w:tcPr>
          <w:p>
            <w:pPr>
              <w:pStyle w:val="Compact"/>
            </w:pPr>
            <w:r>
              <w:rPr>
                <w:sz w:val="17"/>
              </w:rPr>
              <w:t xml:space="preserve">Facteurs contributifs affichés pour chaque score</w:t>
            </w:r>
          </w:p>
        </w:tc>
      </w:tr>
      <w:tr>
        <w:tc>
          <w:tcPr/>
          <w:p>
            <w:pPr>
              <w:pStyle w:val="Compact"/>
            </w:pPr>
            <w:r>
              <w:rPr>
                <w:sz w:val="17"/>
              </w:rPr>
              <w:t xml:space="preserve">Retour arrière</w:t>
            </w:r>
          </w:p>
        </w:tc>
        <w:tc>
          <w:tcPr/>
          <w:p>
            <w:pPr>
              <w:pStyle w:val="Compact"/>
            </w:pPr>
            <w:r>
              <w:rPr>
                <w:sz w:val="17"/>
              </w:rPr>
              <w:t xml:space="preserve">Version précédente restaurable immédiatement</w:t>
            </w:r>
          </w:p>
        </w:tc>
      </w:tr>
      <w:tr>
        <w:tc>
          <w:tcPr>
            <w:shd w:val="clear" w:color="auto" w:fill="F5F7FB"/>
          </w:tcPr>
          <w:p>
            <w:pPr>
              <w:pStyle w:val="Compact"/>
            </w:pPr>
            <w:r>
              <w:rPr>
                <w:sz w:val="17"/>
              </w:rPr>
              <w:t xml:space="preserve">Journal des décisions IA</w:t>
            </w:r>
          </w:p>
        </w:tc>
        <w:tc>
          <w:tcPr>
            <w:shd w:val="clear" w:color="auto" w:fill="F5F7FB"/>
          </w:tcPr>
          <w:p>
            <w:pPr>
              <w:pStyle w:val="Compact"/>
            </w:pPr>
            <w:r>
              <w:rPr>
                <w:sz w:val="17"/>
              </w:rPr>
              <w:t xml:space="preserve">Conservation au même niveau que le journal d’audit</w:t>
            </w:r>
          </w:p>
        </w:tc>
      </w:tr>
      <w:tr>
        <w:tc>
          <w:tcPr/>
          <w:p>
            <w:pPr>
              <w:pStyle w:val="Compact"/>
            </w:pPr>
            <w:r>
              <w:rPr>
                <w:sz w:val="17"/>
              </w:rPr>
              <w:t xml:space="preserve">Hébergement</w:t>
            </w:r>
          </w:p>
        </w:tc>
        <w:tc>
          <w:tcPr/>
          <w:p>
            <w:pPr>
              <w:pStyle w:val="Compact"/>
            </w:pPr>
            <w:r>
              <w:rPr>
                <w:sz w:val="17"/>
              </w:rPr>
              <w:t xml:space="preserve">Modèles hébergés sous contrôle de la Province ou fournisseur contractualisé sans conservation ni réutilisation des données ; aucune donnée fiscale nominative vers un service d’IA public</w:t>
            </w:r>
          </w:p>
        </w:tc>
      </w:tr>
    </w:tbl>
    <w:bookmarkEnd w:id="240"/>
    <w:bookmarkStart w:id="253" w:name="Xf6cc4df239188a19fac20a2bee38058bd9faad8"/>
    <w:p>
      <w:pPr>
        <w:pStyle w:val="Heading2"/>
      </w:pPr>
      <w:r>
        <w:t xml:space="preserve">23.5 Couche d’intelligence : MOSOLO, système d’exploitation piloté par l’IA</w:t>
      </w:r>
    </w:p>
    <w:bookmarkStart w:id="241" w:name="identité-de-la-couche-dintelligence"/>
    <w:p>
      <w:pPr>
        <w:pStyle w:val="Heading3"/>
      </w:pPr>
      <w:r>
        <w:t xml:space="preserve">23.5.1 Identité de la couche d’intelligence</w:t>
      </w:r>
    </w:p>
    <w:p>
      <w:pPr>
        <w:pStyle w:val="FirstParagraph"/>
      </w:pPr>
      <w:r>
        <w:t xml:space="preserve">La couche d’intelligence n’est pas un assistant conversationnel ajouté à la plateforme : c’est</w:t>
      </w:r>
      <w:r>
        <w:t xml:space="preserve"> </w:t>
      </w:r>
      <w:r>
        <w:rPr>
          <w:b/>
          <w:bCs/>
        </w:rPr>
        <w:t xml:space="preserve">le cerveau opérationnel de MOSOLO</w:t>
      </w:r>
      <w:r>
        <w:t xml:space="preserve">. Elle soutient chaque fonction, parcours, action, document, tableau de bord, notification et décision. MOSOLO fonctionne ainsi comme :</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Ce que MOSOLO est</w:t>
            </w:r>
          </w:p>
        </w:tc>
        <w:tc>
          <w:tcPr>
            <w:shd w:val="clear" w:color="auto" w:fill="232C6B"/>
          </w:tcPr>
          <w:p>
            <w:pPr>
              <w:pStyle w:val="Compact"/>
            </w:pPr>
            <w:r>
              <w:rPr>
                <w:b/>
                <w:color w:val="FFFFFF"/>
                <w:sz w:val="17"/>
              </w:rPr>
              <w:t xml:space="preserve">Et non</w:t>
            </w:r>
          </w:p>
        </w:tc>
      </w:tr>
      <w:tr>
        <w:tc>
          <w:tcPr/>
          <w:p>
            <w:pPr>
              <w:pStyle w:val="Compact"/>
            </w:pPr>
            <w:r>
              <w:rPr>
                <w:sz w:val="17"/>
              </w:rPr>
              <w:t xml:space="preserve">Un système d’exploitation des recettes piloté par l’IA</w:t>
            </w:r>
          </w:p>
        </w:tc>
        <w:tc>
          <w:tcPr/>
          <w:p>
            <w:pPr>
              <w:pStyle w:val="Compact"/>
            </w:pPr>
            <w:r>
              <w:rPr>
                <w:sz w:val="17"/>
              </w:rPr>
              <w:t xml:space="preserve">Un simple logiciel de saisie</w:t>
            </w:r>
          </w:p>
        </w:tc>
      </w:tr>
      <w:tr>
        <w:tc>
          <w:tcPr>
            <w:shd w:val="clear" w:color="auto" w:fill="F5F7FB"/>
          </w:tcPr>
          <w:p>
            <w:pPr>
              <w:pStyle w:val="Compact"/>
            </w:pPr>
            <w:r>
              <w:rPr>
                <w:sz w:val="17"/>
              </w:rPr>
              <w:t xml:space="preserve">Une infrastructure d’intelligence vivante</w:t>
            </w:r>
          </w:p>
        </w:tc>
        <w:tc>
          <w:tcPr>
            <w:shd w:val="clear" w:color="auto" w:fill="F5F7FB"/>
          </w:tcPr>
          <w:p>
            <w:pPr>
              <w:pStyle w:val="Compact"/>
            </w:pPr>
            <w:r>
              <w:rPr>
                <w:sz w:val="17"/>
              </w:rPr>
              <w:t xml:space="preserve">Un tableau de bord statique</w:t>
            </w:r>
          </w:p>
        </w:tc>
      </w:tr>
      <w:tr>
        <w:tc>
          <w:tcPr/>
          <w:p>
            <w:pPr>
              <w:pStyle w:val="Compact"/>
            </w:pPr>
            <w:r>
              <w:rPr>
                <w:sz w:val="17"/>
              </w:rPr>
              <w:t xml:space="preserve">Un moteur d’aide à la décision</w:t>
            </w:r>
          </w:p>
        </w:tc>
        <w:tc>
          <w:tcPr/>
          <w:p>
            <w:pPr>
              <w:pStyle w:val="Compact"/>
            </w:pPr>
            <w:r>
              <w:rPr>
                <w:sz w:val="17"/>
              </w:rPr>
              <w:t xml:space="preserve">Un affichage de données</w:t>
            </w:r>
          </w:p>
        </w:tc>
      </w:tr>
      <w:tr>
        <w:tc>
          <w:tcPr>
            <w:shd w:val="clear" w:color="auto" w:fill="F5F7FB"/>
          </w:tcPr>
          <w:p>
            <w:pPr>
              <w:pStyle w:val="Compact"/>
            </w:pPr>
            <w:r>
              <w:rPr>
                <w:sz w:val="17"/>
              </w:rPr>
              <w:t xml:space="preserve">Une couche d’automatisation des processus</w:t>
            </w:r>
          </w:p>
        </w:tc>
        <w:tc>
          <w:tcPr>
            <w:shd w:val="clear" w:color="auto" w:fill="F5F7FB"/>
          </w:tcPr>
          <w:p>
            <w:pPr>
              <w:pStyle w:val="Compact"/>
            </w:pPr>
            <w:r>
              <w:rPr>
                <w:sz w:val="17"/>
              </w:rPr>
              <w:t xml:space="preserve">Un registre passif</w:t>
            </w:r>
          </w:p>
        </w:tc>
      </w:tr>
      <w:tr>
        <w:tc>
          <w:tcPr/>
          <w:p>
            <w:pPr>
              <w:pStyle w:val="Compact"/>
            </w:pPr>
            <w:r>
              <w:rPr>
                <w:sz w:val="17"/>
              </w:rPr>
              <w:t xml:space="preserve">Un assistant prédictif</w:t>
            </w:r>
          </w:p>
        </w:tc>
        <w:tc>
          <w:tcPr/>
          <w:p>
            <w:pPr>
              <w:pStyle w:val="Compact"/>
            </w:pPr>
            <w:r>
              <w:rPr>
                <w:sz w:val="17"/>
              </w:rPr>
              <w:t xml:space="preserve">Un assistant qui attend qu’on l’interroge</w:t>
            </w:r>
          </w:p>
        </w:tc>
      </w:tr>
      <w:tr>
        <w:tc>
          <w:tcPr>
            <w:shd w:val="clear" w:color="auto" w:fill="F5F7FB"/>
          </w:tcPr>
          <w:p>
            <w:pPr>
              <w:pStyle w:val="Compact"/>
            </w:pPr>
            <w:r>
              <w:rPr>
                <w:sz w:val="17"/>
              </w:rPr>
              <w:t xml:space="preserve">Une plateforme d’exécution multi-agents</w:t>
            </w:r>
          </w:p>
        </w:tc>
        <w:tc>
          <w:tcPr>
            <w:shd w:val="clear" w:color="auto" w:fill="F5F7FB"/>
          </w:tcPr>
          <w:p>
            <w:pPr>
              <w:pStyle w:val="Compact"/>
            </w:pPr>
            <w:r>
              <w:rPr>
                <w:sz w:val="17"/>
              </w:rPr>
              <w:t xml:space="preserve">Une interface de conversation</w:t>
            </w:r>
          </w:p>
        </w:tc>
      </w:tr>
      <w:tr>
        <w:tc>
          <w:tcPr/>
          <w:p>
            <w:pPr>
              <w:pStyle w:val="Compact"/>
            </w:pPr>
            <w:r>
              <w:rPr>
                <w:sz w:val="17"/>
              </w:rPr>
              <w:t xml:space="preserve">Un système qui s’améliore à partir des résultats validés</w:t>
            </w:r>
          </w:p>
        </w:tc>
        <w:tc>
          <w:tcPr/>
          <w:p>
            <w:pPr>
              <w:pStyle w:val="Compact"/>
            </w:pPr>
            <w:r>
              <w:rPr>
                <w:sz w:val="17"/>
              </w:rPr>
              <w:t xml:space="preserve">Un système figé</w:t>
            </w:r>
          </w:p>
        </w:tc>
      </w:tr>
    </w:tbl>
    <w:p>
      <w:pPr>
        <w:pStyle w:val="BodyText"/>
      </w:pPr>
      <w:r>
        <w:rPr>
          <w:b/>
          <w:bCs/>
        </w:rPr>
        <w:t xml:space="preserve">Limite constitutionnelle.</w:t>
      </w:r>
      <w:r>
        <w:t xml:space="preserve"> </w:t>
      </w:r>
      <w:r>
        <w:t xml:space="preserve">Cette ambition s’exerce</w:t>
      </w:r>
      <w:r>
        <w:t xml:space="preserve"> </w:t>
      </w:r>
      <w:r>
        <w:rPr>
          <w:b/>
          <w:bCs/>
        </w:rPr>
        <w:t xml:space="preserve">à l’intérieur</w:t>
      </w:r>
      <w:r>
        <w:t xml:space="preserve"> </w:t>
      </w:r>
      <w:r>
        <w:t xml:space="preserve">des principes P1 à P14 (§ 3.4) et des interdits du § 23.1 : l’IA prépare, accélère, prédit et recommande ; seuls des agents publics habilités produisent un effet juridique ou financier.</w:t>
      </w:r>
    </w:p>
    <w:bookmarkEnd w:id="241"/>
    <w:bookmarkStart w:id="242" w:name="Xac4081716aa05660f1aed874c56a4580899d7f8"/>
    <w:p>
      <w:pPr>
        <w:pStyle w:val="Heading3"/>
      </w:pPr>
      <w:r>
        <w:t xml:space="preserve">23.5.2 Les douze questions posées à chaque action</w:t>
      </w:r>
    </w:p>
    <w:p>
      <w:pPr>
        <w:pStyle w:val="FirstParagraph"/>
      </w:pPr>
      <w:r>
        <w:t xml:space="preserve">Pour chaque action d’un utilisateur, la couche d’intelligence se pose silencieusement les questions suivantes, et l’interface en affiche les réponses utiles :</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w:t>
            </w:r>
          </w:p>
        </w:tc>
        <w:tc>
          <w:tcPr>
            <w:shd w:val="clear" w:color="auto" w:fill="232C6B"/>
          </w:tcPr>
          <w:p>
            <w:pPr>
              <w:pStyle w:val="Compact"/>
            </w:pPr>
            <w:r>
              <w:rPr>
                <w:b/>
                <w:color w:val="FFFFFF"/>
                <w:sz w:val="17"/>
              </w:rPr>
              <w:t xml:space="preserve">Question</w:t>
            </w:r>
          </w:p>
        </w:tc>
        <w:tc>
          <w:tcPr>
            <w:shd w:val="clear" w:color="auto" w:fill="232C6B"/>
          </w:tcPr>
          <w:p>
            <w:pPr>
              <w:pStyle w:val="Compact"/>
            </w:pPr>
            <w:r>
              <w:rPr>
                <w:b/>
                <w:color w:val="FFFFFF"/>
                <w:sz w:val="17"/>
              </w:rPr>
              <w:t xml:space="preserve">Exemple (agent de régie ouvrant un dossier locatif)</w:t>
            </w:r>
          </w:p>
        </w:tc>
      </w:tr>
      <w:tr>
        <w:tc>
          <w:tcPr/>
          <w:p>
            <w:pPr>
              <w:pStyle w:val="Compact"/>
            </w:pPr>
            <w:r>
              <w:rPr>
                <w:sz w:val="17"/>
              </w:rPr>
              <w:t xml:space="preserve">1</w:t>
            </w:r>
          </w:p>
        </w:tc>
        <w:tc>
          <w:tcPr/>
          <w:p>
            <w:pPr>
              <w:pStyle w:val="Compact"/>
            </w:pPr>
            <w:r>
              <w:rPr>
                <w:sz w:val="17"/>
              </w:rPr>
              <w:t xml:space="preserve">Que cherche à accomplir l’utilisateur ?</w:t>
            </w:r>
          </w:p>
        </w:tc>
        <w:tc>
          <w:tcPr/>
          <w:p>
            <w:pPr>
              <w:pStyle w:val="Compact"/>
            </w:pPr>
            <w:r>
              <w:rPr>
                <w:sz w:val="17"/>
              </w:rPr>
              <w:t xml:space="preserve">Qualifier une unité déclarée vacante</w:t>
            </w:r>
          </w:p>
        </w:tc>
      </w:tr>
      <w:tr>
        <w:tc>
          <w:tcPr>
            <w:shd w:val="clear" w:color="auto" w:fill="F5F7FB"/>
          </w:tcPr>
          <w:p>
            <w:pPr>
              <w:pStyle w:val="Compact"/>
            </w:pPr>
            <w:r>
              <w:rPr>
                <w:sz w:val="17"/>
              </w:rPr>
              <w:t xml:space="preserve">2</w:t>
            </w:r>
          </w:p>
        </w:tc>
        <w:tc>
          <w:tcPr>
            <w:shd w:val="clear" w:color="auto" w:fill="F5F7FB"/>
          </w:tcPr>
          <w:p>
            <w:pPr>
              <w:pStyle w:val="Compact"/>
            </w:pPr>
            <w:r>
              <w:rPr>
                <w:sz w:val="17"/>
              </w:rPr>
              <w:t xml:space="preserve">Quelles données sont disponibles ?</w:t>
            </w:r>
          </w:p>
        </w:tc>
        <w:tc>
          <w:tcPr>
            <w:shd w:val="clear" w:color="auto" w:fill="F5F7FB"/>
          </w:tcPr>
          <w:p>
            <w:pPr>
              <w:pStyle w:val="Compact"/>
            </w:pPr>
            <w:r>
              <w:rPr>
                <w:sz w:val="17"/>
              </w:rPr>
              <w:t xml:space="preserve">Déclarations, constat terrain, compteurs (sous protocole)</w:t>
            </w:r>
          </w:p>
        </w:tc>
      </w:tr>
      <w:tr>
        <w:tc>
          <w:tcPr/>
          <w:p>
            <w:pPr>
              <w:pStyle w:val="Compact"/>
            </w:pPr>
            <w:r>
              <w:rPr>
                <w:sz w:val="17"/>
              </w:rPr>
              <w:t xml:space="preserve">3</w:t>
            </w:r>
          </w:p>
        </w:tc>
        <w:tc>
          <w:tcPr/>
          <w:p>
            <w:pPr>
              <w:pStyle w:val="Compact"/>
            </w:pPr>
            <w:r>
              <w:rPr>
                <w:sz w:val="17"/>
              </w:rPr>
              <w:t xml:space="preserve">Que manque-t-il ?</w:t>
            </w:r>
          </w:p>
        </w:tc>
        <w:tc>
          <w:tcPr/>
          <w:p>
            <w:pPr>
              <w:pStyle w:val="Compact"/>
            </w:pPr>
            <w:r>
              <w:rPr>
                <w:sz w:val="17"/>
              </w:rPr>
              <w:t xml:space="preserve">Bail ou preuve de vacance</w:t>
            </w:r>
          </w:p>
        </w:tc>
      </w:tr>
      <w:tr>
        <w:tc>
          <w:tcPr>
            <w:shd w:val="clear" w:color="auto" w:fill="F5F7FB"/>
          </w:tcPr>
          <w:p>
            <w:pPr>
              <w:pStyle w:val="Compact"/>
            </w:pPr>
            <w:r>
              <w:rPr>
                <w:sz w:val="17"/>
              </w:rPr>
              <w:t xml:space="preserve">4</w:t>
            </w:r>
          </w:p>
        </w:tc>
        <w:tc>
          <w:tcPr>
            <w:shd w:val="clear" w:color="auto" w:fill="F5F7FB"/>
          </w:tcPr>
          <w:p>
            <w:pPr>
              <w:pStyle w:val="Compact"/>
            </w:pPr>
            <w:r>
              <w:rPr>
                <w:sz w:val="17"/>
              </w:rPr>
              <w:t xml:space="preserve">Quel risque existe ?</w:t>
            </w:r>
          </w:p>
        </w:tc>
        <w:tc>
          <w:tcPr>
            <w:shd w:val="clear" w:color="auto" w:fill="F5F7FB"/>
          </w:tcPr>
          <w:p>
            <w:pPr>
              <w:pStyle w:val="Compact"/>
            </w:pPr>
            <w:r>
              <w:rPr>
                <w:sz w:val="17"/>
              </w:rPr>
              <w:t xml:space="preserve">Sous-déclaration ; contestation si la preuve est faible</w:t>
            </w:r>
          </w:p>
        </w:tc>
      </w:tr>
      <w:tr>
        <w:tc>
          <w:tcPr/>
          <w:p>
            <w:pPr>
              <w:pStyle w:val="Compact"/>
            </w:pPr>
            <w:r>
              <w:rPr>
                <w:sz w:val="17"/>
              </w:rPr>
              <w:t xml:space="preserve">5</w:t>
            </w:r>
          </w:p>
        </w:tc>
        <w:tc>
          <w:tcPr/>
          <w:p>
            <w:pPr>
              <w:pStyle w:val="Compact"/>
            </w:pPr>
            <w:r>
              <w:rPr>
                <w:sz w:val="17"/>
              </w:rPr>
              <w:t xml:space="preserve">Que peut-on automatiser ?</w:t>
            </w:r>
          </w:p>
        </w:tc>
        <w:tc>
          <w:tcPr/>
          <w:p>
            <w:pPr>
              <w:pStyle w:val="Compact"/>
            </w:pPr>
            <w:r>
              <w:rPr>
                <w:sz w:val="17"/>
              </w:rPr>
              <w:t xml:space="preserve">Demande de pièces au bailleur</w:t>
            </w:r>
          </w:p>
        </w:tc>
      </w:tr>
      <w:tr>
        <w:tc>
          <w:tcPr>
            <w:shd w:val="clear" w:color="auto" w:fill="F5F7FB"/>
          </w:tcPr>
          <w:p>
            <w:pPr>
              <w:pStyle w:val="Compact"/>
            </w:pPr>
            <w:r>
              <w:rPr>
                <w:sz w:val="17"/>
              </w:rPr>
              <w:t xml:space="preserve">6</w:t>
            </w:r>
          </w:p>
        </w:tc>
        <w:tc>
          <w:tcPr>
            <w:shd w:val="clear" w:color="auto" w:fill="F5F7FB"/>
          </w:tcPr>
          <w:p>
            <w:pPr>
              <w:pStyle w:val="Compact"/>
            </w:pPr>
            <w:r>
              <w:rPr>
                <w:sz w:val="17"/>
              </w:rPr>
              <w:t xml:space="preserve">Que peut-on prédire ?</w:t>
            </w:r>
          </w:p>
        </w:tc>
        <w:tc>
          <w:tcPr>
            <w:shd w:val="clear" w:color="auto" w:fill="F5F7FB"/>
          </w:tcPr>
          <w:p>
            <w:pPr>
              <w:pStyle w:val="Compact"/>
            </w:pPr>
            <w:r>
              <w:rPr>
                <w:sz w:val="17"/>
              </w:rPr>
              <w:t xml:space="preserve">Probabilité de location : 0,78 (facteurs affichés)</w:t>
            </w:r>
          </w:p>
        </w:tc>
      </w:tr>
      <w:tr>
        <w:tc>
          <w:tcPr/>
          <w:p>
            <w:pPr>
              <w:pStyle w:val="Compact"/>
            </w:pPr>
            <w:r>
              <w:rPr>
                <w:sz w:val="17"/>
              </w:rPr>
              <w:t xml:space="preserve">7</w:t>
            </w:r>
          </w:p>
        </w:tc>
        <w:tc>
          <w:tcPr/>
          <w:p>
            <w:pPr>
              <w:pStyle w:val="Compact"/>
            </w:pPr>
            <w:r>
              <w:rPr>
                <w:sz w:val="17"/>
              </w:rPr>
              <w:t xml:space="preserve">Que peut-on améliorer ?</w:t>
            </w:r>
          </w:p>
        </w:tc>
        <w:tc>
          <w:tcPr/>
          <w:p>
            <w:pPr>
              <w:pStyle w:val="Compact"/>
            </w:pPr>
            <w:r>
              <w:rPr>
                <w:sz w:val="17"/>
              </w:rPr>
              <w:t xml:space="preserve">Qualité de l’adresse (précision GPS faible)</w:t>
            </w:r>
          </w:p>
        </w:tc>
      </w:tr>
      <w:tr>
        <w:tc>
          <w:tcPr>
            <w:shd w:val="clear" w:color="auto" w:fill="F5F7FB"/>
          </w:tcPr>
          <w:p>
            <w:pPr>
              <w:pStyle w:val="Compact"/>
            </w:pPr>
            <w:r>
              <w:rPr>
                <w:sz w:val="17"/>
              </w:rPr>
              <w:t xml:space="preserve">8</w:t>
            </w:r>
          </w:p>
        </w:tc>
        <w:tc>
          <w:tcPr>
            <w:shd w:val="clear" w:color="auto" w:fill="F5F7FB"/>
          </w:tcPr>
          <w:p>
            <w:pPr>
              <w:pStyle w:val="Compact"/>
            </w:pPr>
            <w:r>
              <w:rPr>
                <w:sz w:val="17"/>
              </w:rPr>
              <w:t xml:space="preserve">Que doit-il se passer ensuite ?</w:t>
            </w:r>
          </w:p>
        </w:tc>
        <w:tc>
          <w:tcPr>
            <w:shd w:val="clear" w:color="auto" w:fill="F5F7FB"/>
          </w:tcPr>
          <w:p>
            <w:pPr>
              <w:pStyle w:val="Compact"/>
            </w:pPr>
            <w:r>
              <w:rPr>
                <w:sz w:val="17"/>
              </w:rPr>
              <w:t xml:space="preserve">Invitation à déclarer, puis visite si pas de réponse sous 15 jours</w:t>
            </w:r>
          </w:p>
        </w:tc>
      </w:tr>
      <w:tr>
        <w:tc>
          <w:tcPr/>
          <w:p>
            <w:pPr>
              <w:pStyle w:val="Compact"/>
            </w:pPr>
            <w:r>
              <w:rPr>
                <w:sz w:val="17"/>
              </w:rPr>
              <w:t xml:space="preserve">9</w:t>
            </w:r>
          </w:p>
        </w:tc>
        <w:tc>
          <w:tcPr/>
          <w:p>
            <w:pPr>
              <w:pStyle w:val="Compact"/>
            </w:pPr>
            <w:r>
              <w:rPr>
                <w:sz w:val="17"/>
              </w:rPr>
              <w:t xml:space="preserve">Qui doit être notifié ?</w:t>
            </w:r>
          </w:p>
        </w:tc>
        <w:tc>
          <w:tcPr/>
          <w:p>
            <w:pPr>
              <w:pStyle w:val="Compact"/>
            </w:pPr>
            <w:r>
              <w:rPr>
                <w:sz w:val="17"/>
              </w:rPr>
              <w:t xml:space="preserve">Bailleur (</w:t>
            </w:r>
            <w:r>
              <w:rPr>
                <w:rStyle w:val="VerbatimChar"/>
                <w:sz w:val="17"/>
              </w:rPr>
              <w:t xml:space="preserve">rental.occupancy.inconsistency</w:t>
            </w:r>
            <w:r>
              <w:rPr>
                <w:sz w:val="17"/>
              </w:rPr>
              <w:t xml:space="preserve">), superviseur</w:t>
            </w:r>
          </w:p>
        </w:tc>
      </w:tr>
      <w:tr>
        <w:tc>
          <w:tcPr>
            <w:shd w:val="clear" w:color="auto" w:fill="F5F7FB"/>
          </w:tcPr>
          <w:p>
            <w:pPr>
              <w:pStyle w:val="Compact"/>
            </w:pPr>
            <w:r>
              <w:rPr>
                <w:sz w:val="17"/>
              </w:rPr>
              <w:t xml:space="preserve">10</w:t>
            </w:r>
          </w:p>
        </w:tc>
        <w:tc>
          <w:tcPr>
            <w:shd w:val="clear" w:color="auto" w:fill="F5F7FB"/>
          </w:tcPr>
          <w:p>
            <w:pPr>
              <w:pStyle w:val="Compact"/>
            </w:pPr>
            <w:r>
              <w:rPr>
                <w:sz w:val="17"/>
              </w:rPr>
              <w:t xml:space="preserve">Que faut-il enregistrer ?</w:t>
            </w:r>
          </w:p>
        </w:tc>
        <w:tc>
          <w:tcPr>
            <w:shd w:val="clear" w:color="auto" w:fill="F5F7FB"/>
          </w:tcPr>
          <w:p>
            <w:pPr>
              <w:pStyle w:val="Compact"/>
            </w:pPr>
            <w:r>
              <w:rPr>
                <w:sz w:val="17"/>
              </w:rPr>
              <w:t xml:space="preserve">Brouillon de qualification, justification, sources</w:t>
            </w:r>
          </w:p>
        </w:tc>
      </w:tr>
      <w:tr>
        <w:tc>
          <w:tcPr/>
          <w:p>
            <w:pPr>
              <w:pStyle w:val="Compact"/>
            </w:pPr>
            <w:r>
              <w:rPr>
                <w:sz w:val="17"/>
              </w:rPr>
              <w:t xml:space="preserve">11</w:t>
            </w:r>
          </w:p>
        </w:tc>
        <w:tc>
          <w:tcPr/>
          <w:p>
            <w:pPr>
              <w:pStyle w:val="Compact"/>
            </w:pPr>
            <w:r>
              <w:rPr>
                <w:sz w:val="17"/>
              </w:rPr>
              <w:t xml:space="preserve">Que faut-il apprendre ?</w:t>
            </w:r>
          </w:p>
        </w:tc>
        <w:tc>
          <w:tcPr/>
          <w:p>
            <w:pPr>
              <w:pStyle w:val="Compact"/>
            </w:pPr>
            <w:r>
              <w:rPr>
                <w:sz w:val="17"/>
              </w:rPr>
              <w:t xml:space="preserve">Résultat de la vérification, pour recalibrer le modèle (après validation)</w:t>
            </w:r>
          </w:p>
        </w:tc>
      </w:tr>
      <w:tr>
        <w:tc>
          <w:tcPr>
            <w:shd w:val="clear" w:color="auto" w:fill="F5F7FB"/>
          </w:tcPr>
          <w:p>
            <w:pPr>
              <w:pStyle w:val="Compact"/>
            </w:pPr>
            <w:r>
              <w:rPr>
                <w:sz w:val="17"/>
              </w:rPr>
              <w:t xml:space="preserve">12</w:t>
            </w:r>
          </w:p>
        </w:tc>
        <w:tc>
          <w:tcPr>
            <w:shd w:val="clear" w:color="auto" w:fill="F5F7FB"/>
          </w:tcPr>
          <w:p>
            <w:pPr>
              <w:pStyle w:val="Compact"/>
            </w:pPr>
            <w:r>
              <w:rPr>
                <w:sz w:val="17"/>
              </w:rPr>
              <w:t xml:space="preserve">Que doit recommander la plateforme ?</w:t>
            </w:r>
          </w:p>
        </w:tc>
        <w:tc>
          <w:tcPr>
            <w:shd w:val="clear" w:color="auto" w:fill="F5F7FB"/>
          </w:tcPr>
          <w:p>
            <w:pPr>
              <w:pStyle w:val="Compact"/>
            </w:pPr>
            <w:r>
              <w:rPr>
                <w:sz w:val="17"/>
              </w:rPr>
              <w:t xml:space="preserve">« Demander le bail — confiance moyenne »</w:t>
            </w:r>
          </w:p>
        </w:tc>
      </w:tr>
    </w:tbl>
    <w:bookmarkEnd w:id="242"/>
    <w:bookmarkStart w:id="243" w:name="X00e0938f372a4cf7ca5f567f164f6f8765df284"/>
    <w:p>
      <w:pPr>
        <w:pStyle w:val="Heading3"/>
      </w:pPr>
      <w:r>
        <w:t xml:space="preserve">23.5.3 Principe d’enregistrement automatique (autosave)</w:t>
      </w:r>
    </w:p>
    <w:p>
      <w:pPr>
        <w:pStyle w:val="FirstParagraph"/>
      </w:pPr>
      <w:r>
        <w:rPr>
          <w:b/>
          <w:bCs/>
        </w:rPr>
        <w:t xml:space="preserve">Aucune action importante ne doit être perdue.</w:t>
      </w:r>
      <w:r>
        <w:t xml:space="preserve"> </w:t>
      </w:r>
      <w:r>
        <w:t xml:space="preserve">L’enregistrement automatique est obligatoire dans tous les modules et couvre : saisies, contenus générés, brouillons, fichiers déposés, modifications, commentaires, sélections, recommandations et décisions de l’IA, sorties modifiées, changements d’état, notifications, approbations, rejets, tâches terminées, processus abandonnés, recherches (sous forme minimisée), analyses produites, préférences, usage de l’IA, versions historiques et journaux d’audit.</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Capacité (chaque module)</w:t>
            </w:r>
          </w:p>
        </w:tc>
        <w:tc>
          <w:tcPr>
            <w:shd w:val="clear" w:color="auto" w:fill="232C6B"/>
          </w:tcPr>
          <w:p>
            <w:pPr>
              <w:pStyle w:val="Compact"/>
            </w:pPr>
            <w:r>
              <w:rPr>
                <w:b/>
                <w:color w:val="FFFFFF"/>
                <w:sz w:val="17"/>
              </w:rPr>
              <w:t xml:space="preserve">Mise en œuvre</w:t>
            </w:r>
          </w:p>
        </w:tc>
      </w:tr>
      <w:tr>
        <w:tc>
          <w:tcPr/>
          <w:p>
            <w:pPr>
              <w:pStyle w:val="Compact"/>
            </w:pPr>
            <w:r>
              <w:rPr>
                <w:sz w:val="17"/>
              </w:rPr>
              <w:t xml:space="preserve">Enregistrement automatique</w:t>
            </w:r>
          </w:p>
        </w:tc>
        <w:tc>
          <w:tcPr/>
          <w:p>
            <w:pPr>
              <w:pStyle w:val="Compact"/>
            </w:pPr>
            <w:r>
              <w:rPr>
                <w:sz w:val="17"/>
              </w:rPr>
              <w:t xml:space="preserve">Brouillon persistant côté serveur toutes les 5 secondes d’inactivité et à chaque changement de champ ; stockage local chiffré en hors ligne</w:t>
            </w:r>
          </w:p>
        </w:tc>
      </w:tr>
      <w:tr>
        <w:tc>
          <w:tcPr>
            <w:shd w:val="clear" w:color="auto" w:fill="F5F7FB"/>
          </w:tcPr>
          <w:p>
            <w:pPr>
              <w:pStyle w:val="Compact"/>
            </w:pPr>
            <w:r>
              <w:rPr>
                <w:sz w:val="17"/>
              </w:rPr>
              <w:t xml:space="preserve">Historique des versions</w:t>
            </w:r>
          </w:p>
        </w:tc>
        <w:tc>
          <w:tcPr>
            <w:shd w:val="clear" w:color="auto" w:fill="F5F7FB"/>
          </w:tcPr>
          <w:p>
            <w:pPr>
              <w:pStyle w:val="Compact"/>
            </w:pPr>
            <w:r>
              <w:rPr>
                <w:sz w:val="17"/>
              </w:rPr>
              <w:t xml:space="preserve">Chaque enregistrement crée une version ; différences consultables</w:t>
            </w:r>
          </w:p>
        </w:tc>
      </w:tr>
      <w:tr>
        <w:tc>
          <w:tcPr/>
          <w:p>
            <w:pPr>
              <w:pStyle w:val="Compact"/>
            </w:pPr>
            <w:r>
              <w:rPr>
                <w:sz w:val="17"/>
              </w:rPr>
              <w:t xml:space="preserve">Horodatage</w:t>
            </w:r>
          </w:p>
        </w:tc>
        <w:tc>
          <w:tcPr/>
          <w:p>
            <w:pPr>
              <w:pStyle w:val="Compact"/>
            </w:pPr>
            <w:r>
              <w:rPr>
                <w:sz w:val="17"/>
              </w:rPr>
              <w:t xml:space="preserve">Heure serveur de référence</w:t>
            </w:r>
          </w:p>
        </w:tc>
      </w:tr>
      <w:tr>
        <w:tc>
          <w:tcPr>
            <w:shd w:val="clear" w:color="auto" w:fill="F5F7FB"/>
          </w:tcPr>
          <w:p>
            <w:pPr>
              <w:pStyle w:val="Compact"/>
            </w:pPr>
            <w:r>
              <w:rPr>
                <w:sz w:val="17"/>
              </w:rPr>
              <w:t xml:space="preserve">Attribution</w:t>
            </w:r>
          </w:p>
        </w:tc>
        <w:tc>
          <w:tcPr>
            <w:shd w:val="clear" w:color="auto" w:fill="F5F7FB"/>
          </w:tcPr>
          <w:p>
            <w:pPr>
              <w:pStyle w:val="Compact"/>
            </w:pPr>
            <w:r>
              <w:rPr>
                <w:sz w:val="17"/>
              </w:rPr>
              <w:t xml:space="preserve">Utilisateur, rôle, appareil</w:t>
            </w:r>
          </w:p>
        </w:tc>
      </w:tr>
      <w:tr>
        <w:tc>
          <w:tcPr/>
          <w:p>
            <w:pPr>
              <w:pStyle w:val="Compact"/>
            </w:pPr>
            <w:r>
              <w:rPr>
                <w:sz w:val="17"/>
              </w:rPr>
              <w:t xml:space="preserve">Suivi des modifications</w:t>
            </w:r>
          </w:p>
        </w:tc>
        <w:tc>
          <w:tcPr/>
          <w:p>
            <w:pPr>
              <w:pStyle w:val="Compact"/>
            </w:pPr>
            <w:r>
              <w:rPr>
                <w:sz w:val="17"/>
              </w:rPr>
              <w:t xml:space="preserve">Avant/après champ par champ</w:t>
            </w:r>
          </w:p>
        </w:tc>
      </w:tr>
      <w:tr>
        <w:tc>
          <w:tcPr>
            <w:shd w:val="clear" w:color="auto" w:fill="F5F7FB"/>
          </w:tcPr>
          <w:p>
            <w:pPr>
              <w:pStyle w:val="Compact"/>
            </w:pPr>
            <w:r>
              <w:rPr>
                <w:sz w:val="17"/>
              </w:rPr>
              <w:t xml:space="preserve">Retour arrière</w:t>
            </w:r>
          </w:p>
        </w:tc>
        <w:tc>
          <w:tcPr>
            <w:shd w:val="clear" w:color="auto" w:fill="F5F7FB"/>
          </w:tcPr>
          <w:p>
            <w:pPr>
              <w:pStyle w:val="Compact"/>
            </w:pPr>
            <w:r>
              <w:rPr>
                <w:sz w:val="17"/>
              </w:rPr>
              <w:t xml:space="preserve">Restauration d’une version de</w:t>
            </w:r>
            <w:r>
              <w:rPr>
                <w:sz w:val="17"/>
              </w:rPr>
              <w:t xml:space="preserve"> </w:t>
            </w:r>
            <w:r>
              <w:rPr>
                <w:b/>
                <w:bCs/>
                <w:sz w:val="17"/>
              </w:rPr>
              <w:t xml:space="preserve">brouillon</w:t>
            </w:r>
            <w:r>
              <w:rPr>
                <w:sz w:val="17"/>
              </w:rPr>
              <w:t xml:space="preserve"> </w:t>
            </w:r>
            <w:r>
              <w:rPr>
                <w:sz w:val="17"/>
              </w:rPr>
              <w:t xml:space="preserve">; pour les actes validés, uniquement par acte contraire (P7)</w:t>
            </w:r>
          </w:p>
        </w:tc>
      </w:tr>
      <w:tr>
        <w:tc>
          <w:tcPr/>
          <w:p>
            <w:pPr>
              <w:pStyle w:val="Compact"/>
            </w:pPr>
            <w:r>
              <w:rPr>
                <w:sz w:val="17"/>
              </w:rPr>
              <w:t xml:space="preserve">Piste d’audit</w:t>
            </w:r>
          </w:p>
        </w:tc>
        <w:tc>
          <w:tcPr/>
          <w:p>
            <w:pPr>
              <w:pStyle w:val="Compact"/>
            </w:pPr>
            <w:r>
              <w:rPr>
                <w:sz w:val="17"/>
              </w:rPr>
              <w:t xml:space="preserve">Événement chaîné (§ 25.2)</w:t>
            </w:r>
          </w:p>
        </w:tc>
      </w:tr>
      <w:tr>
        <w:tc>
          <w:tcPr>
            <w:shd w:val="clear" w:color="auto" w:fill="F5F7FB"/>
          </w:tcPr>
          <w:p>
            <w:pPr>
              <w:pStyle w:val="Compact"/>
            </w:pPr>
            <w:r>
              <w:rPr>
                <w:sz w:val="17"/>
              </w:rPr>
              <w:t xml:space="preserve">Résumé IA des changements</w:t>
            </w:r>
          </w:p>
        </w:tc>
        <w:tc>
          <w:tcPr>
            <w:shd w:val="clear" w:color="auto" w:fill="F5F7FB"/>
          </w:tcPr>
          <w:p>
            <w:pPr>
              <w:pStyle w:val="Compact"/>
            </w:pPr>
            <w:r>
              <w:rPr>
                <w:sz w:val="17"/>
              </w:rPr>
              <w:t xml:space="preserve">« 3 champs modifiés depuis hier : surface (120 → 135 m²), usage, photo ajoutée »</w:t>
            </w:r>
          </w:p>
        </w:tc>
      </w:tr>
      <w:tr>
        <w:tc>
          <w:tcPr/>
          <w:p>
            <w:pPr>
              <w:pStyle w:val="Compact"/>
            </w:pPr>
            <w:r>
              <w:rPr>
                <w:sz w:val="17"/>
              </w:rPr>
              <w:t xml:space="preserve">Indicateur visible</w:t>
            </w:r>
          </w:p>
        </w:tc>
        <w:tc>
          <w:tcPr/>
          <w:p>
            <w:pPr>
              <w:pStyle w:val="Compact"/>
            </w:pPr>
            <w:r>
              <w:rPr>
                <w:sz w:val="17"/>
              </w:rPr>
              <w:t xml:space="preserve">« Enregistré à 09:15 » / « Enregistrement… » / « Hors ligne — enregistré sur l’appareil »</w:t>
            </w:r>
          </w:p>
        </w:tc>
      </w:tr>
    </w:tbl>
    <w:p>
      <w:pPr>
        <w:pStyle w:val="BodyText"/>
      </w:pPr>
      <w:r>
        <w:t xml:space="preserve">Distinction essentielle :</w:t>
      </w:r>
      <w:r>
        <w:t xml:space="preserve"> </w:t>
      </w:r>
      <w:r>
        <w:rPr>
          <w:b/>
          <w:bCs/>
        </w:rPr>
        <w:t xml:space="preserve">un brouillon n’est pas un acte</w:t>
      </w:r>
      <w:r>
        <w:t xml:space="preserve">. L’enregistrement automatique ne vaut ni déclaration déposée, ni décision, ni approbation ; ces effets exigent une action explicite de validation, signée et horodatée.</w:t>
      </w:r>
    </w:p>
    <w:bookmarkEnd w:id="243"/>
    <w:bookmarkStart w:id="244" w:name="mémoire-structurée-à-quatre-niveaux"/>
    <w:p>
      <w:pPr>
        <w:pStyle w:val="Heading3"/>
      </w:pPr>
      <w:r>
        <w:t xml:space="preserve">23.5.4 Mémoire structurée à quatre niveaux</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Niveau</w:t>
            </w:r>
          </w:p>
        </w:tc>
        <w:tc>
          <w:tcPr>
            <w:shd w:val="clear" w:color="auto" w:fill="232C6B"/>
          </w:tcPr>
          <w:p>
            <w:pPr>
              <w:pStyle w:val="Compact"/>
            </w:pPr>
            <w:r>
              <w:rPr>
                <w:b/>
                <w:color w:val="FFFFFF"/>
                <w:sz w:val="17"/>
              </w:rPr>
              <w:t xml:space="preserve">Contenu</w:t>
            </w:r>
          </w:p>
        </w:tc>
        <w:tc>
          <w:tcPr>
            <w:shd w:val="clear" w:color="auto" w:fill="232C6B"/>
          </w:tcPr>
          <w:p>
            <w:pPr>
              <w:pStyle w:val="Compact"/>
            </w:pPr>
            <w:r>
              <w:rPr>
                <w:b/>
                <w:color w:val="FFFFFF"/>
                <w:sz w:val="17"/>
              </w:rPr>
              <w:t xml:space="preserve">Limites (protection des données, ch. 32)</w:t>
            </w:r>
          </w:p>
        </w:tc>
      </w:tr>
      <w:tr>
        <w:tc>
          <w:tcPr/>
          <w:p>
            <w:pPr>
              <w:pStyle w:val="Compact"/>
            </w:pPr>
            <w:r>
              <w:rPr>
                <w:b/>
                <w:bCs/>
                <w:sz w:val="17"/>
              </w:rPr>
              <w:t xml:space="preserve">Mémoire utilisateur</w:t>
            </w:r>
          </w:p>
        </w:tc>
        <w:tc>
          <w:tcPr/>
          <w:p>
            <w:pPr>
              <w:pStyle w:val="Compact"/>
            </w:pPr>
            <w:r>
              <w:rPr>
                <w:sz w:val="17"/>
              </w:rPr>
              <w:t xml:space="preserve">Rôle, préférences, langue, tâches fréquentes, priorités, sorties enregistrées, objectifs récurrents</w:t>
            </w:r>
          </w:p>
        </w:tc>
        <w:tc>
          <w:tcPr/>
          <w:p>
            <w:pPr>
              <w:pStyle w:val="Compact"/>
            </w:pPr>
            <w:r>
              <w:rPr>
                <w:sz w:val="17"/>
              </w:rPr>
              <w:t xml:space="preserve">Pour les</w:t>
            </w:r>
            <w:r>
              <w:rPr>
                <w:sz w:val="17"/>
              </w:rPr>
              <w:t xml:space="preserve"> </w:t>
            </w:r>
            <w:r>
              <w:rPr>
                <w:b/>
                <w:bCs/>
                <w:sz w:val="17"/>
              </w:rPr>
              <w:t xml:space="preserve">agents publics</w:t>
            </w:r>
            <w:r>
              <w:rPr>
                <w:sz w:val="17"/>
              </w:rPr>
              <w:t xml:space="preserve"> </w:t>
            </w:r>
            <w:r>
              <w:rPr>
                <w:sz w:val="17"/>
              </w:rPr>
              <w:t xml:space="preserve">: aide au travail, jamais utilisée pour l’évaluation disciplinaire sans procédure. Pour les</w:t>
            </w:r>
            <w:r>
              <w:rPr>
                <w:sz w:val="17"/>
              </w:rPr>
              <w:t xml:space="preserve"> </w:t>
            </w:r>
            <w:r>
              <w:rPr>
                <w:b/>
                <w:bCs/>
                <w:sz w:val="17"/>
              </w:rPr>
              <w:t xml:space="preserve">contribuables</w:t>
            </w:r>
            <w:r>
              <w:rPr>
                <w:sz w:val="17"/>
              </w:rPr>
              <w:t xml:space="preserve"> </w:t>
            </w:r>
            <w:r>
              <w:rPr>
                <w:sz w:val="17"/>
              </w:rPr>
              <w:t xml:space="preserve">: préférences de service uniquement ;</w:t>
            </w:r>
            <w:r>
              <w:rPr>
                <w:sz w:val="17"/>
              </w:rPr>
              <w:t xml:space="preserve"> </w:t>
            </w:r>
            <w:r>
              <w:rPr>
                <w:b/>
                <w:bCs/>
                <w:sz w:val="17"/>
              </w:rPr>
              <w:t xml:space="preserve">aucun profilage comportemental</w:t>
            </w:r>
            <w:r>
              <w:rPr>
                <w:sz w:val="17"/>
              </w:rPr>
              <w:t xml:space="preserve"> </w:t>
            </w:r>
            <w:r>
              <w:rPr>
                <w:sz w:val="17"/>
              </w:rPr>
              <w:t xml:space="preserve">ni « tolérance au risque » inférée</w:t>
            </w:r>
          </w:p>
        </w:tc>
      </w:tr>
      <w:tr>
        <w:tc>
          <w:tcPr>
            <w:shd w:val="clear" w:color="auto" w:fill="F5F7FB"/>
          </w:tcPr>
          <w:p>
            <w:pPr>
              <w:pStyle w:val="Compact"/>
            </w:pPr>
            <w:r>
              <w:rPr>
                <w:b/>
                <w:bCs/>
                <w:sz w:val="17"/>
              </w:rPr>
              <w:t xml:space="preserve">Mémoire d’espace (entité)</w:t>
            </w:r>
          </w:p>
        </w:tc>
        <w:tc>
          <w:tcPr>
            <w:shd w:val="clear" w:color="auto" w:fill="F5F7FB"/>
          </w:tcPr>
          <w:p>
            <w:pPr>
              <w:pStyle w:val="Compact"/>
            </w:pPr>
            <w:r>
              <w:rPr>
                <w:sz w:val="17"/>
              </w:rPr>
              <w:t xml:space="preserve">Données de l’entité, règles, modèles, circuits, décisions historiques, hypothèses</w:t>
            </w:r>
          </w:p>
        </w:tc>
        <w:tc>
          <w:tcPr>
            <w:shd w:val="clear" w:color="auto" w:fill="F5F7FB"/>
          </w:tcPr>
          <w:p>
            <w:pPr>
              <w:pStyle w:val="Compact"/>
            </w:pPr>
            <w:r>
              <w:rPr>
                <w:sz w:val="17"/>
              </w:rPr>
              <w:t xml:space="preserve">Cloisonnée par entité (§ 10.3)</w:t>
            </w:r>
          </w:p>
        </w:tc>
      </w:tr>
      <w:tr>
        <w:tc>
          <w:tcPr/>
          <w:p>
            <w:pPr>
              <w:pStyle w:val="Compact"/>
            </w:pPr>
            <w:r>
              <w:rPr>
                <w:b/>
                <w:bCs/>
                <w:sz w:val="17"/>
              </w:rPr>
              <w:t xml:space="preserve">Mémoire de processus</w:t>
            </w:r>
          </w:p>
        </w:tc>
        <w:tc>
          <w:tcPr/>
          <w:p>
            <w:pPr>
              <w:pStyle w:val="Compact"/>
            </w:pPr>
            <w:r>
              <w:rPr>
                <w:sz w:val="17"/>
              </w:rPr>
              <w:t xml:space="preserve">Étape atteinte, fait, en attente, bloqué, changé récemment, prochaine décision</w:t>
            </w:r>
          </w:p>
        </w:tc>
        <w:tc>
          <w:tcPr/>
          <w:p>
            <w:pPr>
              <w:pStyle w:val="Compact"/>
            </w:pPr>
            <w:r>
              <w:rPr>
                <w:sz w:val="17"/>
              </w:rPr>
              <w:t xml:space="preserve">Liée au dossier, conservée avec lui</w:t>
            </w:r>
          </w:p>
        </w:tc>
      </w:tr>
      <w:tr>
        <w:tc>
          <w:tcPr>
            <w:shd w:val="clear" w:color="auto" w:fill="F5F7FB"/>
          </w:tcPr>
          <w:p>
            <w:pPr>
              <w:pStyle w:val="Compact"/>
            </w:pPr>
            <w:r>
              <w:rPr>
                <w:b/>
                <w:bCs/>
                <w:sz w:val="17"/>
              </w:rPr>
              <w:t xml:space="preserve">Mémoire d’intelligence</w:t>
            </w:r>
          </w:p>
        </w:tc>
        <w:tc>
          <w:tcPr>
            <w:shd w:val="clear" w:color="auto" w:fill="F5F7FB"/>
          </w:tcPr>
          <w:p>
            <w:pPr>
              <w:pStyle w:val="Compact"/>
            </w:pPr>
            <w:r>
              <w:rPr>
                <w:sz w:val="17"/>
              </w:rPr>
              <w:t xml:space="preserve">Tendances, risques, problèmes répétés, signaux de performance, de coût, de productivité, de prévision, améliorations recommandées</w:t>
            </w:r>
          </w:p>
        </w:tc>
        <w:tc>
          <w:tcPr>
            <w:shd w:val="clear" w:color="auto" w:fill="F5F7FB"/>
          </w:tcPr>
          <w:p>
            <w:pPr>
              <w:pStyle w:val="Compact"/>
            </w:pPr>
            <w:r>
              <w:rPr>
                <w:sz w:val="17"/>
              </w:rPr>
              <w:t xml:space="preserve">Agrégée et pseudonymisée ; alimente les modèles uniquement via des jeux approuvés (§ 23.4)</w:t>
            </w:r>
          </w:p>
        </w:tc>
      </w:tr>
    </w:tbl>
    <w:bookmarkEnd w:id="244"/>
    <w:bookmarkStart w:id="245" w:name="Xf844256c2acf0f4a4a8bc922b7a7db429452a1c"/>
    <w:p>
      <w:pPr>
        <w:pStyle w:val="Heading3"/>
      </w:pPr>
      <w:r>
        <w:t xml:space="preserve">23.5.5 Agents transverses et correspondance avec les agents métier</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Agent transverse</w:t>
            </w:r>
          </w:p>
        </w:tc>
        <w:tc>
          <w:tcPr>
            <w:shd w:val="clear" w:color="auto" w:fill="232C6B"/>
          </w:tcPr>
          <w:p>
            <w:pPr>
              <w:pStyle w:val="Compact"/>
            </w:pPr>
            <w:r>
              <w:rPr>
                <w:b/>
                <w:color w:val="FFFFFF"/>
                <w:sz w:val="17"/>
              </w:rPr>
              <w:t xml:space="preserve">Responsabilité</w:t>
            </w:r>
          </w:p>
        </w:tc>
        <w:tc>
          <w:tcPr>
            <w:shd w:val="clear" w:color="auto" w:fill="232C6B"/>
          </w:tcPr>
          <w:p>
            <w:pPr>
              <w:pStyle w:val="Compact"/>
            </w:pPr>
            <w:r>
              <w:rPr>
                <w:b/>
                <w:color w:val="FFFFFF"/>
                <w:sz w:val="17"/>
              </w:rPr>
              <w:t xml:space="preserve">Agents métier MOSOLO concernés (§ 23.2)</w:t>
            </w:r>
          </w:p>
        </w:tc>
      </w:tr>
      <w:tr>
        <w:tc>
          <w:tcPr/>
          <w:p>
            <w:pPr>
              <w:pStyle w:val="Compact"/>
            </w:pPr>
            <w:r>
              <w:rPr>
                <w:sz w:val="17"/>
              </w:rPr>
              <w:t xml:space="preserve">Stratégie</w:t>
            </w:r>
          </w:p>
        </w:tc>
        <w:tc>
          <w:tcPr/>
          <w:p>
            <w:pPr>
              <w:pStyle w:val="Compact"/>
            </w:pPr>
            <w:r>
              <w:rPr>
                <w:sz w:val="17"/>
              </w:rPr>
              <w:t xml:space="preserve">Comprendre l’objectif, recommander la meilleure voie, identifier les leviers</w:t>
            </w:r>
          </w:p>
        </w:tc>
        <w:tc>
          <w:tcPr/>
          <w:p>
            <w:pPr>
              <w:pStyle w:val="Compact"/>
            </w:pPr>
            <w:r>
              <w:rPr>
                <w:sz w:val="17"/>
              </w:rPr>
              <w:t xml:space="preserve">Aide à la décision exécutive ; découverte des recettes</w:t>
            </w:r>
          </w:p>
        </w:tc>
      </w:tr>
      <w:tr>
        <w:tc>
          <w:tcPr>
            <w:shd w:val="clear" w:color="auto" w:fill="F5F7FB"/>
          </w:tcPr>
          <w:p>
            <w:pPr>
              <w:pStyle w:val="Compact"/>
            </w:pPr>
            <w:r>
              <w:rPr>
                <w:sz w:val="17"/>
              </w:rPr>
              <w:t xml:space="preserve">Processus (workflow)</w:t>
            </w:r>
          </w:p>
        </w:tc>
        <w:tc>
          <w:tcPr>
            <w:shd w:val="clear" w:color="auto" w:fill="F5F7FB"/>
          </w:tcPr>
          <w:p>
            <w:pPr>
              <w:pStyle w:val="Compact"/>
            </w:pPr>
            <w:r>
              <w:rPr>
                <w:sz w:val="17"/>
              </w:rPr>
              <w:t xml:space="preserve">Faire avancer les tâches, détecter les goulets, proposer l’étape suivante, automatiser le répétitif</w:t>
            </w:r>
          </w:p>
        </w:tc>
        <w:tc>
          <w:tcPr>
            <w:shd w:val="clear" w:color="auto" w:fill="F5F7FB"/>
          </w:tcPr>
          <w:p>
            <w:pPr>
              <w:pStyle w:val="Compact"/>
            </w:pPr>
            <w:r>
              <w:rPr>
                <w:sz w:val="17"/>
              </w:rPr>
              <w:t xml:space="preserve">Copilote ; missions terrain</w:t>
            </w:r>
          </w:p>
        </w:tc>
      </w:tr>
      <w:tr>
        <w:tc>
          <w:tcPr/>
          <w:p>
            <w:pPr>
              <w:pStyle w:val="Compact"/>
            </w:pPr>
            <w:r>
              <w:rPr>
                <w:sz w:val="17"/>
              </w:rPr>
              <w:t xml:space="preserve">Intelligence des données</w:t>
            </w:r>
          </w:p>
        </w:tc>
        <w:tc>
          <w:tcPr/>
          <w:p>
            <w:pPr>
              <w:pStyle w:val="Compact"/>
            </w:pPr>
            <w:r>
              <w:rPr>
                <w:sz w:val="17"/>
              </w:rPr>
              <w:t xml:space="preserve">Lire les données structurées et non structurées, extraire le sens, détecter les manques</w:t>
            </w:r>
          </w:p>
        </w:tc>
        <w:tc>
          <w:tcPr/>
          <w:p>
            <w:pPr>
              <w:pStyle w:val="Compact"/>
            </w:pPr>
            <w:r>
              <w:rPr>
                <w:sz w:val="17"/>
              </w:rPr>
              <w:t xml:space="preserve">Intelligence locative ; rapprochement</w:t>
            </w:r>
          </w:p>
        </w:tc>
      </w:tr>
      <w:tr>
        <w:tc>
          <w:tcPr>
            <w:shd w:val="clear" w:color="auto" w:fill="F5F7FB"/>
          </w:tcPr>
          <w:p>
            <w:pPr>
              <w:pStyle w:val="Compact"/>
            </w:pPr>
            <w:r>
              <w:rPr>
                <w:sz w:val="17"/>
              </w:rPr>
              <w:t xml:space="preserve">Prédiction</w:t>
            </w:r>
          </w:p>
        </w:tc>
        <w:tc>
          <w:tcPr>
            <w:shd w:val="clear" w:color="auto" w:fill="F5F7FB"/>
          </w:tcPr>
          <w:p>
            <w:pPr>
              <w:pStyle w:val="Compact"/>
            </w:pPr>
            <w:r>
              <w:rPr>
                <w:sz w:val="17"/>
              </w:rPr>
              <w:t xml:space="preserve">Prévoir issues, retards, risques, points de défaillance, occasions manquées</w:t>
            </w:r>
          </w:p>
        </w:tc>
        <w:tc>
          <w:tcPr>
            <w:shd w:val="clear" w:color="auto" w:fill="F5F7FB"/>
          </w:tcPr>
          <w:p>
            <w:pPr>
              <w:pStyle w:val="Compact"/>
            </w:pPr>
            <w:r>
              <w:rPr>
                <w:sz w:val="17"/>
              </w:rPr>
              <w:t xml:space="preserve">Prévision ; détection de fraude</w:t>
            </w:r>
          </w:p>
        </w:tc>
      </w:tr>
      <w:tr>
        <w:tc>
          <w:tcPr/>
          <w:p>
            <w:pPr>
              <w:pStyle w:val="Compact"/>
            </w:pPr>
            <w:r>
              <w:rPr>
                <w:sz w:val="17"/>
              </w:rPr>
              <w:t xml:space="preserve">Documents</w:t>
            </w:r>
          </w:p>
        </w:tc>
        <w:tc>
          <w:tcPr/>
          <w:p>
            <w:pPr>
              <w:pStyle w:val="Compact"/>
            </w:pPr>
            <w:r>
              <w:rPr>
                <w:sz w:val="17"/>
              </w:rPr>
              <w:t xml:space="preserve">Créer, relire, résumer, comparer, versionner ; extraire obligations, actions, risques</w:t>
            </w:r>
          </w:p>
        </w:tc>
        <w:tc>
          <w:tcPr/>
          <w:p>
            <w:pPr>
              <w:pStyle w:val="Compact"/>
            </w:pPr>
            <w:r>
              <w:rPr>
                <w:sz w:val="17"/>
              </w:rPr>
              <w:t xml:space="preserve">Copilote ; veille juridique</w:t>
            </w:r>
          </w:p>
        </w:tc>
      </w:tr>
      <w:tr>
        <w:tc>
          <w:tcPr>
            <w:shd w:val="clear" w:color="auto" w:fill="F5F7FB"/>
          </w:tcPr>
          <w:p>
            <w:pPr>
              <w:pStyle w:val="Compact"/>
            </w:pPr>
            <w:r>
              <w:rPr>
                <w:sz w:val="17"/>
              </w:rPr>
              <w:t xml:space="preserve">Communication</w:t>
            </w:r>
          </w:p>
        </w:tc>
        <w:tc>
          <w:tcPr>
            <w:shd w:val="clear" w:color="auto" w:fill="F5F7FB"/>
          </w:tcPr>
          <w:p>
            <w:pPr>
              <w:pStyle w:val="Compact"/>
            </w:pPr>
            <w:r>
              <w:rPr>
                <w:sz w:val="17"/>
              </w:rPr>
              <w:t xml:space="preserve">Rédiger avis, messages, rapports, réponses — ton professionnel et adapté</w:t>
            </w:r>
          </w:p>
        </w:tc>
        <w:tc>
          <w:tcPr>
            <w:shd w:val="clear" w:color="auto" w:fill="F5F7FB"/>
          </w:tcPr>
          <w:p>
            <w:pPr>
              <w:pStyle w:val="Compact"/>
            </w:pPr>
            <w:r>
              <w:rPr>
                <w:sz w:val="17"/>
              </w:rPr>
              <w:t xml:space="preserve">Apprentissage de l’usager ; moteur de communication (§ 11.4)</w:t>
            </w:r>
          </w:p>
        </w:tc>
      </w:tr>
      <w:tr>
        <w:tc>
          <w:tcPr/>
          <w:p>
            <w:pPr>
              <w:pStyle w:val="Compact"/>
            </w:pPr>
            <w:r>
              <w:rPr>
                <w:sz w:val="17"/>
              </w:rPr>
              <w:t xml:space="preserve">Conformité</w:t>
            </w:r>
          </w:p>
        </w:tc>
        <w:tc>
          <w:tcPr/>
          <w:p>
            <w:pPr>
              <w:pStyle w:val="Compact"/>
            </w:pPr>
            <w:r>
              <w:rPr>
                <w:sz w:val="17"/>
              </w:rPr>
              <w:t xml:space="preserve">Vérifier règles, délais, approbations, permissions, pièces obligatoires</w:t>
            </w:r>
          </w:p>
        </w:tc>
        <w:tc>
          <w:tcPr/>
          <w:p>
            <w:pPr>
              <w:pStyle w:val="Compact"/>
            </w:pPr>
            <w:r>
              <w:rPr>
                <w:sz w:val="17"/>
              </w:rPr>
              <w:t xml:space="preserve">Veille juridique ; contrôle des séparations de tâches</w:t>
            </w:r>
          </w:p>
        </w:tc>
      </w:tr>
      <w:tr>
        <w:tc>
          <w:tcPr>
            <w:shd w:val="clear" w:color="auto" w:fill="F5F7FB"/>
          </w:tcPr>
          <w:p>
            <w:pPr>
              <w:pStyle w:val="Compact"/>
            </w:pPr>
            <w:r>
              <w:rPr>
                <w:sz w:val="17"/>
              </w:rPr>
              <w:t xml:space="preserve">Finances (commercial)</w:t>
            </w:r>
          </w:p>
        </w:tc>
        <w:tc>
          <w:tcPr>
            <w:shd w:val="clear" w:color="auto" w:fill="F5F7FB"/>
          </w:tcPr>
          <w:p>
            <w:pPr>
              <w:pStyle w:val="Compact"/>
            </w:pPr>
            <w:r>
              <w:rPr>
                <w:sz w:val="17"/>
              </w:rPr>
              <w:t xml:space="preserve">Analyser coûts, recettes, rendement, déperdition, pression budgétaire</w:t>
            </w:r>
          </w:p>
        </w:tc>
        <w:tc>
          <w:tcPr>
            <w:shd w:val="clear" w:color="auto" w:fill="F5F7FB"/>
          </w:tcPr>
          <w:p>
            <w:pPr>
              <w:pStyle w:val="Compact"/>
            </w:pPr>
            <w:r>
              <w:rPr>
                <w:sz w:val="17"/>
              </w:rPr>
              <w:t xml:space="preserve">Découverte des recettes ; allocation</w:t>
            </w:r>
          </w:p>
        </w:tc>
      </w:tr>
      <w:tr>
        <w:tc>
          <w:tcPr/>
          <w:p>
            <w:pPr>
              <w:pStyle w:val="Compact"/>
            </w:pPr>
            <w:r>
              <w:rPr>
                <w:sz w:val="17"/>
              </w:rPr>
              <w:t xml:space="preserve">Automatisation</w:t>
            </w:r>
          </w:p>
        </w:tc>
        <w:tc>
          <w:tcPr/>
          <w:p>
            <w:pPr>
              <w:pStyle w:val="Compact"/>
            </w:pPr>
            <w:r>
              <w:rPr>
                <w:sz w:val="17"/>
              </w:rPr>
              <w:t xml:space="preserve">Repérer les actions répétées, proposer des automatisations, déclencher rappels, alertes, tâches</w:t>
            </w:r>
          </w:p>
        </w:tc>
        <w:tc>
          <w:tcPr/>
          <w:p>
            <w:pPr>
              <w:pStyle w:val="Compact"/>
            </w:pPr>
            <w:r>
              <w:rPr>
                <w:sz w:val="17"/>
              </w:rPr>
              <w:t xml:space="preserve">Tous</w:t>
            </w:r>
          </w:p>
        </w:tc>
      </w:tr>
      <w:tr>
        <w:tc>
          <w:tcPr>
            <w:shd w:val="clear" w:color="auto" w:fill="F5F7FB"/>
          </w:tcPr>
          <w:p>
            <w:pPr>
              <w:pStyle w:val="Compact"/>
            </w:pPr>
            <w:r>
              <w:rPr>
                <w:sz w:val="17"/>
              </w:rPr>
              <w:t xml:space="preserve">Personnalisation</w:t>
            </w:r>
          </w:p>
        </w:tc>
        <w:tc>
          <w:tcPr>
            <w:shd w:val="clear" w:color="auto" w:fill="F5F7FB"/>
          </w:tcPr>
          <w:p>
            <w:pPr>
              <w:pStyle w:val="Compact"/>
            </w:pPr>
            <w:r>
              <w:rPr>
                <w:sz w:val="17"/>
              </w:rPr>
              <w:t xml:space="preserve">Adapter l’expérience au rôle, à la langue, à l’historique</w:t>
            </w:r>
          </w:p>
        </w:tc>
        <w:tc>
          <w:tcPr>
            <w:shd w:val="clear" w:color="auto" w:fill="F5F7FB"/>
          </w:tcPr>
          <w:p>
            <w:pPr>
              <w:pStyle w:val="Compact"/>
            </w:pPr>
            <w:r>
              <w:rPr>
                <w:sz w:val="17"/>
              </w:rPr>
              <w:t xml:space="preserve">Tous (dans les limites du § 23.5.4)</w:t>
            </w:r>
          </w:p>
        </w:tc>
      </w:tr>
    </w:tbl>
    <w:p>
      <w:pPr>
        <w:pStyle w:val="BodyText"/>
      </w:pPr>
      <w:r>
        <w:t xml:space="preserve">Tous passent par la</w:t>
      </w:r>
      <w:r>
        <w:t xml:space="preserve"> </w:t>
      </w:r>
      <w:r>
        <w:rPr>
          <w:b/>
          <w:bCs/>
        </w:rPr>
        <w:t xml:space="preserve">couche d’orchestration</w:t>
      </w:r>
      <w:r>
        <w:t xml:space="preserve"> </w:t>
      </w:r>
      <w:r>
        <w:t xml:space="preserve">(passerelle IA, § 23.3), qui applique les droits, journalise et impose le format de sortie.</w:t>
      </w:r>
    </w:p>
    <w:bookmarkEnd w:id="245"/>
    <w:bookmarkStart w:id="246" w:name="X7ec995f80f9c5a57dacacf85bc23ea91254a0c1"/>
    <w:p>
      <w:pPr>
        <w:pStyle w:val="Heading3"/>
      </w:pPr>
      <w:r>
        <w:t xml:space="preserve">23.5.6 Fonctions IA disponibles dans toute la plateforme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Fonction</w:t>
            </w:r>
          </w:p>
        </w:tc>
        <w:tc>
          <w:tcPr>
            <w:shd w:val="clear" w:color="auto" w:fill="232C6B"/>
          </w:tcPr>
          <w:p>
            <w:pPr>
              <w:pStyle w:val="Compact"/>
            </w:pPr>
            <w:r>
              <w:rPr>
                <w:b/>
                <w:color w:val="FFFFFF"/>
                <w:sz w:val="17"/>
              </w:rPr>
              <w:t xml:space="preserve">Exemple MOSOLO</w:t>
            </w:r>
          </w:p>
        </w:tc>
      </w:tr>
      <w:tr>
        <w:tc>
          <w:tcPr/>
          <w:p>
            <w:pPr>
              <w:pStyle w:val="Compact"/>
            </w:pPr>
            <w:r>
              <w:rPr>
                <w:sz w:val="17"/>
              </w:rPr>
              <w:t xml:space="preserve">Recherche IA</w:t>
            </w:r>
          </w:p>
        </w:tc>
        <w:tc>
          <w:tcPr/>
          <w:p>
            <w:pPr>
              <w:pStyle w:val="Compact"/>
            </w:pPr>
            <w:r>
              <w:rPr>
                <w:sz w:val="17"/>
              </w:rPr>
              <w:t xml:space="preserve">« Parcelles de Limete avec plus de 3 compteurs et sans bail » (dans le périmètre de l’utilisateur)</w:t>
            </w:r>
          </w:p>
        </w:tc>
      </w:tr>
      <w:tr>
        <w:tc>
          <w:tcPr>
            <w:shd w:val="clear" w:color="auto" w:fill="F5F7FB"/>
          </w:tcPr>
          <w:p>
            <w:pPr>
              <w:pStyle w:val="Compact"/>
            </w:pPr>
            <w:r>
              <w:rPr>
                <w:sz w:val="17"/>
              </w:rPr>
              <w:t xml:space="preserve">Résumés</w:t>
            </w:r>
          </w:p>
        </w:tc>
        <w:tc>
          <w:tcPr>
            <w:shd w:val="clear" w:color="auto" w:fill="F5F7FB"/>
          </w:tcPr>
          <w:p>
            <w:pPr>
              <w:pStyle w:val="Compact"/>
            </w:pPr>
            <w:r>
              <w:rPr>
                <w:sz w:val="17"/>
              </w:rPr>
              <w:t xml:space="preserve">Résumé d’un dossier de réclamation de 40 pièces</w:t>
            </w:r>
          </w:p>
        </w:tc>
      </w:tr>
      <w:tr>
        <w:tc>
          <w:tcPr/>
          <w:p>
            <w:pPr>
              <w:pStyle w:val="Compact"/>
            </w:pPr>
            <w:r>
              <w:rPr>
                <w:sz w:val="17"/>
              </w:rPr>
              <w:t xml:space="preserve">Recommandations</w:t>
            </w:r>
          </w:p>
        </w:tc>
        <w:tc>
          <w:tcPr/>
          <w:p>
            <w:pPr>
              <w:pStyle w:val="Compact"/>
            </w:pPr>
            <w:r>
              <w:rPr>
                <w:sz w:val="17"/>
              </w:rPr>
              <w:t xml:space="preserve">Prochaine meilleure action sur un arriéré</w:t>
            </w:r>
          </w:p>
        </w:tc>
      </w:tr>
      <w:tr>
        <w:tc>
          <w:tcPr>
            <w:shd w:val="clear" w:color="auto" w:fill="F5F7FB"/>
          </w:tcPr>
          <w:p>
            <w:pPr>
              <w:pStyle w:val="Compact"/>
            </w:pPr>
            <w:r>
              <w:rPr>
                <w:sz w:val="17"/>
              </w:rPr>
              <w:t xml:space="preserve">Détection de risques</w:t>
            </w:r>
          </w:p>
        </w:tc>
        <w:tc>
          <w:tcPr>
            <w:shd w:val="clear" w:color="auto" w:fill="F5F7FB"/>
          </w:tcPr>
          <w:p>
            <w:pPr>
              <w:pStyle w:val="Compact"/>
            </w:pPr>
            <w:r>
              <w:rPr>
                <w:sz w:val="17"/>
              </w:rPr>
              <w:t xml:space="preserve">Pic d’annulations</w:t>
            </w:r>
          </w:p>
        </w:tc>
      </w:tr>
      <w:tr>
        <w:tc>
          <w:tcPr/>
          <w:p>
            <w:pPr>
              <w:pStyle w:val="Compact"/>
            </w:pPr>
            <w:r>
              <w:rPr>
                <w:sz w:val="17"/>
              </w:rPr>
              <w:t xml:space="preserve">Guidage de l’étape suivante</w:t>
            </w:r>
          </w:p>
        </w:tc>
        <w:tc>
          <w:tcPr/>
          <w:p>
            <w:pPr>
              <w:pStyle w:val="Compact"/>
            </w:pPr>
            <w:r>
              <w:rPr>
                <w:sz w:val="17"/>
              </w:rPr>
              <w:t xml:space="preserve">Liste de contrôle contextuelle</w:t>
            </w:r>
          </w:p>
        </w:tc>
      </w:tr>
      <w:tr>
        <w:tc>
          <w:tcPr>
            <w:shd w:val="clear" w:color="auto" w:fill="F5F7FB"/>
          </w:tcPr>
          <w:p>
            <w:pPr>
              <w:pStyle w:val="Compact"/>
            </w:pPr>
            <w:r>
              <w:rPr>
                <w:sz w:val="17"/>
              </w:rPr>
              <w:t xml:space="preserve">Rédaction</w:t>
            </w:r>
          </w:p>
        </w:tc>
        <w:tc>
          <w:tcPr>
            <w:shd w:val="clear" w:color="auto" w:fill="F5F7FB"/>
          </w:tcPr>
          <w:p>
            <w:pPr>
              <w:pStyle w:val="Compact"/>
            </w:pPr>
            <w:r>
              <w:rPr>
                <w:sz w:val="17"/>
              </w:rPr>
              <w:t xml:space="preserve">Projet de décision motivée (à signer par l’autorité)</w:t>
            </w:r>
          </w:p>
        </w:tc>
      </w:tr>
      <w:tr>
        <w:tc>
          <w:tcPr/>
          <w:p>
            <w:pPr>
              <w:pStyle w:val="Compact"/>
            </w:pPr>
            <w:r>
              <w:rPr>
                <w:sz w:val="17"/>
              </w:rPr>
              <w:t xml:space="preserve">Classification et étiquetage</w:t>
            </w:r>
          </w:p>
        </w:tc>
        <w:tc>
          <w:tcPr/>
          <w:p>
            <w:pPr>
              <w:pStyle w:val="Compact"/>
            </w:pPr>
            <w:r>
              <w:rPr>
                <w:sz w:val="17"/>
              </w:rPr>
              <w:t xml:space="preserve">Type de pièce déposée, motif de réclamation</w:t>
            </w:r>
          </w:p>
        </w:tc>
      </w:tr>
      <w:tr>
        <w:tc>
          <w:tcPr>
            <w:shd w:val="clear" w:color="auto" w:fill="F5F7FB"/>
          </w:tcPr>
          <w:p>
            <w:pPr>
              <w:pStyle w:val="Compact"/>
            </w:pPr>
            <w:r>
              <w:rPr>
                <w:sz w:val="17"/>
              </w:rPr>
              <w:t xml:space="preserve">Notation</w:t>
            </w:r>
          </w:p>
        </w:tc>
        <w:tc>
          <w:tcPr>
            <w:shd w:val="clear" w:color="auto" w:fill="F5F7FB"/>
          </w:tcPr>
          <w:p>
            <w:pPr>
              <w:pStyle w:val="Compact"/>
            </w:pPr>
            <w:r>
              <w:rPr>
                <w:sz w:val="17"/>
              </w:rPr>
              <w:t xml:space="preserve">Score de probabilité de location, expliqué</w:t>
            </w:r>
          </w:p>
        </w:tc>
      </w:tr>
      <w:tr>
        <w:tc>
          <w:tcPr/>
          <w:p>
            <w:pPr>
              <w:pStyle w:val="Compact"/>
            </w:pPr>
            <w:r>
              <w:rPr>
                <w:sz w:val="17"/>
              </w:rPr>
              <w:t xml:space="preserve">Prévision</w:t>
            </w:r>
          </w:p>
        </w:tc>
        <w:tc>
          <w:tcPr/>
          <w:p>
            <w:pPr>
              <w:pStyle w:val="Compact"/>
            </w:pPr>
            <w:r>
              <w:rPr>
                <w:sz w:val="17"/>
              </w:rPr>
              <w:t xml:space="preserve">Encaissements de la semaine par commune</w:t>
            </w:r>
          </w:p>
        </w:tc>
      </w:tr>
      <w:tr>
        <w:tc>
          <w:tcPr>
            <w:shd w:val="clear" w:color="auto" w:fill="F5F7FB"/>
          </w:tcPr>
          <w:p>
            <w:pPr>
              <w:pStyle w:val="Compact"/>
            </w:pPr>
            <w:r>
              <w:rPr>
                <w:sz w:val="17"/>
              </w:rPr>
              <w:t xml:space="preserve">Alertes</w:t>
            </w:r>
          </w:p>
        </w:tc>
        <w:tc>
          <w:tcPr>
            <w:shd w:val="clear" w:color="auto" w:fill="F5F7FB"/>
          </w:tcPr>
          <w:p>
            <w:pPr>
              <w:pStyle w:val="Compact"/>
            </w:pPr>
            <w:r>
              <w:rPr>
                <w:sz w:val="17"/>
              </w:rPr>
              <w:t xml:space="preserve">Seuils d’indicateurs</w:t>
            </w:r>
          </w:p>
        </w:tc>
      </w:tr>
      <w:tr>
        <w:tc>
          <w:tcPr/>
          <w:p>
            <w:pPr>
              <w:pStyle w:val="Compact"/>
            </w:pPr>
            <w:r>
              <w:rPr>
                <w:sz w:val="17"/>
              </w:rPr>
              <w:t xml:space="preserve">Automatisation des processus</w:t>
            </w:r>
          </w:p>
        </w:tc>
        <w:tc>
          <w:tcPr/>
          <w:p>
            <w:pPr>
              <w:pStyle w:val="Compact"/>
            </w:pPr>
            <w:r>
              <w:rPr>
                <w:sz w:val="17"/>
              </w:rPr>
              <w:t xml:space="preserve">Relances, affectations, création de tâches</w:t>
            </w:r>
          </w:p>
        </w:tc>
      </w:tr>
      <w:tr>
        <w:tc>
          <w:tcPr>
            <w:shd w:val="clear" w:color="auto" w:fill="F5F7FB"/>
          </w:tcPr>
          <w:p>
            <w:pPr>
              <w:pStyle w:val="Compact"/>
            </w:pPr>
            <w:r>
              <w:rPr>
                <w:sz w:val="17"/>
              </w:rPr>
              <w:t xml:space="preserve">Compréhension de documents</w:t>
            </w:r>
          </w:p>
        </w:tc>
        <w:tc>
          <w:tcPr>
            <w:shd w:val="clear" w:color="auto" w:fill="F5F7FB"/>
          </w:tcPr>
          <w:p>
            <w:pPr>
              <w:pStyle w:val="Compact"/>
            </w:pPr>
            <w:r>
              <w:rPr>
                <w:sz w:val="17"/>
              </w:rPr>
              <w:t xml:space="preserve">Lecture d’un bail scanné (OCR + extraction)</w:t>
            </w:r>
          </w:p>
        </w:tc>
      </w:tr>
      <w:tr>
        <w:tc>
          <w:tcPr/>
          <w:p>
            <w:pPr>
              <w:pStyle w:val="Compact"/>
            </w:pPr>
            <w:r>
              <w:rPr>
                <w:sz w:val="17"/>
              </w:rPr>
              <w:t xml:space="preserve">Extraction de données</w:t>
            </w:r>
          </w:p>
        </w:tc>
        <w:tc>
          <w:tcPr/>
          <w:p>
            <w:pPr>
              <w:pStyle w:val="Compact"/>
            </w:pPr>
            <w:r>
              <w:rPr>
                <w:sz w:val="17"/>
              </w:rPr>
              <w:t xml:space="preserve">Loyer, dates, parties d’un bail</w:t>
            </w:r>
          </w:p>
        </w:tc>
      </w:tr>
      <w:tr>
        <w:tc>
          <w:tcPr>
            <w:shd w:val="clear" w:color="auto" w:fill="F5F7FB"/>
          </w:tcPr>
          <w:p>
            <w:pPr>
              <w:pStyle w:val="Compact"/>
            </w:pPr>
            <w:r>
              <w:rPr>
                <w:sz w:val="17"/>
              </w:rPr>
              <w:t xml:space="preserve">Personnalisation</w:t>
            </w:r>
          </w:p>
        </w:tc>
        <w:tc>
          <w:tcPr>
            <w:shd w:val="clear" w:color="auto" w:fill="F5F7FB"/>
          </w:tcPr>
          <w:p>
            <w:pPr>
              <w:pStyle w:val="Compact"/>
            </w:pPr>
            <w:r>
              <w:rPr>
                <w:sz w:val="17"/>
              </w:rPr>
              <w:t xml:space="preserve">Tableau de bord par rôle</w:t>
            </w:r>
          </w:p>
        </w:tc>
      </w:tr>
      <w:tr>
        <w:tc>
          <w:tcPr/>
          <w:p>
            <w:pPr>
              <w:pStyle w:val="Compact"/>
            </w:pPr>
            <w:r>
              <w:rPr>
                <w:sz w:val="17"/>
              </w:rPr>
              <w:t xml:space="preserve">Comparaison</w:t>
            </w:r>
          </w:p>
        </w:tc>
        <w:tc>
          <w:tcPr/>
          <w:p>
            <w:pPr>
              <w:pStyle w:val="Compact"/>
            </w:pPr>
            <w:r>
              <w:rPr>
                <w:sz w:val="17"/>
              </w:rPr>
              <w:t xml:space="preserve">Deux versions d’une règle</w:t>
            </w:r>
          </w:p>
        </w:tc>
      </w:tr>
      <w:tr>
        <w:tc>
          <w:tcPr>
            <w:shd w:val="clear" w:color="auto" w:fill="F5F7FB"/>
          </w:tcPr>
          <w:p>
            <w:pPr>
              <w:pStyle w:val="Compact"/>
            </w:pPr>
            <w:r>
              <w:rPr>
                <w:sz w:val="17"/>
              </w:rPr>
              <w:t xml:space="preserve">Explication</w:t>
            </w:r>
          </w:p>
        </w:tc>
        <w:tc>
          <w:tcPr>
            <w:shd w:val="clear" w:color="auto" w:fill="F5F7FB"/>
          </w:tcPr>
          <w:p>
            <w:pPr>
              <w:pStyle w:val="Compact"/>
            </w:pPr>
            <w:r>
              <w:rPr>
                <w:sz w:val="17"/>
              </w:rPr>
              <w:t xml:space="preserve">Pourquoi ce montant, pourquoi cette alerte</w:t>
            </w:r>
          </w:p>
        </w:tc>
      </w:tr>
      <w:tr>
        <w:tc>
          <w:tcPr/>
          <w:p>
            <w:pPr>
              <w:pStyle w:val="Compact"/>
            </w:pPr>
            <w:r>
              <w:rPr>
                <w:sz w:val="17"/>
              </w:rPr>
              <w:t xml:space="preserve">Aide à la décision</w:t>
            </w:r>
          </w:p>
        </w:tc>
        <w:tc>
          <w:tcPr/>
          <w:p>
            <w:pPr>
              <w:pStyle w:val="Compact"/>
            </w:pPr>
            <w:r>
              <w:rPr>
                <w:sz w:val="17"/>
              </w:rPr>
              <w:t xml:space="preserve">Options, effets, risques</w:t>
            </w:r>
          </w:p>
        </w:tc>
      </w:tr>
      <w:tr>
        <w:tc>
          <w:tcPr>
            <w:shd w:val="clear" w:color="auto" w:fill="F5F7FB"/>
          </w:tcPr>
          <w:p>
            <w:pPr>
              <w:pStyle w:val="Compact"/>
            </w:pPr>
            <w:r>
              <w:rPr>
                <w:sz w:val="17"/>
              </w:rPr>
              <w:t xml:space="preserve">Suivi de performance</w:t>
            </w:r>
          </w:p>
        </w:tc>
        <w:tc>
          <w:tcPr>
            <w:shd w:val="clear" w:color="auto" w:fill="F5F7FB"/>
          </w:tcPr>
          <w:p>
            <w:pPr>
              <w:pStyle w:val="Compact"/>
            </w:pPr>
            <w:r>
              <w:rPr>
                <w:sz w:val="17"/>
              </w:rPr>
              <w:t xml:space="preserve">Indicateurs d’équipe, écarts</w:t>
            </w:r>
          </w:p>
        </w:tc>
      </w:tr>
      <w:tr>
        <w:tc>
          <w:tcPr/>
          <w:p>
            <w:pPr>
              <w:pStyle w:val="Compact"/>
            </w:pPr>
            <w:r>
              <w:rPr>
                <w:sz w:val="17"/>
              </w:rPr>
              <w:t xml:space="preserve">Détection d’anomalies</w:t>
            </w:r>
          </w:p>
        </w:tc>
        <w:tc>
          <w:tcPr/>
          <w:p>
            <w:pPr>
              <w:pStyle w:val="Compact"/>
            </w:pPr>
            <w:r>
              <w:rPr>
                <w:sz w:val="17"/>
              </w:rPr>
              <w:t xml:space="preserve">Transactions, accès, constats</w:t>
            </w:r>
          </w:p>
        </w:tc>
      </w:tr>
      <w:tr>
        <w:tc>
          <w:tcPr>
            <w:shd w:val="clear" w:color="auto" w:fill="F5F7FB"/>
          </w:tcPr>
          <w:p>
            <w:pPr>
              <w:pStyle w:val="Compact"/>
            </w:pPr>
            <w:r>
              <w:rPr>
                <w:sz w:val="17"/>
              </w:rPr>
              <w:t xml:space="preserve">Génération de piste d’audit</w:t>
            </w:r>
          </w:p>
        </w:tc>
        <w:tc>
          <w:tcPr>
            <w:shd w:val="clear" w:color="auto" w:fill="F5F7FB"/>
          </w:tcPr>
          <w:p>
            <w:pPr>
              <w:pStyle w:val="Compact"/>
            </w:pPr>
            <w:r>
              <w:rPr>
                <w:sz w:val="17"/>
              </w:rPr>
              <w:t xml:space="preserve">Chronologie lisible d’un dossier</w:t>
            </w:r>
          </w:p>
        </w:tc>
      </w:tr>
    </w:tbl>
    <w:bookmarkEnd w:id="246"/>
    <w:bookmarkStart w:id="247" w:name="format-de-sortie-standard"/>
    <w:p>
      <w:pPr>
        <w:pStyle w:val="Heading3"/>
      </w:pPr>
      <w:r>
        <w:t xml:space="preserve">23.5.7 Format de sortie standard</w:t>
      </w:r>
    </w:p>
    <w:p>
      <w:pPr>
        <w:pStyle w:val="FirstParagraph"/>
      </w:pPr>
      <w:r>
        <w:t xml:space="preserve">Toute analyse de la couche d’intelligence est structurée ainsi (objet</w:t>
      </w:r>
      <w:r>
        <w:t xml:space="preserve"> </w:t>
      </w:r>
      <w:r>
        <w:rPr>
          <w:rStyle w:val="VerbatimChar"/>
        </w:rPr>
        <w:t xml:space="preserve">AIRecommendation</w:t>
      </w:r>
      <w:r>
        <w:t xml:space="preserve">) :</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Rubrique</w:t>
            </w:r>
          </w:p>
        </w:tc>
        <w:tc>
          <w:tcPr>
            <w:shd w:val="clear" w:color="auto" w:fill="232C6B"/>
          </w:tcPr>
          <w:p>
            <w:pPr>
              <w:pStyle w:val="Compact"/>
            </w:pPr>
            <w:r>
              <w:rPr>
                <w:b/>
                <w:color w:val="FFFFFF"/>
                <w:sz w:val="17"/>
              </w:rPr>
              <w:t xml:space="preserve">Contenu</w:t>
            </w:r>
          </w:p>
        </w:tc>
      </w:tr>
      <w:tr>
        <w:tc>
          <w:tcPr/>
          <w:p>
            <w:pPr>
              <w:pStyle w:val="Compact"/>
            </w:pPr>
            <w:r>
              <w:rPr>
                <w:b/>
                <w:bCs/>
                <w:sz w:val="17"/>
              </w:rPr>
              <w:t xml:space="preserve">1. Situation</w:t>
            </w:r>
          </w:p>
        </w:tc>
        <w:tc>
          <w:tcPr/>
          <w:p>
            <w:pPr>
              <w:pStyle w:val="Compact"/>
            </w:pPr>
            <w:r>
              <w:rPr>
                <w:sz w:val="17"/>
              </w:rPr>
              <w:t xml:space="preserve">Ce qui se passe</w:t>
            </w:r>
          </w:p>
        </w:tc>
      </w:tr>
      <w:tr>
        <w:tc>
          <w:tcPr>
            <w:shd w:val="clear" w:color="auto" w:fill="F5F7FB"/>
          </w:tcPr>
          <w:p>
            <w:pPr>
              <w:pStyle w:val="Compact"/>
            </w:pPr>
            <w:r>
              <w:rPr>
                <w:b/>
                <w:bCs/>
                <w:sz w:val="17"/>
              </w:rPr>
              <w:t xml:space="preserve">2. Analyse</w:t>
            </w:r>
          </w:p>
        </w:tc>
        <w:tc>
          <w:tcPr>
            <w:shd w:val="clear" w:color="auto" w:fill="F5F7FB"/>
          </w:tcPr>
          <w:p>
            <w:pPr>
              <w:pStyle w:val="Compact"/>
            </w:pPr>
            <w:r>
              <w:rPr>
                <w:sz w:val="17"/>
              </w:rPr>
              <w:t xml:space="preserve">Ce que signifient les données</w:t>
            </w:r>
          </w:p>
        </w:tc>
      </w:tr>
      <w:tr>
        <w:tc>
          <w:tcPr/>
          <w:p>
            <w:pPr>
              <w:pStyle w:val="Compact"/>
            </w:pPr>
            <w:r>
              <w:rPr>
                <w:b/>
                <w:bCs/>
                <w:sz w:val="17"/>
              </w:rPr>
              <w:t xml:space="preserve">3. Risque</w:t>
            </w:r>
          </w:p>
        </w:tc>
        <w:tc>
          <w:tcPr/>
          <w:p>
            <w:pPr>
              <w:pStyle w:val="Compact"/>
            </w:pPr>
            <w:r>
              <w:rPr>
                <w:sz w:val="17"/>
              </w:rPr>
              <w:t xml:space="preserve">Ce qui pourrait mal tourner</w:t>
            </w:r>
          </w:p>
        </w:tc>
      </w:tr>
      <w:tr>
        <w:tc>
          <w:tcPr>
            <w:shd w:val="clear" w:color="auto" w:fill="F5F7FB"/>
          </w:tcPr>
          <w:p>
            <w:pPr>
              <w:pStyle w:val="Compact"/>
            </w:pPr>
            <w:r>
              <w:rPr>
                <w:b/>
                <w:bCs/>
                <w:sz w:val="17"/>
              </w:rPr>
              <w:t xml:space="preserve">4. Recommandation</w:t>
            </w:r>
          </w:p>
        </w:tc>
        <w:tc>
          <w:tcPr>
            <w:shd w:val="clear" w:color="auto" w:fill="F5F7FB"/>
          </w:tcPr>
          <w:p>
            <w:pPr>
              <w:pStyle w:val="Compact"/>
            </w:pPr>
            <w:r>
              <w:rPr>
                <w:sz w:val="17"/>
              </w:rPr>
              <w:t xml:space="preserve">Ce qu’il faudrait faire</w:t>
            </w:r>
          </w:p>
        </w:tc>
      </w:tr>
      <w:tr>
        <w:tc>
          <w:tcPr/>
          <w:p>
            <w:pPr>
              <w:pStyle w:val="Compact"/>
            </w:pPr>
            <w:r>
              <w:rPr>
                <w:b/>
                <w:bCs/>
                <w:sz w:val="17"/>
              </w:rPr>
              <w:t xml:space="preserve">5. Prochaine action</w:t>
            </w:r>
          </w:p>
        </w:tc>
        <w:tc>
          <w:tcPr/>
          <w:p>
            <w:pPr>
              <w:pStyle w:val="Compact"/>
            </w:pPr>
            <w:r>
              <w:rPr>
                <w:sz w:val="17"/>
              </w:rPr>
              <w:t xml:space="preserve">L’étape la plus pratique maintenant</w:t>
            </w:r>
          </w:p>
        </w:tc>
      </w:tr>
      <w:tr>
        <w:tc>
          <w:tcPr>
            <w:shd w:val="clear" w:color="auto" w:fill="F5F7FB"/>
          </w:tcPr>
          <w:p>
            <w:pPr>
              <w:pStyle w:val="Compact"/>
            </w:pPr>
            <w:r>
              <w:rPr>
                <w:b/>
                <w:bCs/>
                <w:sz w:val="17"/>
              </w:rPr>
              <w:t xml:space="preserve">6. Responsable</w:t>
            </w:r>
          </w:p>
        </w:tc>
        <w:tc>
          <w:tcPr>
            <w:shd w:val="clear" w:color="auto" w:fill="F5F7FB"/>
          </w:tcPr>
          <w:p>
            <w:pPr>
              <w:pStyle w:val="Compact"/>
            </w:pPr>
            <w:r>
              <w:rPr>
                <w:sz w:val="17"/>
              </w:rPr>
              <w:t xml:space="preserve">Qui doit agir (rôle, jamais « l’IA »)</w:t>
            </w:r>
          </w:p>
        </w:tc>
      </w:tr>
      <w:tr>
        <w:tc>
          <w:tcPr/>
          <w:p>
            <w:pPr>
              <w:pStyle w:val="Compact"/>
            </w:pPr>
            <w:r>
              <w:rPr>
                <w:b/>
                <w:bCs/>
                <w:sz w:val="17"/>
              </w:rPr>
              <w:t xml:space="preserve">7. Échéance</w:t>
            </w:r>
          </w:p>
        </w:tc>
        <w:tc>
          <w:tcPr/>
          <w:p>
            <w:pPr>
              <w:pStyle w:val="Compact"/>
            </w:pPr>
            <w:r>
              <w:rPr>
                <w:sz w:val="17"/>
              </w:rPr>
              <w:t xml:space="preserve">Quand</w:t>
            </w:r>
          </w:p>
        </w:tc>
      </w:tr>
      <w:tr>
        <w:tc>
          <w:tcPr>
            <w:shd w:val="clear" w:color="auto" w:fill="F5F7FB"/>
          </w:tcPr>
          <w:p>
            <w:pPr>
              <w:pStyle w:val="Compact"/>
            </w:pPr>
            <w:r>
              <w:rPr>
                <w:b/>
                <w:bCs/>
                <w:sz w:val="17"/>
              </w:rPr>
              <w:t xml:space="preserve">8. Niveau de confiance</w:t>
            </w:r>
          </w:p>
        </w:tc>
        <w:tc>
          <w:tcPr>
            <w:shd w:val="clear" w:color="auto" w:fill="F5F7FB"/>
          </w:tcPr>
          <w:p>
            <w:pPr>
              <w:pStyle w:val="Compact"/>
            </w:pPr>
            <w:r>
              <w:rPr>
                <w:sz w:val="17"/>
              </w:rPr>
              <w:t xml:space="preserve">Élevé, moyen ou faible, selon la qualité des données, avec les sources citées</w:t>
            </w:r>
          </w:p>
        </w:tc>
      </w:tr>
    </w:tbl>
    <w:p>
      <w:pPr>
        <w:pStyle w:val="BodyText"/>
      </w:pPr>
      <w:r>
        <w:t xml:space="preserve">Pour toute décision importante, la couche fournit en outre :</w:t>
      </w:r>
      <w:r>
        <w:t xml:space="preserve"> </w:t>
      </w:r>
      <w:r>
        <w:rPr>
          <w:b/>
          <w:bCs/>
        </w:rPr>
        <w:t xml:space="preserve">meilleure option ; option alternative ; risque de l’inaction ; impact financier ; impact opérationnel ; étape recommandée</w:t>
      </w:r>
      <w:r>
        <w:t xml:space="preserve">.</w:t>
      </w:r>
    </w:p>
    <w:bookmarkEnd w:id="247"/>
    <w:bookmarkStart w:id="248" w:name="X20f93c4773963e18065a7ca3ee7f7ce8d950f8b"/>
    <w:p>
      <w:pPr>
        <w:pStyle w:val="Heading3"/>
      </w:pPr>
      <w:r>
        <w:t xml:space="preserve">23.5.8 Règles de prédiction, d’automatisation et de données</w:t>
      </w:r>
    </w:p>
    <w:p>
      <w:pPr>
        <w:pStyle w:val="FirstParagraph"/>
      </w:pPr>
      <w:r>
        <w:rPr>
          <w:b/>
          <w:bCs/>
        </w:rPr>
        <w:t xml:space="preserve">Prédiction proactive.</w:t>
      </w:r>
      <w:r>
        <w:t xml:space="preserve"> </w:t>
      </w:r>
      <w:r>
        <w:t xml:space="preserve">La plateforme n’attend pas que l’utilisateur découvre un problème : elle signale retards, informations manquantes, performances faibles, pression sur les coûts, faible engagement, processus incomplets, doublons de travail, données contradictoires, comportements inhabituels, lacunes de conformité, gisements de recettes et inefficacités.</w:t>
      </w:r>
    </w:p>
    <w:p>
      <w:pPr>
        <w:pStyle w:val="BodyText"/>
      </w:pPr>
      <w:r>
        <w:rPr>
          <w:b/>
          <w:bCs/>
        </w:rPr>
        <w:t xml:space="preserve">Automatisation, selon trois niveaux d’autonomie :</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Niveau</w:t>
            </w:r>
          </w:p>
        </w:tc>
        <w:tc>
          <w:tcPr>
            <w:shd w:val="clear" w:color="auto" w:fill="232C6B"/>
          </w:tcPr>
          <w:p>
            <w:pPr>
              <w:pStyle w:val="Compact"/>
            </w:pPr>
            <w:r>
              <w:rPr>
                <w:b/>
                <w:color w:val="FFFFFF"/>
                <w:sz w:val="17"/>
              </w:rPr>
              <w:t xml:space="preserve">Actions</w:t>
            </w:r>
          </w:p>
        </w:tc>
        <w:tc>
          <w:tcPr>
            <w:shd w:val="clear" w:color="auto" w:fill="232C6B"/>
          </w:tcPr>
          <w:p>
            <w:pPr>
              <w:pStyle w:val="Compact"/>
            </w:pPr>
            <w:r>
              <w:rPr>
                <w:b/>
                <w:color w:val="FFFFFF"/>
                <w:sz w:val="17"/>
              </w:rPr>
              <w:t xml:space="preserve">Exemples</w:t>
            </w:r>
          </w:p>
        </w:tc>
        <w:tc>
          <w:tcPr>
            <w:shd w:val="clear" w:color="auto" w:fill="232C6B"/>
          </w:tcPr>
          <w:p>
            <w:pPr>
              <w:pStyle w:val="Compact"/>
            </w:pPr>
            <w:r>
              <w:rPr>
                <w:b/>
                <w:color w:val="FFFFFF"/>
                <w:sz w:val="17"/>
              </w:rPr>
              <w:t xml:space="preserve">Contrôle</w:t>
            </w:r>
          </w:p>
        </w:tc>
      </w:tr>
      <w:tr>
        <w:tc>
          <w:tcPr/>
          <w:p>
            <w:pPr>
              <w:pStyle w:val="Compact"/>
            </w:pPr>
            <w:r>
              <w:rPr>
                <w:sz w:val="17"/>
              </w:rPr>
              <w:t xml:space="preserve">A — Exécution automatique</w:t>
            </w:r>
          </w:p>
        </w:tc>
        <w:tc>
          <w:tcPr/>
          <w:p>
            <w:pPr>
              <w:pStyle w:val="Compact"/>
            </w:pPr>
            <w:r>
              <w:rPr>
                <w:sz w:val="17"/>
              </w:rPr>
              <w:t xml:space="preserve">Actions sans effet juridique ni financier, réversibles</w:t>
            </w:r>
          </w:p>
        </w:tc>
        <w:tc>
          <w:tcPr/>
          <w:p>
            <w:pPr>
              <w:pStyle w:val="Compact"/>
            </w:pPr>
            <w:r>
              <w:rPr>
                <w:sz w:val="17"/>
              </w:rPr>
              <w:t xml:space="preserve">Rappels facultatifs, création de tâches, affectation selon des règles approuvées, préparation de brouillons, résumés, classement de pièces</w:t>
            </w:r>
          </w:p>
        </w:tc>
        <w:tc>
          <w:tcPr/>
          <w:p>
            <w:pPr>
              <w:pStyle w:val="Compact"/>
            </w:pPr>
            <w:r>
              <w:rPr>
                <w:sz w:val="17"/>
              </w:rPr>
              <w:t xml:space="preserve">Journalisé ; désactivable par le responsable d’entité</w:t>
            </w:r>
          </w:p>
        </w:tc>
      </w:tr>
      <w:tr>
        <w:tc>
          <w:tcPr>
            <w:shd w:val="clear" w:color="auto" w:fill="F5F7FB"/>
          </w:tcPr>
          <w:p>
            <w:pPr>
              <w:pStyle w:val="Compact"/>
            </w:pPr>
            <w:r>
              <w:rPr>
                <w:sz w:val="17"/>
              </w:rPr>
              <w:t xml:space="preserve">B — Exécution après validation</w:t>
            </w:r>
          </w:p>
        </w:tc>
        <w:tc>
          <w:tcPr>
            <w:shd w:val="clear" w:color="auto" w:fill="F5F7FB"/>
          </w:tcPr>
          <w:p>
            <w:pPr>
              <w:pStyle w:val="Compact"/>
            </w:pPr>
            <w:r>
              <w:rPr>
                <w:sz w:val="17"/>
              </w:rPr>
              <w:t xml:space="preserve">Actions à effet sur un tiers</w:t>
            </w:r>
          </w:p>
        </w:tc>
        <w:tc>
          <w:tcPr>
            <w:shd w:val="clear" w:color="auto" w:fill="F5F7FB"/>
          </w:tcPr>
          <w:p>
            <w:pPr>
              <w:pStyle w:val="Compact"/>
            </w:pPr>
            <w:r>
              <w:rPr>
                <w:sz w:val="17"/>
              </w:rPr>
              <w:t xml:space="preserve">Envoi d’une demande de pièces, ouverture d’une mission, relance obligatoire</w:t>
            </w:r>
          </w:p>
        </w:tc>
        <w:tc>
          <w:tcPr>
            <w:shd w:val="clear" w:color="auto" w:fill="F5F7FB"/>
          </w:tcPr>
          <w:p>
            <w:pPr>
              <w:pStyle w:val="Compact"/>
            </w:pPr>
            <w:r>
              <w:rPr>
                <w:sz w:val="17"/>
              </w:rPr>
              <w:t xml:space="preserve">Un clic de validation par un agent habilité</w:t>
            </w:r>
          </w:p>
        </w:tc>
      </w:tr>
      <w:tr>
        <w:tc>
          <w:tcPr/>
          <w:p>
            <w:pPr>
              <w:pStyle w:val="Compact"/>
            </w:pPr>
            <w:r>
              <w:rPr>
                <w:sz w:val="17"/>
              </w:rPr>
              <w:t xml:space="preserve">C — Recommandation seulement</w:t>
            </w:r>
          </w:p>
        </w:tc>
        <w:tc>
          <w:tcPr/>
          <w:p>
            <w:pPr>
              <w:pStyle w:val="Compact"/>
            </w:pPr>
            <w:r>
              <w:rPr>
                <w:sz w:val="17"/>
              </w:rPr>
              <w:t xml:space="preserve">Actions à effet juridique ou financier</w:t>
            </w:r>
          </w:p>
        </w:tc>
        <w:tc>
          <w:tcPr/>
          <w:p>
            <w:pPr>
              <w:pStyle w:val="Compact"/>
            </w:pPr>
            <w:r>
              <w:rPr>
                <w:sz w:val="17"/>
              </w:rPr>
              <w:t xml:space="preserve">Liquidation rectificative, exonération, pénalité, mesure d’exécution, remboursement, changement de bénéficiaire, clôture d’un recours</w:t>
            </w:r>
          </w:p>
        </w:tc>
        <w:tc>
          <w:tcPr/>
          <w:p>
            <w:pPr>
              <w:pStyle w:val="Compact"/>
            </w:pPr>
            <w:r>
              <w:rPr>
                <w:sz w:val="17"/>
              </w:rPr>
              <w:t xml:space="preserve">Circuits maker-checker complets ;</w:t>
            </w:r>
            <w:r>
              <w:rPr>
                <w:sz w:val="17"/>
              </w:rPr>
              <w:t xml:space="preserve"> </w:t>
            </w:r>
            <w:r>
              <w:rPr>
                <w:b/>
                <w:bCs/>
                <w:sz w:val="17"/>
              </w:rPr>
              <w:t xml:space="preserve">jamais automatisé</w:t>
            </w:r>
          </w:p>
        </w:tc>
      </w:tr>
    </w:tbl>
    <w:p>
      <w:pPr>
        <w:pStyle w:val="BodyText"/>
      </w:pPr>
      <w:r>
        <w:rPr>
          <w:b/>
          <w:bCs/>
        </w:rPr>
        <w:t xml:space="preserve">Données.</w:t>
      </w:r>
      <w:r>
        <w:t xml:space="preserve"> </w:t>
      </w:r>
      <w:r>
        <w:t xml:space="preserve">Toute donnée est structurée, étiquetée, recherchable (selon les droits), reliée aux processus, aux utilisateurs, aux décisions, aux horodatages et aux résultats, et réutilisable pour l’intelligence future dans le respect de sa finalité.</w:t>
      </w:r>
    </w:p>
    <w:bookmarkEnd w:id="248"/>
    <w:bookmarkStart w:id="249" w:name="sécurité-transparence-et-contrôle"/>
    <w:p>
      <w:pPr>
        <w:pStyle w:val="Heading3"/>
      </w:pPr>
      <w:r>
        <w:t xml:space="preserve">23.5.9 Sécurité, transparence et contrôle</w:t>
      </w:r>
    </w:p>
    <w:p>
      <w:pPr>
        <w:pStyle w:val="Compact"/>
        <w:numPr>
          <w:ilvl w:val="0"/>
          <w:numId w:val="1020"/>
        </w:numPr>
      </w:pPr>
      <w:r>
        <w:t xml:space="preserve">L’interface n’expose ni les fournisseurs techniques d’IA, ni la logique interne, ni les clés, ni les données confidentielles, ni la complexité technique inutile.</w:t>
      </w:r>
    </w:p>
    <w:p>
      <w:pPr>
        <w:pStyle w:val="Compact"/>
        <w:numPr>
          <w:ilvl w:val="0"/>
          <w:numId w:val="1020"/>
        </w:numPr>
      </w:pPr>
      <w:r>
        <w:rPr>
          <w:b/>
          <w:bCs/>
        </w:rPr>
        <w:t xml:space="preserve">Mais l’usager sait toujours qu’une IA est intervenue</w:t>
      </w:r>
      <w:r>
        <w:t xml:space="preserve"> </w:t>
      </w:r>
      <w:r>
        <w:t xml:space="preserve">: tout contenu généré ou recommandé porte la mention « préparé avec l’assistance de l’IA — validé par [rôle] » ; l’explication de toute décision automatisée ou assistée est disponible. C’est une exigence de loyauté de l’administration et de protection des données, non négociable dans un service public.</w:t>
      </w:r>
    </w:p>
    <w:p>
      <w:pPr>
        <w:pStyle w:val="Compact"/>
        <w:numPr>
          <w:ilvl w:val="0"/>
          <w:numId w:val="1020"/>
        </w:numPr>
      </w:pPr>
      <w:r>
        <w:t xml:space="preserve">La couche respecte permissions, rôles, cloisonnements, auditabilité, confidentialité fiscale et obligations de conformité.</w:t>
      </w:r>
    </w:p>
    <w:bookmarkEnd w:id="249"/>
    <w:bookmarkStart w:id="250" w:name="X785afafaf3cff811a95b7c5092ee35e44d18461"/>
    <w:p>
      <w:pPr>
        <w:pStyle w:val="Heading3"/>
      </w:pPr>
      <w:r>
        <w:t xml:space="preserve">23.5.10 Expérience utilisateur : une plateforme vivante</w:t>
      </w:r>
    </w:p>
    <w:p>
      <w:pPr>
        <w:pStyle w:val="FirstParagraph"/>
      </w:pPr>
      <w:r>
        <w:t xml:space="preserve">Chaque tableau de bord répond à sept questions : que se passe-t-il ? qu’est-ce qui a changé ? qu’est-ce qui est à risque ? que faut-il faire aujourd’hui ? qu’est-ce qui coûte du temps ou de l’argent ? que va-t-il probablement se passer ? qui détient la décision ?</w:t>
      </w:r>
    </w:p>
    <w:p>
      <w:pPr>
        <w:pStyle w:val="BodyText"/>
      </w:pPr>
      <w:r>
        <w:t xml:space="preserve">Chaque écran comporte, lorsque c’est pertinent, un</w:t>
      </w:r>
      <w:r>
        <w:t xml:space="preserve"> </w:t>
      </w:r>
      <w:r>
        <w:rPr>
          <w:b/>
          <w:bCs/>
        </w:rPr>
        <w:t xml:space="preserve">panneau d’intelligence</w:t>
      </w:r>
      <w:r>
        <w:t xml:space="preserve"> </w:t>
      </w:r>
      <w:r>
        <w:t xml:space="preserve">: analyse IA, recommandation, alerte de risque, prochaine action, résumé, niveau de confiance et</w:t>
      </w:r>
      <w:r>
        <w:t xml:space="preserve"> </w:t>
      </w:r>
      <w:r>
        <w:rPr>
          <w:b/>
          <w:bCs/>
        </w:rPr>
        <w:t xml:space="preserve">statut d’enregistrement automatique</w:t>
      </w:r>
      <w:r>
        <w:t xml:space="preserve"> </w:t>
      </w:r>
      <w:r>
        <w:t xml:space="preserve">(voir la maquette du tableau de bord du Gouverneur, § 26.2).</w:t>
      </w:r>
    </w:p>
    <w:bookmarkEnd w:id="250"/>
    <w:bookmarkStart w:id="251" w:name="apprentissage"/>
    <w:p>
      <w:pPr>
        <w:pStyle w:val="Heading3"/>
      </w:pPr>
      <w:r>
        <w:t xml:space="preserve">23.5.11 Apprentissage</w:t>
      </w:r>
    </w:p>
    <w:p>
      <w:pPr>
        <w:pStyle w:val="FirstParagraph"/>
      </w:pPr>
      <w:r>
        <w:t xml:space="preserve">La plateforme apprend des corrections des utilisateurs, des décisions répétées, des réussites et des échecs de processus, des recommandations acceptées et rejetées, du temps passé, des questions fréquentes, des sorties souvent modifiées et des résultats.</w:t>
      </w:r>
      <w:r>
        <w:t xml:space="preserve"> </w:t>
      </w:r>
      <w:r>
        <w:rPr>
          <w:b/>
          <w:bCs/>
        </w:rPr>
        <w:t xml:space="preserve">Cet apprentissage alimente des candidats</w:t>
      </w:r>
      <w:r>
        <w:t xml:space="preserve"> </w:t>
      </w:r>
      <w:r>
        <w:t xml:space="preserve">(modèles, modèles de documents, règles d’automatisation), mis en service après validation par le comité des modèles (§ 23.4) : aucune auto-modification silencieuse.</w:t>
      </w:r>
    </w:p>
    <w:bookmarkEnd w:id="251"/>
    <w:bookmarkStart w:id="252" w:name="positionnement-1"/>
    <w:p>
      <w:pPr>
        <w:pStyle w:val="Heading3"/>
      </w:pPr>
      <w:r>
        <w:t xml:space="preserve">23.5.12 Positionnement</w:t>
      </w:r>
    </w:p>
    <w:p>
      <w:pPr>
        <w:pStyle w:val="FirstParagraph"/>
      </w:pPr>
      <w:r>
        <w:t xml:space="preserve">MOSOLO remplace les outils fragmentés, l’administration manuelle, les tableurs déconnectés, la communication lente, la faible visibilité et la gestion réactive. Sa valeur : rapidité, contrôle, automatisation, prédiction, redevabilité, intelligence, réduction des coûts, productivité, meilleures décisions, risques réduits, meilleurs résultats. L’objectif est que la plateforme devienne</w:t>
      </w:r>
      <w:r>
        <w:t xml:space="preserve"> </w:t>
      </w:r>
      <w:r>
        <w:rPr>
          <w:b/>
          <w:bCs/>
        </w:rPr>
        <w:t xml:space="preserve">indispensable par la valeur qu’elle apporte</w:t>
      </w:r>
      <w:r>
        <w:t xml:space="preserve">, et non par un verrouillage : la Province doit rester capable de l’exploiter, de la faire évoluer et d’en sortir (§ 33).</w:t>
      </w:r>
    </w:p>
    <w:p>
      <w:pPr>
        <w:pStyle w:val="BodyText"/>
      </w:pPr>
      <w:r>
        <w:t xml:space="preserve">Le prompt système de la couche d’intelligence, adapté à ces règles, figure dans</w:t>
      </w:r>
      <w:r>
        <w:t xml:space="preserve"> </w:t>
      </w:r>
      <w:r>
        <w:rPr>
          <w:rStyle w:val="VerbatimChar"/>
        </w:rPr>
        <w:t xml:space="preserve">specs/ia/prompt-systeme-mosolo.md</w:t>
      </w:r>
      <w:r>
        <w:t xml:space="preserve">.</w:t>
      </w:r>
    </w:p>
    <w:bookmarkEnd w:id="252"/>
    <w:bookmarkEnd w:id="253"/>
    <w:bookmarkEnd w:id="254"/>
    <w:bookmarkStart w:id="257" w:name="Xb68dec3409a3c7d9cb99c26da27dd05b38bdf59"/>
    <w:p>
      <w:pPr>
        <w:pStyle w:val="Heading1"/>
      </w:pPr>
      <w:r>
        <w:t xml:space="preserve">24. Apprentissage des utilisateurs et environnement de travail</w:t>
      </w:r>
    </w:p>
    <w:bookmarkStart w:id="255" w:name="environnement-dapprentissage-intégré"/>
    <w:p>
      <w:pPr>
        <w:pStyle w:val="Heading2"/>
      </w:pPr>
      <w:r>
        <w:t xml:space="preserve">24.1 Environnement d’apprentissage intégré</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Public</w:t>
            </w:r>
          </w:p>
        </w:tc>
        <w:tc>
          <w:tcPr>
            <w:shd w:val="clear" w:color="auto" w:fill="232C6B"/>
          </w:tcPr>
          <w:p>
            <w:pPr>
              <w:pStyle w:val="Compact"/>
            </w:pPr>
            <w:r>
              <w:rPr>
                <w:b/>
                <w:color w:val="FFFFFF"/>
                <w:sz w:val="17"/>
              </w:rPr>
              <w:t xml:space="preserve">Contenus</w:t>
            </w:r>
          </w:p>
        </w:tc>
        <w:tc>
          <w:tcPr>
            <w:shd w:val="clear" w:color="auto" w:fill="232C6B"/>
          </w:tcPr>
          <w:p>
            <w:pPr>
              <w:pStyle w:val="Compact"/>
            </w:pPr>
            <w:r>
              <w:rPr>
                <w:b/>
                <w:color w:val="FFFFFF"/>
                <w:sz w:val="17"/>
              </w:rPr>
              <w:t xml:space="preserve">Modalités</w:t>
            </w:r>
          </w:p>
        </w:tc>
      </w:tr>
      <w:tr>
        <w:tc>
          <w:tcPr/>
          <w:p>
            <w:pPr>
              <w:pStyle w:val="Compact"/>
            </w:pPr>
            <w:r>
              <w:rPr>
                <w:sz w:val="17"/>
              </w:rPr>
              <w:t xml:space="preserve">Contribuables</w:t>
            </w:r>
          </w:p>
        </w:tc>
        <w:tc>
          <w:tcPr/>
          <w:p>
            <w:pPr>
              <w:pStyle w:val="Compact"/>
            </w:pPr>
            <w:r>
              <w:rPr>
                <w:sz w:val="17"/>
              </w:rPr>
              <w:t xml:space="preserve">Obligations, échéances, calcul, paiement, recours</w:t>
            </w:r>
          </w:p>
        </w:tc>
        <w:tc>
          <w:tcPr/>
          <w:p>
            <w:pPr>
              <w:pStyle w:val="Compact"/>
            </w:pPr>
            <w:r>
              <w:rPr>
                <w:sz w:val="17"/>
              </w:rPr>
              <w:t xml:space="preserve">Guides contextuels, vidéos courtes, SVI, questions-réponses en langues nationales</w:t>
            </w:r>
          </w:p>
        </w:tc>
      </w:tr>
      <w:tr>
        <w:tc>
          <w:tcPr>
            <w:shd w:val="clear" w:color="auto" w:fill="F5F7FB"/>
          </w:tcPr>
          <w:p>
            <w:pPr>
              <w:pStyle w:val="Compact"/>
            </w:pPr>
            <w:r>
              <w:rPr>
                <w:sz w:val="17"/>
              </w:rPr>
              <w:t xml:space="preserve">Agents de terrain</w:t>
            </w:r>
          </w:p>
        </w:tc>
        <w:tc>
          <w:tcPr>
            <w:shd w:val="clear" w:color="auto" w:fill="F5F7FB"/>
          </w:tcPr>
          <w:p>
            <w:pPr>
              <w:pStyle w:val="Compact"/>
            </w:pPr>
            <w:r>
              <w:rPr>
                <w:sz w:val="17"/>
              </w:rPr>
              <w:t xml:space="preserve">Procédures, déontologie, sécurité, application hors ligne</w:t>
            </w:r>
          </w:p>
        </w:tc>
        <w:tc>
          <w:tcPr>
            <w:shd w:val="clear" w:color="auto" w:fill="F5F7FB"/>
          </w:tcPr>
          <w:p>
            <w:pPr>
              <w:pStyle w:val="Compact"/>
            </w:pPr>
            <w:r>
              <w:rPr>
                <w:sz w:val="17"/>
              </w:rPr>
              <w:t xml:space="preserve">Parcours d’intégration, cas simulés, certification obligatoire avant la première mission</w:t>
            </w:r>
          </w:p>
        </w:tc>
      </w:tr>
      <w:tr>
        <w:tc>
          <w:tcPr/>
          <w:p>
            <w:pPr>
              <w:pStyle w:val="Compact"/>
            </w:pPr>
            <w:r>
              <w:rPr>
                <w:sz w:val="17"/>
              </w:rPr>
              <w:t xml:space="preserve">Contrôleurs</w:t>
            </w:r>
          </w:p>
        </w:tc>
        <w:tc>
          <w:tcPr/>
          <w:p>
            <w:pPr>
              <w:pStyle w:val="Compact"/>
            </w:pPr>
            <w:r>
              <w:rPr>
                <w:sz w:val="17"/>
              </w:rPr>
              <w:t xml:space="preserve">Qualification, preuves, procès-verbaux</w:t>
            </w:r>
          </w:p>
        </w:tc>
        <w:tc>
          <w:tcPr/>
          <w:p>
            <w:pPr>
              <w:pStyle w:val="Compact"/>
            </w:pPr>
            <w:r>
              <w:rPr>
                <w:sz w:val="17"/>
              </w:rPr>
              <w:t xml:space="preserve">Cas simulés, certification</w:t>
            </w:r>
          </w:p>
        </w:tc>
      </w:tr>
      <w:tr>
        <w:tc>
          <w:tcPr>
            <w:shd w:val="clear" w:color="auto" w:fill="F5F7FB"/>
          </w:tcPr>
          <w:p>
            <w:pPr>
              <w:pStyle w:val="Compact"/>
            </w:pPr>
            <w:r>
              <w:rPr>
                <w:sz w:val="17"/>
              </w:rPr>
              <w:t xml:space="preserve">Personnel des ministères</w:t>
            </w:r>
          </w:p>
        </w:tc>
        <w:tc>
          <w:tcPr>
            <w:shd w:val="clear" w:color="auto" w:fill="F5F7FB"/>
          </w:tcPr>
          <w:p>
            <w:pPr>
              <w:pStyle w:val="Compact"/>
            </w:pPr>
            <w:r>
              <w:rPr>
                <w:sz w:val="17"/>
              </w:rPr>
              <w:t xml:space="preserve">Tableaux de bord, circuits d’approbation</w:t>
            </w:r>
          </w:p>
        </w:tc>
        <w:tc>
          <w:tcPr>
            <w:shd w:val="clear" w:color="auto" w:fill="F5F7FB"/>
          </w:tcPr>
          <w:p>
            <w:pPr>
              <w:pStyle w:val="Compact"/>
            </w:pPr>
            <w:r>
              <w:rPr>
                <w:sz w:val="17"/>
              </w:rPr>
              <w:t xml:space="preserve">Parcours par rôle</w:t>
            </w:r>
          </w:p>
        </w:tc>
      </w:tr>
      <w:tr>
        <w:tc>
          <w:tcPr/>
          <w:p>
            <w:pPr>
              <w:pStyle w:val="Compact"/>
            </w:pPr>
            <w:r>
              <w:rPr>
                <w:sz w:val="17"/>
              </w:rPr>
              <w:t xml:space="preserve">Superviseurs</w:t>
            </w:r>
          </w:p>
        </w:tc>
        <w:tc>
          <w:tcPr/>
          <w:p>
            <w:pPr>
              <w:pStyle w:val="Compact"/>
            </w:pPr>
            <w:r>
              <w:rPr>
                <w:sz w:val="17"/>
              </w:rPr>
              <w:t xml:space="preserve">Planification, contrôle qualité, gestion d’équipe</w:t>
            </w:r>
          </w:p>
        </w:tc>
        <w:tc>
          <w:tcPr/>
          <w:p>
            <w:pPr>
              <w:pStyle w:val="Compact"/>
            </w:pPr>
            <w:r>
              <w:rPr>
                <w:sz w:val="17"/>
              </w:rPr>
              <w:t xml:space="preserve">Parcours par rôle</w:t>
            </w:r>
          </w:p>
        </w:tc>
      </w:tr>
      <w:tr>
        <w:tc>
          <w:tcPr>
            <w:shd w:val="clear" w:color="auto" w:fill="F5F7FB"/>
          </w:tcPr>
          <w:p>
            <w:pPr>
              <w:pStyle w:val="Compact"/>
            </w:pPr>
            <w:r>
              <w:rPr>
                <w:sz w:val="17"/>
              </w:rPr>
              <w:t xml:space="preserve">Finances et Trésor</w:t>
            </w:r>
          </w:p>
        </w:tc>
        <w:tc>
          <w:tcPr>
            <w:shd w:val="clear" w:color="auto" w:fill="F5F7FB"/>
          </w:tcPr>
          <w:p>
            <w:pPr>
              <w:pStyle w:val="Compact"/>
            </w:pPr>
            <w:r>
              <w:rPr>
                <w:sz w:val="17"/>
              </w:rPr>
              <w:t xml:space="preserve">Rapprochement, exceptions, clôtures</w:t>
            </w:r>
          </w:p>
        </w:tc>
        <w:tc>
          <w:tcPr>
            <w:shd w:val="clear" w:color="auto" w:fill="F5F7FB"/>
          </w:tcPr>
          <w:p>
            <w:pPr>
              <w:pStyle w:val="Compact"/>
            </w:pPr>
            <w:r>
              <w:rPr>
                <w:sz w:val="17"/>
              </w:rPr>
              <w:t xml:space="preserve">Simulations</w:t>
            </w:r>
          </w:p>
        </w:tc>
      </w:tr>
      <w:tr>
        <w:tc>
          <w:tcPr/>
          <w:p>
            <w:pPr>
              <w:pStyle w:val="Compact"/>
            </w:pPr>
            <w:r>
              <w:rPr>
                <w:sz w:val="17"/>
              </w:rPr>
              <w:t xml:space="preserve">Administrateurs</w:t>
            </w:r>
          </w:p>
        </w:tc>
        <w:tc>
          <w:tcPr/>
          <w:p>
            <w:pPr>
              <w:pStyle w:val="Compact"/>
            </w:pPr>
            <w:r>
              <w:rPr>
                <w:sz w:val="17"/>
              </w:rPr>
              <w:t xml:space="preserve">Sécurité, configuration, séparation des tâches</w:t>
            </w:r>
          </w:p>
        </w:tc>
        <w:tc>
          <w:tcPr/>
          <w:p>
            <w:pPr>
              <w:pStyle w:val="Compact"/>
            </w:pPr>
            <w:r>
              <w:rPr>
                <w:sz w:val="17"/>
              </w:rPr>
              <w:t xml:space="preserve">Certification</w:t>
            </w:r>
          </w:p>
        </w:tc>
      </w:tr>
      <w:tr>
        <w:tc>
          <w:tcPr>
            <w:shd w:val="clear" w:color="auto" w:fill="F5F7FB"/>
          </w:tcPr>
          <w:p>
            <w:pPr>
              <w:pStyle w:val="Compact"/>
            </w:pPr>
            <w:r>
              <w:rPr>
                <w:sz w:val="17"/>
              </w:rPr>
              <w:t xml:space="preserve">Exécutifs</w:t>
            </w:r>
          </w:p>
        </w:tc>
        <w:tc>
          <w:tcPr>
            <w:shd w:val="clear" w:color="auto" w:fill="F5F7FB"/>
          </w:tcPr>
          <w:p>
            <w:pPr>
              <w:pStyle w:val="Compact"/>
            </w:pPr>
            <w:r>
              <w:rPr>
                <w:sz w:val="17"/>
              </w:rPr>
              <w:t xml:space="preserve">Lecture de l’échelle de la recette, arbitrages</w:t>
            </w:r>
          </w:p>
        </w:tc>
        <w:tc>
          <w:tcPr>
            <w:shd w:val="clear" w:color="auto" w:fill="F5F7FB"/>
          </w:tcPr>
          <w:p>
            <w:pPr>
              <w:pStyle w:val="Compact"/>
            </w:pPr>
            <w:r>
              <w:rPr>
                <w:sz w:val="17"/>
              </w:rPr>
              <w:t xml:space="preserve">Sessions courtes</w:t>
            </w:r>
          </w:p>
        </w:tc>
      </w:tr>
    </w:tbl>
    <w:p>
      <w:pPr>
        <w:pStyle w:val="BodyText"/>
      </w:pPr>
      <w:r>
        <w:t xml:space="preserve">Fonctions : intégration par rôle ; tâches guidées ; explications contextuelles ; listes de contrôle interactives ; aide multilingue ; vidéos ; quiz ; procédures consultables ; questions-réponses assistées par l’IA (avec sources) ; cas simulés dans un environnement d’entraînement ; certification et recyclage ; retour de performance ; notifications de changement de procédure ; analyse des lacunes de connaissance.</w:t>
      </w:r>
    </w:p>
    <w:bookmarkEnd w:id="255"/>
    <w:bookmarkStart w:id="256" w:name="X25b6dfd628015c1c7e162e91fc5b13754c86a8a"/>
    <w:p>
      <w:pPr>
        <w:pStyle w:val="Heading2"/>
      </w:pPr>
      <w:r>
        <w:t xml:space="preserve">24.2 Surveillance légitime, pas surveillance oppressive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Surveillance légitime (maintenue)</w:t>
            </w:r>
          </w:p>
        </w:tc>
        <w:tc>
          <w:tcPr>
            <w:shd w:val="clear" w:color="auto" w:fill="232C6B"/>
          </w:tcPr>
          <w:p>
            <w:pPr>
              <w:pStyle w:val="Compact"/>
            </w:pPr>
            <w:r>
              <w:rPr>
                <w:b/>
                <w:color w:val="FFFFFF"/>
                <w:sz w:val="17"/>
              </w:rPr>
              <w:t xml:space="preserve">Surveillance excessive (proscrite)</w:t>
            </w:r>
          </w:p>
        </w:tc>
      </w:tr>
      <w:tr>
        <w:tc>
          <w:tcPr/>
          <w:p>
            <w:pPr>
              <w:pStyle w:val="Compact"/>
            </w:pPr>
            <w:r>
              <w:rPr>
                <w:sz w:val="17"/>
              </w:rPr>
              <w:t xml:space="preserve">Journal des actions sur les données et les montants</w:t>
            </w:r>
          </w:p>
        </w:tc>
        <w:tc>
          <w:tcPr/>
          <w:p>
            <w:pPr>
              <w:pStyle w:val="Compact"/>
            </w:pPr>
            <w:r>
              <w:rPr>
                <w:sz w:val="17"/>
              </w:rPr>
              <w:t xml:space="preserve">Enregistrement continu de l’écran ou du micro</w:t>
            </w:r>
          </w:p>
        </w:tc>
      </w:tr>
      <w:tr>
        <w:tc>
          <w:tcPr>
            <w:shd w:val="clear" w:color="auto" w:fill="F5F7FB"/>
          </w:tcPr>
          <w:p>
            <w:pPr>
              <w:pStyle w:val="Compact"/>
            </w:pPr>
            <w:r>
              <w:rPr>
                <w:sz w:val="17"/>
              </w:rPr>
              <w:t xml:space="preserve">Géolocalisation</w:t>
            </w:r>
            <w:r>
              <w:rPr>
                <w:sz w:val="17"/>
              </w:rPr>
              <w:t xml:space="preserve"> </w:t>
            </w:r>
            <w:r>
              <w:rPr>
                <w:b/>
                <w:bCs/>
                <w:sz w:val="17"/>
              </w:rPr>
              <w:t xml:space="preserve">pendant les missions</w:t>
            </w:r>
            <w:r>
              <w:rPr>
                <w:sz w:val="17"/>
              </w:rPr>
              <w:t xml:space="preserve"> </w:t>
            </w:r>
            <w:r>
              <w:rPr>
                <w:sz w:val="17"/>
              </w:rPr>
              <w:t xml:space="preserve">et pour les constats</w:t>
            </w:r>
          </w:p>
        </w:tc>
        <w:tc>
          <w:tcPr>
            <w:shd w:val="clear" w:color="auto" w:fill="F5F7FB"/>
          </w:tcPr>
          <w:p>
            <w:pPr>
              <w:pStyle w:val="Compact"/>
            </w:pPr>
            <w:r>
              <w:rPr>
                <w:sz w:val="17"/>
              </w:rPr>
              <w:t xml:space="preserve">Géolocalisation hors mission ou hors service</w:t>
            </w:r>
          </w:p>
        </w:tc>
      </w:tr>
      <w:tr>
        <w:tc>
          <w:tcPr/>
          <w:p>
            <w:pPr>
              <w:pStyle w:val="Compact"/>
            </w:pPr>
            <w:r>
              <w:rPr>
                <w:sz w:val="17"/>
              </w:rPr>
              <w:t xml:space="preserve">Contrôle qualité des constats par échantillon</w:t>
            </w:r>
          </w:p>
        </w:tc>
        <w:tc>
          <w:tcPr/>
          <w:p>
            <w:pPr>
              <w:pStyle w:val="Compact"/>
            </w:pPr>
            <w:r>
              <w:rPr>
                <w:sz w:val="17"/>
              </w:rPr>
              <w:t xml:space="preserve">Classement public des agents</w:t>
            </w:r>
          </w:p>
        </w:tc>
      </w:tr>
      <w:tr>
        <w:tc>
          <w:tcPr>
            <w:shd w:val="clear" w:color="auto" w:fill="F5F7FB"/>
          </w:tcPr>
          <w:p>
            <w:pPr>
              <w:pStyle w:val="Compact"/>
            </w:pPr>
            <w:r>
              <w:rPr>
                <w:sz w:val="17"/>
              </w:rPr>
              <w:t xml:space="preserve">Indicateurs de qualité (exactitude, délais, plaintes)</w:t>
            </w:r>
          </w:p>
        </w:tc>
        <w:tc>
          <w:tcPr>
            <w:shd w:val="clear" w:color="auto" w:fill="F5F7FB"/>
          </w:tcPr>
          <w:p>
            <w:pPr>
              <w:pStyle w:val="Compact"/>
            </w:pPr>
            <w:r>
              <w:rPr>
                <w:sz w:val="17"/>
              </w:rPr>
              <w:t xml:space="preserve">Indicateurs fondés sur les montants imposés par agent</w:t>
            </w:r>
          </w:p>
        </w:tc>
      </w:tr>
      <w:tr>
        <w:tc>
          <w:tcPr/>
          <w:p>
            <w:pPr>
              <w:pStyle w:val="Compact"/>
            </w:pPr>
            <w:r>
              <w:rPr>
                <w:sz w:val="17"/>
              </w:rPr>
              <w:t xml:space="preserve">Alertes de sécurité et d’intégrité</w:t>
            </w:r>
          </w:p>
        </w:tc>
        <w:tc>
          <w:tcPr/>
          <w:p>
            <w:pPr>
              <w:pStyle w:val="Compact"/>
            </w:pPr>
            <w:r>
              <w:rPr>
                <w:sz w:val="17"/>
              </w:rPr>
              <w:t xml:space="preserve">Lecture des communications privées</w:t>
            </w:r>
          </w:p>
        </w:tc>
      </w:tr>
    </w:tbl>
    <w:p>
      <w:pPr>
        <w:pStyle w:val="BodyText"/>
      </w:pPr>
      <w:r>
        <w:t xml:space="preserve">Les agents ont accès à leurs propres indicateurs et à leur journal ; les règles de surveillance sont publiées, expliquées pendant la formation et soumises au délégué à la protection des données.</w:t>
      </w:r>
    </w:p>
    <w:bookmarkEnd w:id="256"/>
    <w:bookmarkEnd w:id="257"/>
    <w:bookmarkStart w:id="261" w:name="Xf3a60cd30f45fcf2de3d46ce1ee2b7820e24895"/>
    <w:p>
      <w:pPr>
        <w:pStyle w:val="Heading1"/>
      </w:pPr>
      <w:r>
        <w:t xml:space="preserve">25. Prévention de la fraude et de la déperdition</w:t>
      </w:r>
    </w:p>
    <w:bookmarkStart w:id="258" w:name="objectif-réaliste"/>
    <w:p>
      <w:pPr>
        <w:pStyle w:val="Heading2"/>
      </w:pPr>
      <w:r>
        <w:t xml:space="preserve">25.1 Objectif réaliste</w:t>
      </w:r>
    </w:p>
    <w:p>
      <w:pPr>
        <w:pStyle w:val="FirstParagraph"/>
      </w:pPr>
      <w:r>
        <w:t xml:space="preserve">La fraude ne peut pas être éliminée. L’objectif est de la rendre</w:t>
      </w:r>
      <w:r>
        <w:t xml:space="preserve"> </w:t>
      </w:r>
      <w:r>
        <w:rPr>
          <w:b/>
          <w:bCs/>
        </w:rPr>
        <w:t xml:space="preserve">difficile à commettre, rapide à détecter et impossible à effacer sans trace</w:t>
      </w:r>
      <w:r>
        <w:t xml:space="preserv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Fonction</w:t>
            </w:r>
          </w:p>
        </w:tc>
        <w:tc>
          <w:tcPr>
            <w:shd w:val="clear" w:color="auto" w:fill="232C6B"/>
          </w:tcPr>
          <w:p>
            <w:pPr>
              <w:pStyle w:val="Compact"/>
            </w:pPr>
            <w:r>
              <w:rPr>
                <w:b/>
                <w:color w:val="FFFFFF"/>
                <w:sz w:val="17"/>
              </w:rPr>
              <w:t xml:space="preserve">Comment MOSOLO agit</w:t>
            </w:r>
          </w:p>
        </w:tc>
      </w:tr>
      <w:tr>
        <w:tc>
          <w:tcPr/>
          <w:p>
            <w:pPr>
              <w:pStyle w:val="Compact"/>
            </w:pPr>
            <w:r>
              <w:rPr>
                <w:b/>
                <w:bCs/>
                <w:sz w:val="17"/>
              </w:rPr>
              <w:t xml:space="preserve">Prévenir</w:t>
            </w:r>
          </w:p>
        </w:tc>
        <w:tc>
          <w:tcPr/>
          <w:p>
            <w:pPr>
              <w:pStyle w:val="Compact"/>
            </w:pPr>
            <w:r>
              <w:rPr>
                <w:sz w:val="17"/>
              </w:rPr>
              <w:t xml:space="preserve">Aucune espèce entre les mains des agents ; montants calculés par le moteur et non modifiables sur le terrain ; comptes bénéficiaires verrouillés ; quatre yeux ; séparation des tâches ; MFA ; accès juste-à-temps</w:t>
            </w:r>
          </w:p>
        </w:tc>
      </w:tr>
      <w:tr>
        <w:tc>
          <w:tcPr>
            <w:shd w:val="clear" w:color="auto" w:fill="F5F7FB"/>
          </w:tcPr>
          <w:p>
            <w:pPr>
              <w:pStyle w:val="Compact"/>
            </w:pPr>
            <w:r>
              <w:rPr>
                <w:b/>
                <w:bCs/>
                <w:sz w:val="17"/>
              </w:rPr>
              <w:t xml:space="preserve">Détecter</w:t>
            </w:r>
          </w:p>
        </w:tc>
        <w:tc>
          <w:tcPr>
            <w:shd w:val="clear" w:color="auto" w:fill="F5F7FB"/>
          </w:tcPr>
          <w:p>
            <w:pPr>
              <w:pStyle w:val="Compact"/>
            </w:pPr>
            <w:r>
              <w:rPr>
                <w:sz w:val="17"/>
              </w:rPr>
              <w:t xml:space="preserve">Règles et modèles d’anomalies ; rapprochement quotidien ; contrôles mystère ; signalements du public ; vérification des quittances par QR</w:t>
            </w:r>
          </w:p>
        </w:tc>
      </w:tr>
      <w:tr>
        <w:tc>
          <w:tcPr/>
          <w:p>
            <w:pPr>
              <w:pStyle w:val="Compact"/>
            </w:pPr>
            <w:r>
              <w:rPr>
                <w:b/>
                <w:bCs/>
                <w:sz w:val="17"/>
              </w:rPr>
              <w:t xml:space="preserve">Contenir</w:t>
            </w:r>
          </w:p>
        </w:tc>
        <w:tc>
          <w:tcPr/>
          <w:p>
            <w:pPr>
              <w:pStyle w:val="Compact"/>
            </w:pPr>
            <w:r>
              <w:rPr>
                <w:sz w:val="17"/>
              </w:rPr>
              <w:t xml:space="preserve">Suspension conservatoire d’un accès sur décision motivée ; gel d’un point de paiement ; révocation d’appareil ; blocage d’une quittance suspecte</w:t>
            </w:r>
          </w:p>
        </w:tc>
      </w:tr>
      <w:tr>
        <w:tc>
          <w:tcPr>
            <w:shd w:val="clear" w:color="auto" w:fill="F5F7FB"/>
          </w:tcPr>
          <w:p>
            <w:pPr>
              <w:pStyle w:val="Compact"/>
            </w:pPr>
            <w:r>
              <w:rPr>
                <w:b/>
                <w:bCs/>
                <w:sz w:val="17"/>
              </w:rPr>
              <w:t xml:space="preserve">Enquêter</w:t>
            </w:r>
          </w:p>
        </w:tc>
        <w:tc>
          <w:tcPr>
            <w:shd w:val="clear" w:color="auto" w:fill="F5F7FB"/>
          </w:tcPr>
          <w:p>
            <w:pPr>
              <w:pStyle w:val="Compact"/>
            </w:pPr>
            <w:r>
              <w:rPr>
                <w:sz w:val="17"/>
              </w:rPr>
              <w:t xml:space="preserve">Dossier d’enquête ; graphe des liens ; chronologie reconstituée depuis le journal</w:t>
            </w:r>
          </w:p>
        </w:tc>
      </w:tr>
      <w:tr>
        <w:tc>
          <w:tcPr/>
          <w:p>
            <w:pPr>
              <w:pStyle w:val="Compact"/>
            </w:pPr>
            <w:r>
              <w:rPr>
                <w:b/>
                <w:bCs/>
                <w:sz w:val="17"/>
              </w:rPr>
              <w:t xml:space="preserve">Prouver</w:t>
            </w:r>
          </w:p>
        </w:tc>
        <w:tc>
          <w:tcPr/>
          <w:p>
            <w:pPr>
              <w:pStyle w:val="Compact"/>
            </w:pPr>
            <w:r>
              <w:rPr>
                <w:sz w:val="17"/>
              </w:rPr>
              <w:t xml:space="preserve">Journal chaîné et signé ; horodatage fiable ; preuves scellées ; extraction probante signée pour les autorités</w:t>
            </w:r>
          </w:p>
        </w:tc>
      </w:tr>
      <w:tr>
        <w:tc>
          <w:tcPr>
            <w:shd w:val="clear" w:color="auto" w:fill="F5F7FB"/>
          </w:tcPr>
          <w:p>
            <w:pPr>
              <w:pStyle w:val="Compact"/>
            </w:pPr>
            <w:r>
              <w:rPr>
                <w:b/>
                <w:bCs/>
                <w:sz w:val="17"/>
              </w:rPr>
              <w:t xml:space="preserve">Corriger</w:t>
            </w:r>
          </w:p>
        </w:tc>
        <w:tc>
          <w:tcPr>
            <w:shd w:val="clear" w:color="auto" w:fill="F5F7FB"/>
          </w:tcPr>
          <w:p>
            <w:pPr>
              <w:pStyle w:val="Compact"/>
            </w:pPr>
            <w:r>
              <w:rPr>
                <w:sz w:val="17"/>
              </w:rPr>
              <w:t xml:space="preserve">Contre-écritures ; rectifications motivées ; récupération des sommes</w:t>
            </w:r>
          </w:p>
        </w:tc>
      </w:tr>
      <w:tr>
        <w:tc>
          <w:tcPr/>
          <w:p>
            <w:pPr>
              <w:pStyle w:val="Compact"/>
            </w:pPr>
            <w:r>
              <w:rPr>
                <w:b/>
                <w:bCs/>
                <w:sz w:val="17"/>
              </w:rPr>
              <w:t xml:space="preserve">Rendre compte</w:t>
            </w:r>
          </w:p>
        </w:tc>
        <w:tc>
          <w:tcPr/>
          <w:p>
            <w:pPr>
              <w:pStyle w:val="Compact"/>
            </w:pPr>
            <w:r>
              <w:rPr>
                <w:sz w:val="17"/>
              </w:rPr>
              <w:t xml:space="preserve">Rapport trimestriel au Comité d’audit ; indicateurs agrégés publics</w:t>
            </w:r>
          </w:p>
        </w:tc>
      </w:tr>
    </w:tbl>
    <w:bookmarkEnd w:id="258"/>
    <w:bookmarkStart w:id="259" w:name="socle-technique-dintégrité"/>
    <w:p>
      <w:pPr>
        <w:pStyle w:val="Heading2"/>
      </w:pPr>
      <w:r>
        <w:t xml:space="preserve">25.2 Socle technique d’intégrité</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Contrôle</w:t>
            </w:r>
          </w:p>
        </w:tc>
        <w:tc>
          <w:tcPr>
            <w:shd w:val="clear" w:color="auto" w:fill="232C6B"/>
          </w:tcPr>
          <w:p>
            <w:pPr>
              <w:pStyle w:val="Compact"/>
            </w:pPr>
            <w:r>
              <w:rPr>
                <w:b/>
                <w:color w:val="FFFFFF"/>
                <w:sz w:val="17"/>
              </w:rPr>
              <w:t xml:space="preserve">Description</w:t>
            </w:r>
          </w:p>
        </w:tc>
      </w:tr>
      <w:tr>
        <w:tc>
          <w:tcPr/>
          <w:p>
            <w:pPr>
              <w:pStyle w:val="Compact"/>
            </w:pPr>
            <w:r>
              <w:rPr>
                <w:sz w:val="17"/>
              </w:rPr>
              <w:t xml:space="preserve">Historique d’événements immuable</w:t>
            </w:r>
          </w:p>
        </w:tc>
        <w:tc>
          <w:tcPr/>
          <w:p>
            <w:pPr>
              <w:pStyle w:val="Compact"/>
            </w:pPr>
            <w:r>
              <w:rPr>
                <w:sz w:val="17"/>
              </w:rPr>
              <w:t xml:space="preserve">Toute action produit un événement en ajout seul</w:t>
            </w:r>
          </w:p>
        </w:tc>
      </w:tr>
      <w:tr>
        <w:tc>
          <w:tcPr>
            <w:shd w:val="clear" w:color="auto" w:fill="F5F7FB"/>
          </w:tcPr>
          <w:p>
            <w:pPr>
              <w:pStyle w:val="Compact"/>
            </w:pPr>
            <w:r>
              <w:rPr>
                <w:sz w:val="17"/>
              </w:rPr>
              <w:t xml:space="preserve">Hachage cryptographique chaîné</w:t>
            </w:r>
          </w:p>
        </w:tc>
        <w:tc>
          <w:tcPr>
            <w:shd w:val="clear" w:color="auto" w:fill="F5F7FB"/>
          </w:tcPr>
          <w:p>
            <w:pPr>
              <w:pStyle w:val="Compact"/>
            </w:pPr>
            <w:r>
              <w:rPr>
                <w:sz w:val="17"/>
              </w:rPr>
              <w:t xml:space="preserve">Chaque événement contient l’empreinte du précédent ; toute suppression rompt la chaîne</w:t>
            </w:r>
          </w:p>
        </w:tc>
      </w:tr>
      <w:tr>
        <w:tc>
          <w:tcPr/>
          <w:p>
            <w:pPr>
              <w:pStyle w:val="Compact"/>
            </w:pPr>
            <w:r>
              <w:rPr>
                <w:sz w:val="17"/>
              </w:rPr>
              <w:t xml:space="preserve">Signatures numériques</w:t>
            </w:r>
          </w:p>
        </w:tc>
        <w:tc>
          <w:tcPr/>
          <w:p>
            <w:pPr>
              <w:pStyle w:val="Compact"/>
            </w:pPr>
            <w:r>
              <w:rPr>
                <w:sz w:val="17"/>
              </w:rPr>
              <w:t xml:space="preserve">Événements financiers signés par des clés en HSM</w:t>
            </w:r>
          </w:p>
        </w:tc>
      </w:tr>
      <w:tr>
        <w:tc>
          <w:tcPr>
            <w:shd w:val="clear" w:color="auto" w:fill="F5F7FB"/>
          </w:tcPr>
          <w:p>
            <w:pPr>
              <w:pStyle w:val="Compact"/>
            </w:pPr>
            <w:r>
              <w:rPr>
                <w:sz w:val="17"/>
              </w:rPr>
              <w:t xml:space="preserve">Horodatage de confiance</w:t>
            </w:r>
          </w:p>
        </w:tc>
        <w:tc>
          <w:tcPr>
            <w:shd w:val="clear" w:color="auto" w:fill="F5F7FB"/>
          </w:tcPr>
          <w:p>
            <w:pPr>
              <w:pStyle w:val="Compact"/>
            </w:pPr>
            <w:r>
              <w:rPr>
                <w:sz w:val="17"/>
              </w:rPr>
              <w:t xml:space="preserve">Ancrage périodique de l’empreinte de la chaîne auprès d’une autorité d’horodatage et chez un tiers indépendant</w:t>
            </w:r>
          </w:p>
        </w:tc>
      </w:tr>
      <w:tr>
        <w:tc>
          <w:tcPr/>
          <w:p>
            <w:pPr>
              <w:pStyle w:val="Compact"/>
            </w:pPr>
            <w:r>
              <w:rPr>
                <w:sz w:val="17"/>
              </w:rPr>
              <w:t xml:space="preserve">Grand livre en ajout seul, partie double</w:t>
            </w:r>
          </w:p>
        </w:tc>
        <w:tc>
          <w:tcPr/>
          <w:p>
            <w:pPr>
              <w:pStyle w:val="Compact"/>
            </w:pPr>
            <w:r>
              <w:rPr>
                <w:sz w:val="17"/>
              </w:rPr>
              <w:t xml:space="preserve">§ 20.2</w:t>
            </w:r>
          </w:p>
        </w:tc>
      </w:tr>
      <w:tr>
        <w:tc>
          <w:tcPr>
            <w:shd w:val="clear" w:color="auto" w:fill="F5F7FB"/>
          </w:tcPr>
          <w:p>
            <w:pPr>
              <w:pStyle w:val="Compact"/>
            </w:pPr>
            <w:r>
              <w:rPr>
                <w:sz w:val="17"/>
              </w:rPr>
              <w:t xml:space="preserve">Stockage WORM</w:t>
            </w:r>
          </w:p>
        </w:tc>
        <w:tc>
          <w:tcPr>
            <w:shd w:val="clear" w:color="auto" w:fill="F5F7FB"/>
          </w:tcPr>
          <w:p>
            <w:pPr>
              <w:pStyle w:val="Compact"/>
            </w:pPr>
            <w:r>
              <w:rPr>
                <w:sz w:val="17"/>
              </w:rPr>
              <w:t xml:space="preserve">Copie du journal sur stockage à écriture unique, sous le contrôle de l’audit</w:t>
            </w:r>
          </w:p>
        </w:tc>
      </w:tr>
      <w:tr>
        <w:tc>
          <w:tcPr/>
          <w:p>
            <w:pPr>
              <w:pStyle w:val="Compact"/>
            </w:pPr>
            <w:r>
              <w:rPr>
                <w:sz w:val="17"/>
              </w:rPr>
              <w:t xml:space="preserve">Sauvegarde indépendante des preuves</w:t>
            </w:r>
          </w:p>
        </w:tc>
        <w:tc>
          <w:tcPr/>
          <w:p>
            <w:pPr>
              <w:pStyle w:val="Compact"/>
            </w:pPr>
            <w:r>
              <w:rPr>
                <w:sz w:val="17"/>
              </w:rPr>
              <w:t xml:space="preserve">Réplication vers un site contrôlé par l’autorité d’audit</w:t>
            </w:r>
          </w:p>
        </w:tc>
      </w:tr>
      <w:tr>
        <w:tc>
          <w:tcPr>
            <w:shd w:val="clear" w:color="auto" w:fill="F5F7FB"/>
          </w:tcPr>
          <w:p>
            <w:pPr>
              <w:pStyle w:val="Compact"/>
            </w:pPr>
            <w:r>
              <w:rPr>
                <w:sz w:val="17"/>
              </w:rPr>
              <w:t xml:space="preserve">Maker-checker, contrôle double</w:t>
            </w:r>
          </w:p>
        </w:tc>
        <w:tc>
          <w:tcPr>
            <w:shd w:val="clear" w:color="auto" w:fill="F5F7FB"/>
          </w:tcPr>
          <w:p>
            <w:pPr>
              <w:pStyle w:val="Compact"/>
            </w:pPr>
            <w:r>
              <w:rPr>
                <w:sz w:val="17"/>
              </w:rPr>
              <w:t xml:space="preserve">§ 12.6</w:t>
            </w:r>
          </w:p>
        </w:tc>
      </w:tr>
      <w:tr>
        <w:tc>
          <w:tcPr/>
          <w:p>
            <w:pPr>
              <w:pStyle w:val="Compact"/>
            </w:pPr>
            <w:r>
              <w:rPr>
                <w:sz w:val="17"/>
              </w:rPr>
              <w:t xml:space="preserve">Limites de transaction</w:t>
            </w:r>
          </w:p>
        </w:tc>
        <w:tc>
          <w:tcPr/>
          <w:p>
            <w:pPr>
              <w:pStyle w:val="Compact"/>
            </w:pPr>
            <w:r>
              <w:rPr>
                <w:sz w:val="17"/>
              </w:rPr>
              <w:t xml:space="preserve">Plafonds de remboursement, d’annulation, d’exonération par rôle</w:t>
            </w:r>
          </w:p>
        </w:tc>
      </w:tr>
      <w:tr>
        <w:tc>
          <w:tcPr>
            <w:shd w:val="clear" w:color="auto" w:fill="F5F7FB"/>
          </w:tcPr>
          <w:p>
            <w:pPr>
              <w:pStyle w:val="Compact"/>
            </w:pPr>
            <w:r>
              <w:rPr>
                <w:sz w:val="17"/>
              </w:rPr>
              <w:t xml:space="preserve">Verrouillage des bénéficiaires</w:t>
            </w:r>
          </w:p>
        </w:tc>
        <w:tc>
          <w:tcPr>
            <w:shd w:val="clear" w:color="auto" w:fill="F5F7FB"/>
          </w:tcPr>
          <w:p>
            <w:pPr>
              <w:pStyle w:val="Compact"/>
            </w:pPr>
            <w:r>
              <w:rPr>
                <w:sz w:val="17"/>
              </w:rPr>
              <w:t xml:space="preserve">Coffre, quorum, hors bande, refroidissement</w:t>
            </w:r>
          </w:p>
        </w:tc>
      </w:tr>
      <w:tr>
        <w:tc>
          <w:tcPr/>
          <w:p>
            <w:pPr>
              <w:pStyle w:val="Compact"/>
            </w:pPr>
            <w:r>
              <w:rPr>
                <w:sz w:val="17"/>
              </w:rPr>
              <w:t xml:space="preserve">Détection d’anomalies</w:t>
            </w:r>
          </w:p>
        </w:tc>
        <w:tc>
          <w:tcPr/>
          <w:p>
            <w:pPr>
              <w:pStyle w:val="Compact"/>
            </w:pPr>
            <w:r>
              <w:rPr>
                <w:sz w:val="17"/>
              </w:rPr>
              <w:t xml:space="preserve">Règles + modèles</w:t>
            </w:r>
          </w:p>
        </w:tc>
      </w:tr>
      <w:tr>
        <w:tc>
          <w:tcPr>
            <w:shd w:val="clear" w:color="auto" w:fill="F5F7FB"/>
          </w:tcPr>
          <w:p>
            <w:pPr>
              <w:pStyle w:val="Compact"/>
            </w:pPr>
            <w:r>
              <w:rPr>
                <w:sz w:val="17"/>
              </w:rPr>
              <w:t xml:space="preserve">Empreinte d’appareil</w:t>
            </w:r>
          </w:p>
        </w:tc>
        <w:tc>
          <w:tcPr>
            <w:shd w:val="clear" w:color="auto" w:fill="F5F7FB"/>
          </w:tcPr>
          <w:p>
            <w:pPr>
              <w:pStyle w:val="Compact"/>
            </w:pPr>
            <w:r>
              <w:rPr>
                <w:sz w:val="17"/>
              </w:rPr>
              <w:t xml:space="preserve">Terminaux enrôlés ; détection de réutilisation d’appareil entre comptes</w:t>
            </w:r>
          </w:p>
        </w:tc>
      </w:tr>
      <w:tr>
        <w:tc>
          <w:tcPr/>
          <w:p>
            <w:pPr>
              <w:pStyle w:val="Compact"/>
            </w:pPr>
            <w:r>
              <w:rPr>
                <w:sz w:val="17"/>
              </w:rPr>
              <w:t xml:space="preserve">Géorepérage et plausibilité GPS</w:t>
            </w:r>
          </w:p>
        </w:tc>
        <w:tc>
          <w:tcPr/>
          <w:p>
            <w:pPr>
              <w:pStyle w:val="Compact"/>
            </w:pPr>
            <w:r>
              <w:rPr>
                <w:sz w:val="17"/>
              </w:rPr>
              <w:t xml:space="preserve">Vitesse de déplacement, précision, sortie de zone</w:t>
            </w:r>
          </w:p>
        </w:tc>
      </w:tr>
      <w:tr>
        <w:tc>
          <w:tcPr>
            <w:shd w:val="clear" w:color="auto" w:fill="F5F7FB"/>
          </w:tcPr>
          <w:p>
            <w:pPr>
              <w:pStyle w:val="Compact"/>
            </w:pPr>
            <w:r>
              <w:rPr>
                <w:sz w:val="17"/>
              </w:rPr>
              <w:t xml:space="preserve">Intégrité des photos et documents</w:t>
            </w:r>
          </w:p>
        </w:tc>
        <w:tc>
          <w:tcPr>
            <w:shd w:val="clear" w:color="auto" w:fill="F5F7FB"/>
          </w:tcPr>
          <w:p>
            <w:pPr>
              <w:pStyle w:val="Compact"/>
            </w:pPr>
            <w:r>
              <w:rPr>
                <w:sz w:val="17"/>
              </w:rPr>
              <w:t xml:space="preserve">Capture dans l’application uniquement, hachage à la capture, métadonnées scellées</w:t>
            </w:r>
          </w:p>
        </w:tc>
      </w:tr>
      <w:tr>
        <w:tc>
          <w:tcPr/>
          <w:p>
            <w:pPr>
              <w:pStyle w:val="Compact"/>
            </w:pPr>
            <w:r>
              <w:rPr>
                <w:sz w:val="17"/>
              </w:rPr>
              <w:t xml:space="preserve">Anti-rejeu</w:t>
            </w:r>
          </w:p>
        </w:tc>
        <w:tc>
          <w:tcPr/>
          <w:p>
            <w:pPr>
              <w:pStyle w:val="Compact"/>
            </w:pPr>
            <w:r>
              <w:rPr>
                <w:sz w:val="17"/>
              </w:rPr>
              <w:t xml:space="preserve">Nonces, fenêtres temporelles, idempotence</w:t>
            </w:r>
          </w:p>
        </w:tc>
      </w:tr>
      <w:tr>
        <w:tc>
          <w:tcPr>
            <w:shd w:val="clear" w:color="auto" w:fill="F5F7FB"/>
          </w:tcPr>
          <w:p>
            <w:pPr>
              <w:pStyle w:val="Compact"/>
            </w:pPr>
            <w:r>
              <w:rPr>
                <w:sz w:val="17"/>
              </w:rPr>
              <w:t xml:space="preserve">Rapprochement</w:t>
            </w:r>
          </w:p>
        </w:tc>
        <w:tc>
          <w:tcPr>
            <w:shd w:val="clear" w:color="auto" w:fill="F5F7FB"/>
          </w:tcPr>
          <w:p>
            <w:pPr>
              <w:pStyle w:val="Compact"/>
            </w:pPr>
            <w:r>
              <w:rPr>
                <w:sz w:val="17"/>
              </w:rPr>
              <w:t xml:space="preserve">Trois voies + écritures</w:t>
            </w:r>
          </w:p>
        </w:tc>
      </w:tr>
      <w:tr>
        <w:tc>
          <w:tcPr/>
          <w:p>
            <w:pPr>
              <w:pStyle w:val="Compact"/>
            </w:pPr>
            <w:r>
              <w:rPr>
                <w:sz w:val="17"/>
              </w:rPr>
              <w:t xml:space="preserve">Surveillance des accès privilégiés</w:t>
            </w:r>
          </w:p>
        </w:tc>
        <w:tc>
          <w:tcPr/>
          <w:p>
            <w:pPr>
              <w:pStyle w:val="Compact"/>
            </w:pPr>
            <w:r>
              <w:rPr>
                <w:sz w:val="17"/>
              </w:rPr>
              <w:t xml:space="preserve">Sessions enregistrées, alertes en temps réel</w:t>
            </w:r>
          </w:p>
        </w:tc>
      </w:tr>
      <w:tr>
        <w:tc>
          <w:tcPr>
            <w:shd w:val="clear" w:color="auto" w:fill="F5F7FB"/>
          </w:tcPr>
          <w:p>
            <w:pPr>
              <w:pStyle w:val="Compact"/>
            </w:pPr>
            <w:r>
              <w:rPr>
                <w:sz w:val="17"/>
              </w:rPr>
              <w:t xml:space="preserve">Prévention des fuites de données</w:t>
            </w:r>
          </w:p>
        </w:tc>
        <w:tc>
          <w:tcPr>
            <w:shd w:val="clear" w:color="auto" w:fill="F5F7FB"/>
          </w:tcPr>
          <w:p>
            <w:pPr>
              <w:pStyle w:val="Compact"/>
            </w:pPr>
            <w:r>
              <w:rPr>
                <w:sz w:val="17"/>
              </w:rPr>
              <w:t xml:space="preserve">Masquage, filigranes sur exports, limites de volume, alertes</w:t>
            </w:r>
          </w:p>
        </w:tc>
      </w:tr>
      <w:tr>
        <w:tc>
          <w:tcPr/>
          <w:p>
            <w:pPr>
              <w:pStyle w:val="Compact"/>
            </w:pPr>
            <w:r>
              <w:rPr>
                <w:sz w:val="17"/>
              </w:rPr>
              <w:t xml:space="preserve">Accès d’audit indépendant</w:t>
            </w:r>
          </w:p>
        </w:tc>
        <w:tc>
          <w:tcPr/>
          <w:p>
            <w:pPr>
              <w:pStyle w:val="Compact"/>
            </w:pPr>
            <w:r>
              <w:rPr>
                <w:sz w:val="17"/>
              </w:rPr>
              <w:t xml:space="preserve">Rôle auditeur non modifiable par les administrateurs</w:t>
            </w:r>
          </w:p>
        </w:tc>
      </w:tr>
    </w:tbl>
    <w:bookmarkEnd w:id="259"/>
    <w:bookmarkStart w:id="260" w:name="scénarios-de-fraude-et-contrôles"/>
    <w:p>
      <w:pPr>
        <w:pStyle w:val="Heading2"/>
      </w:pPr>
      <w:r>
        <w:t xml:space="preserve">25.3 Scénarios de fraude et contrôles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Scénario</w:t>
            </w:r>
          </w:p>
        </w:tc>
        <w:tc>
          <w:tcPr>
            <w:shd w:val="clear" w:color="auto" w:fill="232C6B"/>
          </w:tcPr>
          <w:p>
            <w:pPr>
              <w:pStyle w:val="Compact"/>
            </w:pPr>
            <w:r>
              <w:rPr>
                <w:b/>
                <w:color w:val="FFFFFF"/>
                <w:sz w:val="17"/>
              </w:rPr>
              <w:t xml:space="preserve">Signal</w:t>
            </w:r>
          </w:p>
        </w:tc>
        <w:tc>
          <w:tcPr>
            <w:shd w:val="clear" w:color="auto" w:fill="232C6B"/>
          </w:tcPr>
          <w:p>
            <w:pPr>
              <w:pStyle w:val="Compact"/>
            </w:pPr>
            <w:r>
              <w:rPr>
                <w:b/>
                <w:color w:val="FFFFFF"/>
                <w:sz w:val="17"/>
              </w:rPr>
              <w:t xml:space="preserve">Contrôle</w:t>
            </w:r>
          </w:p>
        </w:tc>
      </w:tr>
      <w:tr>
        <w:tc>
          <w:tcPr/>
          <w:p>
            <w:pPr>
              <w:pStyle w:val="Compact"/>
            </w:pPr>
            <w:r>
              <w:rPr>
                <w:sz w:val="17"/>
              </w:rPr>
              <w:t xml:space="preserve">Agent qui encaisse des espèces « pour arranger »</w:t>
            </w:r>
          </w:p>
        </w:tc>
        <w:tc>
          <w:tcPr/>
          <w:p>
            <w:pPr>
              <w:pStyle w:val="Compact"/>
            </w:pPr>
            <w:r>
              <w:rPr>
                <w:sz w:val="17"/>
              </w:rPr>
              <w:t xml:space="preserve">Plaintes, régularisations sans paiement, écarts constat/paiement</w:t>
            </w:r>
          </w:p>
        </w:tc>
        <w:tc>
          <w:tcPr/>
          <w:p>
            <w:pPr>
              <w:pStyle w:val="Compact"/>
            </w:pPr>
            <w:r>
              <w:rPr>
                <w:sz w:val="17"/>
              </w:rPr>
              <w:t xml:space="preserve">Zéro espèce, badge vérifiable, signalement, contrôle mystère</w:t>
            </w:r>
          </w:p>
        </w:tc>
      </w:tr>
      <w:tr>
        <w:tc>
          <w:tcPr>
            <w:shd w:val="clear" w:color="auto" w:fill="F5F7FB"/>
          </w:tcPr>
          <w:p>
            <w:pPr>
              <w:pStyle w:val="Compact"/>
            </w:pPr>
            <w:r>
              <w:rPr>
                <w:sz w:val="17"/>
              </w:rPr>
              <w:t xml:space="preserve">Exonérations de complaisance</w:t>
            </w:r>
          </w:p>
        </w:tc>
        <w:tc>
          <w:tcPr>
            <w:shd w:val="clear" w:color="auto" w:fill="F5F7FB"/>
          </w:tcPr>
          <w:p>
            <w:pPr>
              <w:pStyle w:val="Compact"/>
            </w:pPr>
            <w:r>
              <w:rPr>
                <w:sz w:val="17"/>
              </w:rPr>
              <w:t xml:space="preserve">Concentration par agent, zone ou période</w:t>
            </w:r>
          </w:p>
        </w:tc>
        <w:tc>
          <w:tcPr>
            <w:shd w:val="clear" w:color="auto" w:fill="F5F7FB"/>
          </w:tcPr>
          <w:p>
            <w:pPr>
              <w:pStyle w:val="Compact"/>
            </w:pPr>
            <w:r>
              <w:rPr>
                <w:sz w:val="17"/>
              </w:rPr>
              <w:t xml:space="preserve">Quatre yeux, fondement légal obligatoire, alerte de concentration</w:t>
            </w:r>
          </w:p>
        </w:tc>
      </w:tr>
      <w:tr>
        <w:tc>
          <w:tcPr/>
          <w:p>
            <w:pPr>
              <w:pStyle w:val="Compact"/>
            </w:pPr>
            <w:r>
              <w:rPr>
                <w:sz w:val="17"/>
              </w:rPr>
              <w:t xml:space="preserve">Annulations d’avis après paiement hors circuit</w:t>
            </w:r>
          </w:p>
        </w:tc>
        <w:tc>
          <w:tcPr/>
          <w:p>
            <w:pPr>
              <w:pStyle w:val="Compact"/>
            </w:pPr>
            <w:r>
              <w:rPr>
                <w:sz w:val="17"/>
              </w:rPr>
              <w:t xml:space="preserve">Pic d’annulations</w:t>
            </w:r>
          </w:p>
        </w:tc>
        <w:tc>
          <w:tcPr/>
          <w:p>
            <w:pPr>
              <w:pStyle w:val="Compact"/>
            </w:pPr>
            <w:r>
              <w:rPr>
                <w:sz w:val="17"/>
              </w:rPr>
              <w:t xml:space="preserve">Motif codifié, double validation, revue audit</w:t>
            </w:r>
          </w:p>
        </w:tc>
      </w:tr>
      <w:tr>
        <w:tc>
          <w:tcPr>
            <w:shd w:val="clear" w:color="auto" w:fill="F5F7FB"/>
          </w:tcPr>
          <w:p>
            <w:pPr>
              <w:pStyle w:val="Compact"/>
            </w:pPr>
            <w:r>
              <w:rPr>
                <w:sz w:val="17"/>
              </w:rPr>
              <w:t xml:space="preserve">Fausse quittance</w:t>
            </w:r>
          </w:p>
        </w:tc>
        <w:tc>
          <w:tcPr>
            <w:shd w:val="clear" w:color="auto" w:fill="F5F7FB"/>
          </w:tcPr>
          <w:p>
            <w:pPr>
              <w:pStyle w:val="Compact"/>
            </w:pPr>
            <w:r>
              <w:rPr>
                <w:sz w:val="17"/>
              </w:rPr>
              <w:t xml:space="preserve">Scan QR invalide</w:t>
            </w:r>
          </w:p>
        </w:tc>
        <w:tc>
          <w:tcPr>
            <w:shd w:val="clear" w:color="auto" w:fill="F5F7FB"/>
          </w:tcPr>
          <w:p>
            <w:pPr>
              <w:pStyle w:val="Compact"/>
            </w:pPr>
            <w:r>
              <w:rPr>
                <w:sz w:val="17"/>
              </w:rPr>
              <w:t xml:space="preserve">Vérification publique, signalement</w:t>
            </w:r>
          </w:p>
        </w:tc>
      </w:tr>
      <w:tr>
        <w:tc>
          <w:tcPr/>
          <w:p>
            <w:pPr>
              <w:pStyle w:val="Compact"/>
            </w:pPr>
            <w:r>
              <w:rPr>
                <w:sz w:val="17"/>
              </w:rPr>
              <w:t xml:space="preserve">Détournement par changement de compte bénéficiaire</w:t>
            </w:r>
          </w:p>
        </w:tc>
        <w:tc>
          <w:tcPr/>
          <w:p>
            <w:pPr>
              <w:pStyle w:val="Compact"/>
            </w:pPr>
            <w:r>
              <w:rPr>
                <w:sz w:val="17"/>
              </w:rPr>
              <w:t xml:space="preserve">Tentative de modification</w:t>
            </w:r>
          </w:p>
        </w:tc>
        <w:tc>
          <w:tcPr/>
          <w:p>
            <w:pPr>
              <w:pStyle w:val="Compact"/>
            </w:pPr>
            <w:r>
              <w:rPr>
                <w:sz w:val="17"/>
              </w:rPr>
              <w:t xml:space="preserve">Quorum, hors bande, refroidissement, notification multiple</w:t>
            </w:r>
          </w:p>
        </w:tc>
      </w:tr>
      <w:tr>
        <w:tc>
          <w:tcPr>
            <w:shd w:val="clear" w:color="auto" w:fill="F5F7FB"/>
          </w:tcPr>
          <w:p>
            <w:pPr>
              <w:pStyle w:val="Compact"/>
            </w:pPr>
            <w:r>
              <w:rPr>
                <w:sz w:val="17"/>
              </w:rPr>
              <w:t xml:space="preserve">Collusion recenseur–contribuable (sous-déclaration d’unités)</w:t>
            </w:r>
          </w:p>
        </w:tc>
        <w:tc>
          <w:tcPr>
            <w:shd w:val="clear" w:color="auto" w:fill="F5F7FB"/>
          </w:tcPr>
          <w:p>
            <w:pPr>
              <w:pStyle w:val="Compact"/>
            </w:pPr>
            <w:r>
              <w:rPr>
                <w:sz w:val="17"/>
              </w:rPr>
              <w:t xml:space="preserve">Écart avec imagerie, compteurs</w:t>
            </w:r>
          </w:p>
        </w:tc>
        <w:tc>
          <w:tcPr>
            <w:shd w:val="clear" w:color="auto" w:fill="F5F7FB"/>
          </w:tcPr>
          <w:p>
            <w:pPr>
              <w:pStyle w:val="Compact"/>
            </w:pPr>
            <w:r>
              <w:rPr>
                <w:sz w:val="17"/>
              </w:rPr>
              <w:t xml:space="preserve">Contrôle qualité indépendant, double visite aléatoire</w:t>
            </w:r>
          </w:p>
        </w:tc>
      </w:tr>
      <w:tr>
        <w:tc>
          <w:tcPr/>
          <w:p>
            <w:pPr>
              <w:pStyle w:val="Compact"/>
            </w:pPr>
            <w:r>
              <w:rPr>
                <w:sz w:val="17"/>
              </w:rPr>
              <w:t xml:space="preserve">Objets fictifs pour gonfler la production</w:t>
            </w:r>
          </w:p>
        </w:tc>
        <w:tc>
          <w:tcPr/>
          <w:p>
            <w:pPr>
              <w:pStyle w:val="Compact"/>
            </w:pPr>
            <w:r>
              <w:rPr>
                <w:sz w:val="17"/>
              </w:rPr>
              <w:t xml:space="preserve">Objets sans suite, photos réutilisées</w:t>
            </w:r>
          </w:p>
        </w:tc>
        <w:tc>
          <w:tcPr/>
          <w:p>
            <w:pPr>
              <w:pStyle w:val="Compact"/>
            </w:pPr>
            <w:r>
              <w:rPr>
                <w:sz w:val="17"/>
              </w:rPr>
              <w:t xml:space="preserve">Hachage des photos, rémunération sur objets vérifiés uniquement</w:t>
            </w:r>
          </w:p>
        </w:tc>
      </w:tr>
      <w:tr>
        <w:tc>
          <w:tcPr>
            <w:shd w:val="clear" w:color="auto" w:fill="F5F7FB"/>
          </w:tcPr>
          <w:p>
            <w:pPr>
              <w:pStyle w:val="Compact"/>
            </w:pPr>
            <w:r>
              <w:rPr>
                <w:sz w:val="17"/>
              </w:rPr>
              <w:t xml:space="preserve">Rappel de paiement falsifié</w:t>
            </w:r>
          </w:p>
        </w:tc>
        <w:tc>
          <w:tcPr>
            <w:shd w:val="clear" w:color="auto" w:fill="F5F7FB"/>
          </w:tcPr>
          <w:p>
            <w:pPr>
              <w:pStyle w:val="Compact"/>
            </w:pPr>
            <w:r>
              <w:rPr>
                <w:sz w:val="17"/>
              </w:rPr>
              <w:t xml:space="preserve">Signature invalide</w:t>
            </w:r>
          </w:p>
        </w:tc>
        <w:tc>
          <w:tcPr>
            <w:shd w:val="clear" w:color="auto" w:fill="F5F7FB"/>
          </w:tcPr>
          <w:p>
            <w:pPr>
              <w:pStyle w:val="Compact"/>
            </w:pPr>
            <w:r>
              <w:rPr>
                <w:sz w:val="17"/>
              </w:rPr>
              <w:t xml:space="preserve">mTLS + signature + appel de contrôle</w:t>
            </w:r>
          </w:p>
        </w:tc>
      </w:tr>
      <w:tr>
        <w:tc>
          <w:tcPr/>
          <w:p>
            <w:pPr>
              <w:pStyle w:val="Compact"/>
            </w:pPr>
            <w:r>
              <w:rPr>
                <w:sz w:val="17"/>
              </w:rPr>
              <w:t xml:space="preserve">Remboursement vers un compte tiers</w:t>
            </w:r>
          </w:p>
        </w:tc>
        <w:tc>
          <w:tcPr/>
          <w:p>
            <w:pPr>
              <w:pStyle w:val="Compact"/>
            </w:pPr>
            <w:r>
              <w:rPr>
                <w:sz w:val="17"/>
              </w:rPr>
              <w:t xml:space="preserve">Instrument différent de l’origine</w:t>
            </w:r>
          </w:p>
        </w:tc>
        <w:tc>
          <w:tcPr/>
          <w:p>
            <w:pPr>
              <w:pStyle w:val="Compact"/>
            </w:pPr>
            <w:r>
              <w:rPr>
                <w:sz w:val="17"/>
              </w:rPr>
              <w:t xml:space="preserve">Remboursement vers l’origine uniquement</w:t>
            </w:r>
          </w:p>
        </w:tc>
      </w:tr>
      <w:tr>
        <w:tc>
          <w:tcPr>
            <w:shd w:val="clear" w:color="auto" w:fill="F5F7FB"/>
          </w:tcPr>
          <w:p>
            <w:pPr>
              <w:pStyle w:val="Compact"/>
            </w:pPr>
            <w:r>
              <w:rPr>
                <w:sz w:val="17"/>
              </w:rPr>
              <w:t xml:space="preserve">Initié technique modifiant la base</w:t>
            </w:r>
          </w:p>
        </w:tc>
        <w:tc>
          <w:tcPr>
            <w:shd w:val="clear" w:color="auto" w:fill="F5F7FB"/>
          </w:tcPr>
          <w:p>
            <w:pPr>
              <w:pStyle w:val="Compact"/>
            </w:pPr>
            <w:r>
              <w:rPr>
                <w:sz w:val="17"/>
              </w:rPr>
              <w:t xml:space="preserve">Rupture de chaîne de hachage, écart avec copie WORM</w:t>
            </w:r>
          </w:p>
        </w:tc>
        <w:tc>
          <w:tcPr>
            <w:shd w:val="clear" w:color="auto" w:fill="F5F7FB"/>
          </w:tcPr>
          <w:p>
            <w:pPr>
              <w:pStyle w:val="Compact"/>
            </w:pPr>
            <w:r>
              <w:rPr>
                <w:sz w:val="17"/>
              </w:rPr>
              <w:t xml:space="preserve">Contrôle d’intégrité horaire, alerte critique</w:t>
            </w:r>
          </w:p>
        </w:tc>
      </w:tr>
      <w:tr>
        <w:tc>
          <w:tcPr/>
          <w:p>
            <w:pPr>
              <w:pStyle w:val="Compact"/>
            </w:pPr>
            <w:r>
              <w:rPr>
                <w:sz w:val="17"/>
              </w:rPr>
              <w:t xml:space="preserve">Baisse inexpliquée de recettes d’une zone</w:t>
            </w:r>
          </w:p>
        </w:tc>
        <w:tc>
          <w:tcPr/>
          <w:p>
            <w:pPr>
              <w:pStyle w:val="Compact"/>
            </w:pPr>
            <w:r>
              <w:rPr>
                <w:sz w:val="17"/>
              </w:rPr>
              <w:t xml:space="preserve">Série temporelle</w:t>
            </w:r>
          </w:p>
        </w:tc>
        <w:tc>
          <w:tcPr/>
          <w:p>
            <w:pPr>
              <w:pStyle w:val="Compact"/>
            </w:pPr>
            <w:r>
              <w:rPr>
                <w:sz w:val="17"/>
              </w:rPr>
              <w:t xml:space="preserve">Alerte de l’agent de fraude, enquête</w:t>
            </w:r>
          </w:p>
        </w:tc>
      </w:tr>
    </w:tbl>
    <w:p>
      <w:pPr>
        <w:pStyle w:val="BodyText"/>
      </w:pPr>
      <w:r>
        <w:rPr>
          <w:b/>
          <w:bCs/>
        </w:rPr>
        <w:t xml:space="preserve">Aucun paiement, liquidation, exonération, annulation ni correction ne peut disparaître.</w:t>
      </w:r>
      <w:r>
        <w:t xml:space="preserve"> </w:t>
      </w:r>
      <w:r>
        <w:t xml:space="preserve">Les corrections se font par contrepassement ou contre-écriture autorisés, liés à l’original.</w:t>
      </w:r>
    </w:p>
    <w:bookmarkEnd w:id="260"/>
    <w:bookmarkEnd w:id="261"/>
    <w:bookmarkStart w:id="271" w:name="tableaux-de-bord-exécutifs"/>
    <w:p>
      <w:pPr>
        <w:pStyle w:val="Heading1"/>
      </w:pPr>
      <w:r>
        <w:t xml:space="preserve">26. Tableaux de bord exécutifs</w:t>
      </w:r>
    </w:p>
    <w:bookmarkStart w:id="265" w:name="léchelle-unifiée-de-la-recette"/>
    <w:p>
      <w:pPr>
        <w:pStyle w:val="Heading2"/>
      </w:pPr>
      <w:r>
        <w:t xml:space="preserve">26.1 L’échelle unifiée de la recette</w:t>
      </w:r>
    </w:p>
    <w:p>
      <w:pPr>
        <w:pStyle w:val="FirstParagraph"/>
      </w:pPr>
      <w:r>
        <w:t xml:space="preserve">Tous les tableaux de bord emploient la même échelle, sans jamais additionner des niveaux différents :</w:t>
      </w:r>
    </w:p>
    <w:p>
      <w:pPr>
        <w:pStyle w:val="CaptionedFigure"/>
      </w:pPr>
      <w:r>
        <w:drawing>
          <wp:inline>
            <wp:extent cx="6108700" cy="3238568"/>
            <wp:effectExtent b="0" l="0" r="0" t="0"/>
            <wp:docPr descr="Échelle de la recette" title="" id="263" name="Picture"/>
            <a:graphic>
              <a:graphicData uri="http://schemas.openxmlformats.org/drawingml/2006/picture">
                <pic:pic>
                  <pic:nvPicPr>
                    <pic:cNvPr descr="figures/fig-echelle-recette.png" id="264" name="Picture"/>
                    <pic:cNvPicPr>
                      <a:picLocks noChangeArrowheads="1" noChangeAspect="1"/>
                    </pic:cNvPicPr>
                  </pic:nvPicPr>
                  <pic:blipFill>
                    <a:blip r:embed="rId262"/>
                    <a:stretch>
                      <a:fillRect/>
                    </a:stretch>
                  </pic:blipFill>
                  <pic:spPr bwMode="auto">
                    <a:xfrm>
                      <a:off x="0" y="0"/>
                      <a:ext cx="6108700" cy="3238568"/>
                    </a:xfrm>
                    <a:prstGeom prst="rect">
                      <a:avLst/>
                    </a:prstGeom>
                    <a:noFill/>
                    <a:ln w="9525">
                      <a:noFill/>
                      <a:headEnd/>
                      <a:tailEnd/>
                    </a:ln>
                  </pic:spPr>
                </pic:pic>
              </a:graphicData>
            </a:graphic>
          </wp:inline>
        </w:drawing>
      </w:r>
    </w:p>
    <w:p>
      <w:pPr>
        <w:pStyle w:val="ImageCaption"/>
      </w:pPr>
      <w:r>
        <w:t xml:space="preserve">Échelle de la recette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w:t>
            </w:r>
          </w:p>
        </w:tc>
        <w:tc>
          <w:tcPr>
            <w:shd w:val="clear" w:color="auto" w:fill="232C6B"/>
          </w:tcPr>
          <w:p>
            <w:pPr>
              <w:pStyle w:val="Compact"/>
            </w:pPr>
            <w:r>
              <w:rPr>
                <w:b/>
                <w:color w:val="FFFFFF"/>
                <w:sz w:val="17"/>
              </w:rPr>
              <w:t xml:space="preserve">Niveau</w:t>
            </w:r>
          </w:p>
        </w:tc>
        <w:tc>
          <w:tcPr>
            <w:shd w:val="clear" w:color="auto" w:fill="232C6B"/>
          </w:tcPr>
          <w:p>
            <w:pPr>
              <w:pStyle w:val="Compact"/>
            </w:pPr>
            <w:r>
              <w:rPr>
                <w:b/>
                <w:color w:val="FFFFFF"/>
                <w:sz w:val="17"/>
              </w:rPr>
              <w:t xml:space="preserve">Définition</w:t>
            </w:r>
          </w:p>
        </w:tc>
      </w:tr>
      <w:tr>
        <w:tc>
          <w:tcPr/>
          <w:p>
            <w:pPr>
              <w:pStyle w:val="Compact"/>
            </w:pPr>
            <w:r>
              <w:rPr>
                <w:sz w:val="17"/>
              </w:rPr>
              <w:t xml:space="preserve">1</w:t>
            </w:r>
          </w:p>
        </w:tc>
        <w:tc>
          <w:tcPr/>
          <w:p>
            <w:pPr>
              <w:pStyle w:val="Compact"/>
            </w:pPr>
            <w:r>
              <w:rPr>
                <w:b/>
                <w:bCs/>
                <w:sz w:val="17"/>
              </w:rPr>
              <w:t xml:space="preserve">Potentiel estimé</w:t>
            </w:r>
          </w:p>
        </w:tc>
        <w:tc>
          <w:tcPr/>
          <w:p>
            <w:pPr>
              <w:pStyle w:val="Compact"/>
            </w:pPr>
            <w:r>
              <w:rPr>
                <w:sz w:val="17"/>
              </w:rPr>
              <w:t xml:space="preserve">Estimation statistique, non opposable</w:t>
            </w:r>
          </w:p>
        </w:tc>
      </w:tr>
      <w:tr>
        <w:tc>
          <w:tcPr>
            <w:shd w:val="clear" w:color="auto" w:fill="F5F7FB"/>
          </w:tcPr>
          <w:p>
            <w:pPr>
              <w:pStyle w:val="Compact"/>
            </w:pPr>
            <w:r>
              <w:rPr>
                <w:sz w:val="17"/>
              </w:rPr>
              <w:t xml:space="preserve">2</w:t>
            </w:r>
          </w:p>
        </w:tc>
        <w:tc>
          <w:tcPr>
            <w:shd w:val="clear" w:color="auto" w:fill="F5F7FB"/>
          </w:tcPr>
          <w:p>
            <w:pPr>
              <w:pStyle w:val="Compact"/>
            </w:pPr>
            <w:r>
              <w:rPr>
                <w:b/>
                <w:bCs/>
                <w:sz w:val="17"/>
              </w:rPr>
              <w:t xml:space="preserve">Assiette vérifiée</w:t>
            </w:r>
          </w:p>
        </w:tc>
        <w:tc>
          <w:tcPr>
            <w:shd w:val="clear" w:color="auto" w:fill="F5F7FB"/>
          </w:tcPr>
          <w:p>
            <w:pPr>
              <w:pStyle w:val="Compact"/>
            </w:pPr>
            <w:r>
              <w:rPr>
                <w:sz w:val="17"/>
              </w:rPr>
              <w:t xml:space="preserve">Objets et redevables vérifiés × règles actives</w:t>
            </w:r>
          </w:p>
        </w:tc>
      </w:tr>
      <w:tr>
        <w:tc>
          <w:tcPr/>
          <w:p>
            <w:pPr>
              <w:pStyle w:val="Compact"/>
            </w:pPr>
            <w:r>
              <w:rPr>
                <w:sz w:val="17"/>
              </w:rPr>
              <w:t xml:space="preserve">3</w:t>
            </w:r>
          </w:p>
        </w:tc>
        <w:tc>
          <w:tcPr/>
          <w:p>
            <w:pPr>
              <w:pStyle w:val="Compact"/>
            </w:pPr>
            <w:r>
              <w:rPr>
                <w:b/>
                <w:bCs/>
                <w:sz w:val="17"/>
              </w:rPr>
              <w:t xml:space="preserve">Liquidé (assessed)</w:t>
            </w:r>
          </w:p>
        </w:tc>
        <w:tc>
          <w:tcPr/>
          <w:p>
            <w:pPr>
              <w:pStyle w:val="Compact"/>
            </w:pPr>
            <w:r>
              <w:rPr>
                <w:sz w:val="17"/>
              </w:rPr>
              <w:t xml:space="preserve">Obligations émises</w:t>
            </w:r>
          </w:p>
        </w:tc>
      </w:tr>
      <w:tr>
        <w:tc>
          <w:tcPr>
            <w:shd w:val="clear" w:color="auto" w:fill="F5F7FB"/>
          </w:tcPr>
          <w:p>
            <w:pPr>
              <w:pStyle w:val="Compact"/>
            </w:pPr>
            <w:r>
              <w:rPr>
                <w:sz w:val="17"/>
              </w:rPr>
              <w:t xml:space="preserve">4</w:t>
            </w:r>
          </w:p>
        </w:tc>
        <w:tc>
          <w:tcPr>
            <w:shd w:val="clear" w:color="auto" w:fill="F5F7FB"/>
          </w:tcPr>
          <w:p>
            <w:pPr>
              <w:pStyle w:val="Compact"/>
            </w:pPr>
            <w:r>
              <w:rPr>
                <w:b/>
                <w:bCs/>
                <w:sz w:val="17"/>
              </w:rPr>
              <w:t xml:space="preserve">Exigible</w:t>
            </w:r>
          </w:p>
        </w:tc>
        <w:tc>
          <w:tcPr>
            <w:shd w:val="clear" w:color="auto" w:fill="F5F7FB"/>
          </w:tcPr>
          <w:p>
            <w:pPr>
              <w:pStyle w:val="Compact"/>
            </w:pPr>
            <w:r>
              <w:rPr>
                <w:sz w:val="17"/>
              </w:rPr>
              <w:t xml:space="preserve">Obligations échues non contestées avec effet suspensif</w:t>
            </w:r>
          </w:p>
        </w:tc>
      </w:tr>
      <w:tr>
        <w:tc>
          <w:tcPr/>
          <w:p>
            <w:pPr>
              <w:pStyle w:val="Compact"/>
            </w:pPr>
            <w:r>
              <w:rPr>
                <w:sz w:val="17"/>
              </w:rPr>
              <w:t xml:space="preserve">5</w:t>
            </w:r>
          </w:p>
        </w:tc>
        <w:tc>
          <w:tcPr/>
          <w:p>
            <w:pPr>
              <w:pStyle w:val="Compact"/>
            </w:pPr>
            <w:r>
              <w:rPr>
                <w:b/>
                <w:bCs/>
                <w:sz w:val="17"/>
              </w:rPr>
              <w:t xml:space="preserve">En retard (overdue)</w:t>
            </w:r>
          </w:p>
        </w:tc>
        <w:tc>
          <w:tcPr/>
          <w:p>
            <w:pPr>
              <w:pStyle w:val="Compact"/>
            </w:pPr>
            <w:r>
              <w:rPr>
                <w:sz w:val="17"/>
              </w:rPr>
              <w:t xml:space="preserve">Exigible non payé après échéance</w:t>
            </w:r>
          </w:p>
        </w:tc>
      </w:tr>
      <w:tr>
        <w:tc>
          <w:tcPr>
            <w:shd w:val="clear" w:color="auto" w:fill="F5F7FB"/>
          </w:tcPr>
          <w:p>
            <w:pPr>
              <w:pStyle w:val="Compact"/>
            </w:pPr>
            <w:r>
              <w:rPr>
                <w:sz w:val="17"/>
              </w:rPr>
              <w:t xml:space="preserve">6</w:t>
            </w:r>
          </w:p>
        </w:tc>
        <w:tc>
          <w:tcPr>
            <w:shd w:val="clear" w:color="auto" w:fill="F5F7FB"/>
          </w:tcPr>
          <w:p>
            <w:pPr>
              <w:pStyle w:val="Compact"/>
            </w:pPr>
            <w:r>
              <w:rPr>
                <w:b/>
                <w:bCs/>
                <w:sz w:val="17"/>
              </w:rPr>
              <w:t xml:space="preserve">Paiement initié</w:t>
            </w:r>
          </w:p>
        </w:tc>
        <w:tc>
          <w:tcPr>
            <w:shd w:val="clear" w:color="auto" w:fill="F5F7FB"/>
          </w:tcPr>
          <w:p>
            <w:pPr>
              <w:pStyle w:val="Compact"/>
            </w:pPr>
            <w:r>
              <w:rPr>
                <w:sz w:val="17"/>
              </w:rPr>
              <w:t xml:space="preserve">Références en cours</w:t>
            </w:r>
          </w:p>
        </w:tc>
      </w:tr>
      <w:tr>
        <w:tc>
          <w:tcPr/>
          <w:p>
            <w:pPr>
              <w:pStyle w:val="Compact"/>
            </w:pPr>
            <w:r>
              <w:rPr>
                <w:sz w:val="17"/>
              </w:rPr>
              <w:t xml:space="preserve">7</w:t>
            </w:r>
          </w:p>
        </w:tc>
        <w:tc>
          <w:tcPr/>
          <w:p>
            <w:pPr>
              <w:pStyle w:val="Compact"/>
            </w:pPr>
            <w:r>
              <w:rPr>
                <w:b/>
                <w:bCs/>
                <w:sz w:val="17"/>
              </w:rPr>
              <w:t xml:space="preserve">Paiement confirmé</w:t>
            </w:r>
          </w:p>
        </w:tc>
        <w:tc>
          <w:tcPr/>
          <w:p>
            <w:pPr>
              <w:pStyle w:val="Compact"/>
            </w:pPr>
            <w:r>
              <w:rPr>
                <w:sz w:val="17"/>
              </w:rPr>
              <w:t xml:space="preserve">Confirmé par le prestataire</w:t>
            </w:r>
          </w:p>
        </w:tc>
      </w:tr>
      <w:tr>
        <w:tc>
          <w:tcPr>
            <w:shd w:val="clear" w:color="auto" w:fill="F5F7FB"/>
          </w:tcPr>
          <w:p>
            <w:pPr>
              <w:pStyle w:val="Compact"/>
            </w:pPr>
            <w:r>
              <w:rPr>
                <w:sz w:val="17"/>
              </w:rPr>
              <w:t xml:space="preserve">8</w:t>
            </w:r>
          </w:p>
        </w:tc>
        <w:tc>
          <w:tcPr>
            <w:shd w:val="clear" w:color="auto" w:fill="F5F7FB"/>
          </w:tcPr>
          <w:p>
            <w:pPr>
              <w:pStyle w:val="Compact"/>
            </w:pPr>
            <w:r>
              <w:rPr>
                <w:b/>
                <w:bCs/>
                <w:sz w:val="17"/>
              </w:rPr>
              <w:t xml:space="preserve">Réglé sur le compte public</w:t>
            </w:r>
          </w:p>
        </w:tc>
        <w:tc>
          <w:tcPr>
            <w:shd w:val="clear" w:color="auto" w:fill="F5F7FB"/>
          </w:tcPr>
          <w:p>
            <w:pPr>
              <w:pStyle w:val="Compact"/>
            </w:pPr>
            <w:r>
              <w:rPr>
                <w:sz w:val="17"/>
              </w:rPr>
              <w:t xml:space="preserve">Crédit constaté</w:t>
            </w:r>
          </w:p>
        </w:tc>
      </w:tr>
      <w:tr>
        <w:tc>
          <w:tcPr/>
          <w:p>
            <w:pPr>
              <w:pStyle w:val="Compact"/>
            </w:pPr>
            <w:r>
              <w:rPr>
                <w:sz w:val="17"/>
              </w:rPr>
              <w:t xml:space="preserve">9</w:t>
            </w:r>
          </w:p>
        </w:tc>
        <w:tc>
          <w:tcPr/>
          <w:p>
            <w:pPr>
              <w:pStyle w:val="Compact"/>
            </w:pPr>
            <w:r>
              <w:rPr>
                <w:b/>
                <w:bCs/>
                <w:sz w:val="17"/>
              </w:rPr>
              <w:t xml:space="preserve">Rapproché</w:t>
            </w:r>
          </w:p>
        </w:tc>
        <w:tc>
          <w:tcPr/>
          <w:p>
            <w:pPr>
              <w:pStyle w:val="Compact"/>
            </w:pPr>
            <w:r>
              <w:rPr>
                <w:sz w:val="17"/>
              </w:rPr>
              <w:t xml:space="preserve">Appariement obligation–paiement–règlement réalisé</w:t>
            </w:r>
          </w:p>
        </w:tc>
      </w:tr>
      <w:tr>
        <w:tc>
          <w:tcPr>
            <w:shd w:val="clear" w:color="auto" w:fill="F5F7FB"/>
          </w:tcPr>
          <w:p>
            <w:pPr>
              <w:pStyle w:val="Compact"/>
            </w:pPr>
            <w:r>
              <w:rPr>
                <w:sz w:val="17"/>
              </w:rPr>
              <w:t xml:space="preserve">10</w:t>
            </w:r>
          </w:p>
        </w:tc>
        <w:tc>
          <w:tcPr>
            <w:shd w:val="clear" w:color="auto" w:fill="F5F7FB"/>
          </w:tcPr>
          <w:p>
            <w:pPr>
              <w:pStyle w:val="Compact"/>
            </w:pPr>
            <w:r>
              <w:rPr>
                <w:b/>
                <w:bCs/>
                <w:sz w:val="17"/>
              </w:rPr>
              <w:t xml:space="preserve">Comptabilisé</w:t>
            </w:r>
          </w:p>
        </w:tc>
        <w:tc>
          <w:tcPr>
            <w:shd w:val="clear" w:color="auto" w:fill="F5F7FB"/>
          </w:tcPr>
          <w:p>
            <w:pPr>
              <w:pStyle w:val="Compact"/>
            </w:pPr>
            <w:r>
              <w:rPr>
                <w:sz w:val="17"/>
              </w:rPr>
              <w:t xml:space="preserve">Écriture imputée selon la nomenclature publique</w:t>
            </w:r>
          </w:p>
        </w:tc>
      </w:tr>
      <w:tr>
        <w:tc>
          <w:tcPr/>
          <w:p>
            <w:pPr>
              <w:pStyle w:val="Compact"/>
            </w:pPr>
            <w:r>
              <w:rPr>
                <w:sz w:val="17"/>
              </w:rPr>
              <w:t xml:space="preserve">11</w:t>
            </w:r>
          </w:p>
        </w:tc>
        <w:tc>
          <w:tcPr/>
          <w:p>
            <w:pPr>
              <w:pStyle w:val="Compact"/>
            </w:pPr>
            <w:r>
              <w:rPr>
                <w:b/>
                <w:bCs/>
                <w:sz w:val="17"/>
              </w:rPr>
              <w:t xml:space="preserve">Disponible pour appropriation budgétaire</w:t>
            </w:r>
          </w:p>
        </w:tc>
        <w:tc>
          <w:tcPr/>
          <w:p>
            <w:pPr>
              <w:pStyle w:val="Compact"/>
            </w:pPr>
            <w:r>
              <w:rPr>
                <w:sz w:val="17"/>
              </w:rPr>
              <w:t xml:space="preserve">Selon les règles du Trésor et du budget</w:t>
            </w:r>
          </w:p>
        </w:tc>
      </w:tr>
    </w:tbl>
    <w:p>
      <w:pPr>
        <w:pStyle w:val="BodyText"/>
      </w:pPr>
      <w:r>
        <w:t xml:space="preserve">Les onze états sont ceux du Cahier des exigences v2 (échelle unifiée). Le montant</w:t>
      </w:r>
      <w:r>
        <w:t xml:space="preserve"> </w:t>
      </w:r>
      <w:r>
        <w:rPr>
          <w:b/>
          <w:bCs/>
        </w:rPr>
        <w:t xml:space="preserve">contesté</w:t>
      </w:r>
      <w:r>
        <w:t xml:space="preserve"> </w:t>
      </w:r>
      <w:r>
        <w:t xml:space="preserve">(sous réclamation avec ou sans effet suspensif) est suivi comme un</w:t>
      </w:r>
      <w:r>
        <w:t xml:space="preserve"> </w:t>
      </w:r>
      <w:r>
        <w:rPr>
          <w:b/>
          <w:bCs/>
        </w:rPr>
        <w:t xml:space="preserve">indicateur séparé</w:t>
      </w:r>
      <w:r>
        <w:t xml:space="preserve">, hors échelle, car il ne constitue pas une étape du parcours d’un franc public.</w:t>
      </w:r>
    </w:p>
    <w:bookmarkEnd w:id="265"/>
    <w:bookmarkStart w:id="269" w:name="tableau-de-bord-du-gouverneur"/>
    <w:p>
      <w:pPr>
        <w:pStyle w:val="Heading2"/>
      </w:pPr>
      <w:r>
        <w:t xml:space="preserve">26.2 Tableau de bord du Gouverneur</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Zone</w:t>
            </w:r>
          </w:p>
        </w:tc>
        <w:tc>
          <w:tcPr>
            <w:shd w:val="clear" w:color="auto" w:fill="232C6B"/>
          </w:tcPr>
          <w:p>
            <w:pPr>
              <w:pStyle w:val="Compact"/>
            </w:pPr>
            <w:r>
              <w:rPr>
                <w:b/>
                <w:color w:val="FFFFFF"/>
                <w:sz w:val="17"/>
              </w:rPr>
              <w:t xml:space="preserve">Contenu</w:t>
            </w:r>
          </w:p>
        </w:tc>
        <w:tc>
          <w:tcPr>
            <w:shd w:val="clear" w:color="auto" w:fill="232C6B"/>
          </w:tcPr>
          <w:p>
            <w:pPr>
              <w:pStyle w:val="Compact"/>
            </w:pPr>
            <w:r>
              <w:rPr>
                <w:b/>
                <w:color w:val="FFFFFF"/>
                <w:sz w:val="17"/>
              </w:rPr>
              <w:t xml:space="preserve">Visualisation</w:t>
            </w:r>
          </w:p>
        </w:tc>
      </w:tr>
      <w:tr>
        <w:tc>
          <w:tcPr/>
          <w:p>
            <w:pPr>
              <w:pStyle w:val="Compact"/>
            </w:pPr>
            <w:r>
              <w:rPr>
                <w:sz w:val="17"/>
              </w:rPr>
              <w:t xml:space="preserve">Bandeau du jour</w:t>
            </w:r>
          </w:p>
        </w:tc>
        <w:tc>
          <w:tcPr/>
          <w:p>
            <w:pPr>
              <w:pStyle w:val="Compact"/>
            </w:pPr>
            <w:r>
              <w:rPr>
                <w:sz w:val="17"/>
              </w:rPr>
              <w:t xml:space="preserve">Collecté aujourd’hui (confirmé), réglé, rapproché ; comparaison J−1 et même jour de l’année précédente</w:t>
            </w:r>
          </w:p>
        </w:tc>
        <w:tc>
          <w:tcPr/>
          <w:p>
            <w:pPr>
              <w:pStyle w:val="Compact"/>
            </w:pPr>
            <w:r>
              <w:rPr>
                <w:sz w:val="17"/>
              </w:rPr>
              <w:t xml:space="preserve">Chiffres clés avec tendance</w:t>
            </w:r>
          </w:p>
        </w:tc>
      </w:tr>
      <w:tr>
        <w:tc>
          <w:tcPr>
            <w:shd w:val="clear" w:color="auto" w:fill="F5F7FB"/>
          </w:tcPr>
          <w:p>
            <w:pPr>
              <w:pStyle w:val="Compact"/>
            </w:pPr>
            <w:r>
              <w:rPr>
                <w:sz w:val="17"/>
              </w:rPr>
              <w:t xml:space="preserve">Échelle de la recette</w:t>
            </w:r>
          </w:p>
        </w:tc>
        <w:tc>
          <w:tcPr>
            <w:shd w:val="clear" w:color="auto" w:fill="F5F7FB"/>
          </w:tcPr>
          <w:p>
            <w:pPr>
              <w:pStyle w:val="Compact"/>
            </w:pPr>
            <w:r>
              <w:rPr>
                <w:sz w:val="17"/>
              </w:rPr>
              <w:t xml:space="preserve">Niveaux 1 à 11 sur l’exercice</w:t>
            </w:r>
          </w:p>
        </w:tc>
        <w:tc>
          <w:tcPr>
            <w:shd w:val="clear" w:color="auto" w:fill="F5F7FB"/>
          </w:tcPr>
          <w:p>
            <w:pPr>
              <w:pStyle w:val="Compact"/>
            </w:pPr>
            <w:r>
              <w:rPr>
                <w:sz w:val="17"/>
              </w:rPr>
              <w:t xml:space="preserve">Entonnoir</w:t>
            </w:r>
          </w:p>
        </w:tc>
      </w:tr>
      <w:tr>
        <w:tc>
          <w:tcPr/>
          <w:p>
            <w:pPr>
              <w:pStyle w:val="Compact"/>
            </w:pPr>
            <w:r>
              <w:rPr>
                <w:sz w:val="17"/>
              </w:rPr>
              <w:t xml:space="preserve">Cible</w:t>
            </w:r>
          </w:p>
        </w:tc>
        <w:tc>
          <w:tcPr/>
          <w:p>
            <w:pPr>
              <w:pStyle w:val="Compact"/>
            </w:pPr>
            <w:r>
              <w:rPr>
                <w:sz w:val="17"/>
              </w:rPr>
              <w:t xml:space="preserve">Réalisé vs cible annuelle et mensuelle</w:t>
            </w:r>
          </w:p>
        </w:tc>
        <w:tc>
          <w:tcPr/>
          <w:p>
            <w:pPr>
              <w:pStyle w:val="Compact"/>
            </w:pPr>
            <w:r>
              <w:rPr>
                <w:sz w:val="17"/>
              </w:rPr>
              <w:t xml:space="preserve">Jauge et courbe cumulée</w:t>
            </w:r>
          </w:p>
        </w:tc>
      </w:tr>
      <w:tr>
        <w:tc>
          <w:tcPr>
            <w:shd w:val="clear" w:color="auto" w:fill="F5F7FB"/>
          </w:tcPr>
          <w:p>
            <w:pPr>
              <w:pStyle w:val="Compact"/>
            </w:pPr>
            <w:r>
              <w:rPr>
                <w:sz w:val="17"/>
              </w:rPr>
              <w:t xml:space="preserve">Répartition</w:t>
            </w:r>
          </w:p>
        </w:tc>
        <w:tc>
          <w:tcPr>
            <w:shd w:val="clear" w:color="auto" w:fill="F5F7FB"/>
          </w:tcPr>
          <w:p>
            <w:pPr>
              <w:pStyle w:val="Compact"/>
            </w:pPr>
            <w:r>
              <w:rPr>
                <w:sz w:val="17"/>
              </w:rPr>
              <w:t xml:space="preserve">Par ministère, régie, commune, catégorie</w:t>
            </w:r>
          </w:p>
        </w:tc>
        <w:tc>
          <w:tcPr>
            <w:shd w:val="clear" w:color="auto" w:fill="F5F7FB"/>
          </w:tcPr>
          <w:p>
            <w:pPr>
              <w:pStyle w:val="Compact"/>
            </w:pPr>
            <w:r>
              <w:rPr>
                <w:sz w:val="17"/>
              </w:rPr>
              <w:t xml:space="preserve">Barres triées, drill-down</w:t>
            </w:r>
          </w:p>
        </w:tc>
      </w:tr>
      <w:tr>
        <w:tc>
          <w:tcPr/>
          <w:p>
            <w:pPr>
              <w:pStyle w:val="Compact"/>
            </w:pPr>
            <w:r>
              <w:rPr>
                <w:sz w:val="17"/>
              </w:rPr>
              <w:t xml:space="preserve">Carte</w:t>
            </w:r>
          </w:p>
        </w:tc>
        <w:tc>
          <w:tcPr/>
          <w:p>
            <w:pPr>
              <w:pStyle w:val="Compact"/>
            </w:pPr>
            <w:r>
              <w:rPr>
                <w:sz w:val="17"/>
              </w:rPr>
              <w:t xml:space="preserve">Recettes, conformité, couverture du recensement, couverture locative par commune et quartier</w:t>
            </w:r>
          </w:p>
        </w:tc>
        <w:tc>
          <w:tcPr/>
          <w:p>
            <w:pPr>
              <w:pStyle w:val="Compact"/>
            </w:pPr>
            <w:r>
              <w:rPr>
                <w:sz w:val="17"/>
              </w:rPr>
              <w:t xml:space="preserve">Carte choroplèthe et carte de chaleur</w:t>
            </w:r>
          </w:p>
        </w:tc>
      </w:tr>
      <w:tr>
        <w:tc>
          <w:tcPr>
            <w:shd w:val="clear" w:color="auto" w:fill="F5F7FB"/>
          </w:tcPr>
          <w:p>
            <w:pPr>
              <w:pStyle w:val="Compact"/>
            </w:pPr>
            <w:r>
              <w:rPr>
                <w:sz w:val="17"/>
              </w:rPr>
              <w:t xml:space="preserve">Historique</w:t>
            </w:r>
          </w:p>
        </w:tc>
        <w:tc>
          <w:tcPr>
            <w:shd w:val="clear" w:color="auto" w:fill="F5F7FB"/>
          </w:tcPr>
          <w:p>
            <w:pPr>
              <w:pStyle w:val="Compact"/>
            </w:pPr>
            <w:r>
              <w:rPr>
                <w:sz w:val="17"/>
              </w:rPr>
              <w:t xml:space="preserve">Comparaison pluriannuelle</w:t>
            </w:r>
          </w:p>
        </w:tc>
        <w:tc>
          <w:tcPr>
            <w:shd w:val="clear" w:color="auto" w:fill="F5F7FB"/>
          </w:tcPr>
          <w:p>
            <w:pPr>
              <w:pStyle w:val="Compact"/>
            </w:pPr>
            <w:r>
              <w:rPr>
                <w:sz w:val="17"/>
              </w:rPr>
              <w:t xml:space="preserve">Courbes</w:t>
            </w:r>
          </w:p>
        </w:tc>
      </w:tr>
      <w:tr>
        <w:tc>
          <w:tcPr/>
          <w:p>
            <w:pPr>
              <w:pStyle w:val="Compact"/>
            </w:pPr>
            <w:r>
              <w:rPr>
                <w:sz w:val="17"/>
              </w:rPr>
              <w:t xml:space="preserve">Potentiel</w:t>
            </w:r>
          </w:p>
        </w:tc>
        <w:tc>
          <w:tcPr/>
          <w:p>
            <w:pPr>
              <w:pStyle w:val="Compact"/>
            </w:pPr>
            <w:r>
              <w:rPr>
                <w:sz w:val="17"/>
              </w:rPr>
              <w:t xml:space="preserve">Potentiel estimé vs assiette vérifiée (écart de couverture)</w:t>
            </w:r>
          </w:p>
        </w:tc>
        <w:tc>
          <w:tcPr/>
          <w:p>
            <w:pPr>
              <w:pStyle w:val="Compact"/>
            </w:pPr>
            <w:r>
              <w:rPr>
                <w:sz w:val="17"/>
              </w:rPr>
              <w:t xml:space="preserve">Barres empilées</w:t>
            </w:r>
          </w:p>
        </w:tc>
      </w:tr>
      <w:tr>
        <w:tc>
          <w:tcPr>
            <w:shd w:val="clear" w:color="auto" w:fill="F5F7FB"/>
          </w:tcPr>
          <w:p>
            <w:pPr>
              <w:pStyle w:val="Compact"/>
            </w:pPr>
            <w:r>
              <w:rPr>
                <w:sz w:val="17"/>
              </w:rPr>
              <w:t xml:space="preserve">Obligations</w:t>
            </w:r>
          </w:p>
        </w:tc>
        <w:tc>
          <w:tcPr>
            <w:shd w:val="clear" w:color="auto" w:fill="F5F7FB"/>
          </w:tcPr>
          <w:p>
            <w:pPr>
              <w:pStyle w:val="Compact"/>
            </w:pPr>
            <w:r>
              <w:rPr>
                <w:sz w:val="17"/>
              </w:rPr>
              <w:t xml:space="preserve">En retard, contestées</w:t>
            </w:r>
          </w:p>
        </w:tc>
        <w:tc>
          <w:tcPr>
            <w:shd w:val="clear" w:color="auto" w:fill="F5F7FB"/>
          </w:tcPr>
          <w:p>
            <w:pPr>
              <w:pStyle w:val="Compact"/>
            </w:pPr>
            <w:r>
              <w:rPr>
                <w:sz w:val="17"/>
              </w:rPr>
              <w:t xml:space="preserve">Tableau</w:t>
            </w:r>
          </w:p>
        </w:tc>
      </w:tr>
      <w:tr>
        <w:tc>
          <w:tcPr/>
          <w:p>
            <w:pPr>
              <w:pStyle w:val="Compact"/>
            </w:pPr>
            <w:r>
              <w:rPr>
                <w:sz w:val="17"/>
              </w:rPr>
              <w:t xml:space="preserve">Exceptions</w:t>
            </w:r>
          </w:p>
        </w:tc>
        <w:tc>
          <w:tcPr/>
          <w:p>
            <w:pPr>
              <w:pStyle w:val="Compact"/>
            </w:pPr>
            <w:r>
              <w:rPr>
                <w:sz w:val="17"/>
              </w:rPr>
              <w:t xml:space="preserve">Paiements en exception, règlements en retard</w:t>
            </w:r>
          </w:p>
        </w:tc>
        <w:tc>
          <w:tcPr/>
          <w:p>
            <w:pPr>
              <w:pStyle w:val="Compact"/>
            </w:pPr>
            <w:r>
              <w:rPr>
                <w:sz w:val="17"/>
              </w:rPr>
              <w:t xml:space="preserve">File avec âge</w:t>
            </w:r>
          </w:p>
        </w:tc>
      </w:tr>
      <w:tr>
        <w:tc>
          <w:tcPr>
            <w:shd w:val="clear" w:color="auto" w:fill="F5F7FB"/>
          </w:tcPr>
          <w:p>
            <w:pPr>
              <w:pStyle w:val="Compact"/>
            </w:pPr>
            <w:r>
              <w:rPr>
                <w:sz w:val="17"/>
              </w:rPr>
              <w:t xml:space="preserve">Intégrité</w:t>
            </w:r>
          </w:p>
        </w:tc>
        <w:tc>
          <w:tcPr>
            <w:shd w:val="clear" w:color="auto" w:fill="F5F7FB"/>
          </w:tcPr>
          <w:p>
            <w:pPr>
              <w:pStyle w:val="Compact"/>
            </w:pPr>
            <w:r>
              <w:rPr>
                <w:sz w:val="17"/>
              </w:rPr>
              <w:t xml:space="preserve">Déperdition suspectée, alertes critiques</w:t>
            </w:r>
          </w:p>
        </w:tc>
        <w:tc>
          <w:tcPr>
            <w:shd w:val="clear" w:color="auto" w:fill="F5F7FB"/>
          </w:tcPr>
          <w:p>
            <w:pPr>
              <w:pStyle w:val="Compact"/>
            </w:pPr>
            <w:r>
              <w:rPr>
                <w:sz w:val="17"/>
              </w:rPr>
              <w:t xml:space="preserve">Liste priorisée</w:t>
            </w:r>
          </w:p>
        </w:tc>
      </w:tr>
      <w:tr>
        <w:tc>
          <w:tcPr/>
          <w:p>
            <w:pPr>
              <w:pStyle w:val="Compact"/>
            </w:pPr>
            <w:r>
              <w:rPr>
                <w:sz w:val="17"/>
              </w:rPr>
              <w:t xml:space="preserve">Performance</w:t>
            </w:r>
          </w:p>
        </w:tc>
        <w:tc>
          <w:tcPr/>
          <w:p>
            <w:pPr>
              <w:pStyle w:val="Compact"/>
            </w:pPr>
            <w:r>
              <w:rPr>
                <w:sz w:val="17"/>
              </w:rPr>
              <w:t xml:space="preserve">Zones les plus et les moins performantes</w:t>
            </w:r>
          </w:p>
        </w:tc>
        <w:tc>
          <w:tcPr/>
          <w:p>
            <w:pPr>
              <w:pStyle w:val="Compact"/>
            </w:pPr>
            <w:r>
              <w:rPr>
                <w:sz w:val="17"/>
              </w:rPr>
              <w:t xml:space="preserve">Classement</w:t>
            </w:r>
          </w:p>
        </w:tc>
      </w:tr>
      <w:tr>
        <w:tc>
          <w:tcPr>
            <w:shd w:val="clear" w:color="auto" w:fill="F5F7FB"/>
          </w:tcPr>
          <w:p>
            <w:pPr>
              <w:pStyle w:val="Compact"/>
            </w:pPr>
            <w:r>
              <w:rPr>
                <w:sz w:val="17"/>
              </w:rPr>
              <w:t xml:space="preserve">Prévisions</w:t>
            </w:r>
          </w:p>
        </w:tc>
        <w:tc>
          <w:tcPr>
            <w:shd w:val="clear" w:color="auto" w:fill="F5F7FB"/>
          </w:tcPr>
          <w:p>
            <w:pPr>
              <w:pStyle w:val="Compact"/>
            </w:pPr>
            <w:r>
              <w:rPr>
                <w:sz w:val="17"/>
              </w:rPr>
              <w:t xml:space="preserve">Trois scénarios</w:t>
            </w:r>
          </w:p>
        </w:tc>
        <w:tc>
          <w:tcPr>
            <w:shd w:val="clear" w:color="auto" w:fill="F5F7FB"/>
          </w:tcPr>
          <w:p>
            <w:pPr>
              <w:pStyle w:val="Compact"/>
            </w:pPr>
            <w:r>
              <w:rPr>
                <w:sz w:val="17"/>
              </w:rPr>
              <w:t xml:space="preserve">Éventail</w:t>
            </w:r>
          </w:p>
        </w:tc>
      </w:tr>
      <w:tr>
        <w:tc>
          <w:tcPr/>
          <w:p>
            <w:pPr>
              <w:pStyle w:val="Compact"/>
            </w:pPr>
            <w:r>
              <w:rPr>
                <w:sz w:val="17"/>
              </w:rPr>
              <w:t xml:space="preserve">Capacité d’investissement</w:t>
            </w:r>
          </w:p>
        </w:tc>
        <w:tc>
          <w:tcPr/>
          <w:p>
            <w:pPr>
              <w:pStyle w:val="Compact"/>
            </w:pPr>
            <w:r>
              <w:rPr>
                <w:sz w:val="17"/>
              </w:rPr>
              <w:t xml:space="preserve">Fonds disponibles et scénarios d’emploi (ch. 27)</w:t>
            </w:r>
          </w:p>
        </w:tc>
        <w:tc>
          <w:tcPr/>
          <w:p>
            <w:pPr>
              <w:pStyle w:val="Compact"/>
            </w:pPr>
            <w:r>
              <w:rPr>
                <w:sz w:val="17"/>
              </w:rPr>
              <w:t xml:space="preserve">Cartes de scénario</w:t>
            </w:r>
          </w:p>
        </w:tc>
      </w:tr>
      <w:tr>
        <w:tc>
          <w:tcPr>
            <w:shd w:val="clear" w:color="auto" w:fill="F5F7FB"/>
          </w:tcPr>
          <w:p>
            <w:pPr>
              <w:pStyle w:val="Compact"/>
            </w:pPr>
            <w:r>
              <w:rPr>
                <w:sz w:val="17"/>
              </w:rPr>
              <w:t xml:space="preserve">Actions recommandées</w:t>
            </w:r>
          </w:p>
        </w:tc>
        <w:tc>
          <w:tcPr>
            <w:shd w:val="clear" w:color="auto" w:fill="F5F7FB"/>
          </w:tcPr>
          <w:p>
            <w:pPr>
              <w:pStyle w:val="Compact"/>
            </w:pPr>
            <w:r>
              <w:rPr>
                <w:sz w:val="17"/>
              </w:rPr>
              <w:t xml:space="preserve">Trois à cinq décisions proposées avec justification</w:t>
            </w:r>
          </w:p>
        </w:tc>
        <w:tc>
          <w:tcPr>
            <w:shd w:val="clear" w:color="auto" w:fill="F5F7FB"/>
          </w:tcPr>
          <w:p>
            <w:pPr>
              <w:pStyle w:val="Compact"/>
            </w:pPr>
            <w:r>
              <w:rPr>
                <w:sz w:val="17"/>
              </w:rPr>
              <w:t xml:space="preserve">Cartes d’action</w:t>
            </w:r>
          </w:p>
        </w:tc>
      </w:tr>
    </w:tbl>
    <w:p>
      <w:pPr>
        <w:pStyle w:val="CaptionedFigure"/>
      </w:pPr>
      <w:r>
        <w:drawing>
          <wp:inline>
            <wp:extent cx="6108700" cy="3729947"/>
            <wp:effectExtent b="0" l="0" r="0" t="0"/>
            <wp:docPr descr="Maquette du centre de commandement du Gouverneur" title="" id="267" name="Picture"/>
            <a:graphic>
              <a:graphicData uri="http://schemas.openxmlformats.org/drawingml/2006/picture">
                <pic:pic>
                  <pic:nvPicPr>
                    <pic:cNvPr descr="figures/fig-tableau-de-bord-gouverneur.png" id="268" name="Picture"/>
                    <pic:cNvPicPr>
                      <a:picLocks noChangeArrowheads="1" noChangeAspect="1"/>
                    </pic:cNvPicPr>
                  </pic:nvPicPr>
                  <pic:blipFill>
                    <a:blip r:embed="rId266"/>
                    <a:stretch>
                      <a:fillRect/>
                    </a:stretch>
                  </pic:blipFill>
                  <pic:spPr bwMode="auto">
                    <a:xfrm>
                      <a:off x="0" y="0"/>
                      <a:ext cx="6108700" cy="3729947"/>
                    </a:xfrm>
                    <a:prstGeom prst="rect">
                      <a:avLst/>
                    </a:prstGeom>
                    <a:noFill/>
                    <a:ln w="9525">
                      <a:noFill/>
                      <a:headEnd/>
                      <a:tailEnd/>
                    </a:ln>
                  </pic:spPr>
                </pic:pic>
              </a:graphicData>
            </a:graphic>
          </wp:inline>
        </w:drawing>
      </w:r>
    </w:p>
    <w:p>
      <w:pPr>
        <w:pStyle w:val="ImageCaption"/>
      </w:pPr>
      <w:r>
        <w:t xml:space="preserve">Maquette du centre de commandement du Gouverneur</w:t>
      </w:r>
    </w:p>
    <w:p>
      <w:pPr>
        <w:pStyle w:val="BodyText"/>
      </w:pPr>
      <w:r>
        <w:rPr>
          <w:b/>
          <w:bCs/>
        </w:rPr>
        <w:t xml:space="preserve">Écran de référence (description).</w:t>
      </w:r>
      <w:r>
        <w:t xml:space="preserve"> </w:t>
      </w:r>
      <w:r>
        <w:t xml:space="preserve">En haut, cinq tuiles : « Confirmé aujourd’hui 🇨🇩 CDF … », « Réglé », « Rapproché », « Taux de rapprochement J−1 », « Alertes critiques ». Au centre, la carte de Kinshasa colorée par taux de conformité, avec bascule couverture/recettes/potentiel. À droite, l’entonnoir de l’échelle de la recette. En bas, les actions recommandées (« Autoriser la campagne de régularisation à Kalamu — effet estimé, risques, décision requise ») et la file des alertes critiques.</w:t>
      </w:r>
    </w:p>
    <w:bookmarkEnd w:id="269"/>
    <w:bookmarkStart w:id="270" w:name="autres-tableaux-de-bord"/>
    <w:p>
      <w:pPr>
        <w:pStyle w:val="Heading2"/>
      </w:pPr>
      <w:r>
        <w:t xml:space="preserve">26.3 Autres tableaux de bord</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Tableau</w:t>
            </w:r>
          </w:p>
        </w:tc>
        <w:tc>
          <w:tcPr>
            <w:shd w:val="clear" w:color="auto" w:fill="232C6B"/>
          </w:tcPr>
          <w:p>
            <w:pPr>
              <w:pStyle w:val="Compact"/>
            </w:pPr>
            <w:r>
              <w:rPr>
                <w:b/>
                <w:color w:val="FFFFFF"/>
                <w:sz w:val="17"/>
              </w:rPr>
              <w:t xml:space="preserve">Contenu principal</w:t>
            </w:r>
          </w:p>
        </w:tc>
      </w:tr>
      <w:tr>
        <w:tc>
          <w:tcPr/>
          <w:p>
            <w:pPr>
              <w:pStyle w:val="Compact"/>
            </w:pPr>
            <w:r>
              <w:rPr>
                <w:sz w:val="17"/>
              </w:rPr>
              <w:t xml:space="preserve">Directeur de cabinet</w:t>
            </w:r>
          </w:p>
        </w:tc>
        <w:tc>
          <w:tcPr/>
          <w:p>
            <w:pPr>
              <w:pStyle w:val="Compact"/>
            </w:pPr>
            <w:r>
              <w:rPr>
                <w:sz w:val="17"/>
              </w:rPr>
              <w:t xml:space="preserve">Suivi des décisions et engagements, alertes, agenda de performance</w:t>
            </w:r>
          </w:p>
        </w:tc>
      </w:tr>
      <w:tr>
        <w:tc>
          <w:tcPr>
            <w:shd w:val="clear" w:color="auto" w:fill="F5F7FB"/>
          </w:tcPr>
          <w:p>
            <w:pPr>
              <w:pStyle w:val="Compact"/>
            </w:pPr>
            <w:r>
              <w:rPr>
                <w:sz w:val="17"/>
              </w:rPr>
              <w:t xml:space="preserve">Secrétaire général</w:t>
            </w:r>
          </w:p>
        </w:tc>
        <w:tc>
          <w:tcPr>
            <w:shd w:val="clear" w:color="auto" w:fill="F5F7FB"/>
          </w:tcPr>
          <w:p>
            <w:pPr>
              <w:pStyle w:val="Compact"/>
            </w:pPr>
            <w:r>
              <w:rPr>
                <w:sz w:val="17"/>
              </w:rPr>
              <w:t xml:space="preserve">Actes en préparation, état d’adoption, effets dans la plateforme</w:t>
            </w:r>
          </w:p>
        </w:tc>
      </w:tr>
      <w:tr>
        <w:tc>
          <w:tcPr/>
          <w:p>
            <w:pPr>
              <w:pStyle w:val="Compact"/>
            </w:pPr>
            <w:r>
              <w:rPr>
                <w:sz w:val="17"/>
              </w:rPr>
              <w:t xml:space="preserve">Ministre provincial</w:t>
            </w:r>
          </w:p>
        </w:tc>
        <w:tc>
          <w:tcPr/>
          <w:p>
            <w:pPr>
              <w:pStyle w:val="Compact"/>
            </w:pPr>
            <w:r>
              <w:rPr>
                <w:sz w:val="17"/>
              </w:rPr>
              <w:t xml:space="preserve">Recettes et indicateurs de son périmètre, tarifs de sa compétence, recommandations</w:t>
            </w:r>
          </w:p>
        </w:tc>
      </w:tr>
      <w:tr>
        <w:tc>
          <w:tcPr>
            <w:shd w:val="clear" w:color="auto" w:fill="F5F7FB"/>
          </w:tcPr>
          <w:p>
            <w:pPr>
              <w:pStyle w:val="Compact"/>
            </w:pPr>
            <w:r>
              <w:rPr>
                <w:sz w:val="17"/>
              </w:rPr>
              <w:t xml:space="preserve">DG DGIPK</w:t>
            </w:r>
          </w:p>
        </w:tc>
        <w:tc>
          <w:tcPr>
            <w:shd w:val="clear" w:color="auto" w:fill="F5F7FB"/>
          </w:tcPr>
          <w:p>
            <w:pPr>
              <w:pStyle w:val="Compact"/>
            </w:pPr>
            <w:r>
              <w:rPr>
                <w:sz w:val="17"/>
              </w:rPr>
              <w:t xml:space="preserve">Assiette, campagnes, liquidation, recouvrement, contentieux, performance des services</w:t>
            </w:r>
          </w:p>
        </w:tc>
      </w:tr>
      <w:tr>
        <w:tc>
          <w:tcPr/>
          <w:p>
            <w:pPr>
              <w:pStyle w:val="Compact"/>
            </w:pPr>
            <w:r>
              <w:rPr>
                <w:sz w:val="17"/>
              </w:rPr>
              <w:t xml:space="preserve">DG DGTK</w:t>
            </w:r>
          </w:p>
        </w:tc>
        <w:tc>
          <w:tcPr/>
          <w:p>
            <w:pPr>
              <w:pStyle w:val="Compact"/>
            </w:pPr>
            <w:r>
              <w:rPr>
                <w:sz w:val="17"/>
              </w:rPr>
              <w:t xml:space="preserve">Droits, taxes, redevances, titres, marchés, publicité, stationnement</w:t>
            </w:r>
          </w:p>
        </w:tc>
      </w:tr>
      <w:tr>
        <w:tc>
          <w:tcPr>
            <w:shd w:val="clear" w:color="auto" w:fill="F5F7FB"/>
          </w:tcPr>
          <w:p>
            <w:pPr>
              <w:pStyle w:val="Compact"/>
            </w:pPr>
            <w:r>
              <w:rPr>
                <w:sz w:val="17"/>
              </w:rPr>
              <w:t xml:space="preserve">Trésor</w:t>
            </w:r>
          </w:p>
        </w:tc>
        <w:tc>
          <w:tcPr>
            <w:shd w:val="clear" w:color="auto" w:fill="F5F7FB"/>
          </w:tcPr>
          <w:p>
            <w:pPr>
              <w:pStyle w:val="Compact"/>
            </w:pPr>
            <w:r>
              <w:rPr>
                <w:sz w:val="17"/>
              </w:rPr>
              <w:t xml:space="preserve">Confirmé, réglé, rapproché, suspens, exceptions par âge, prestataires en retard, clôtures</w:t>
            </w:r>
          </w:p>
        </w:tc>
      </w:tr>
      <w:tr>
        <w:tc>
          <w:tcPr/>
          <w:p>
            <w:pPr>
              <w:pStyle w:val="Compact"/>
            </w:pPr>
            <w:r>
              <w:rPr>
                <w:sz w:val="17"/>
              </w:rPr>
              <w:t xml:space="preserve">Juridique et tarifs</w:t>
            </w:r>
          </w:p>
        </w:tc>
        <w:tc>
          <w:tcPr/>
          <w:p>
            <w:pPr>
              <w:pStyle w:val="Compact"/>
            </w:pPr>
            <w:r>
              <w:rPr>
                <w:sz w:val="17"/>
              </w:rPr>
              <w:t xml:space="preserve">Règles par statut, expirations, conflits, tests en échec</w:t>
            </w:r>
          </w:p>
        </w:tc>
      </w:tr>
      <w:tr>
        <w:tc>
          <w:tcPr>
            <w:shd w:val="clear" w:color="auto" w:fill="F5F7FB"/>
          </w:tcPr>
          <w:p>
            <w:pPr>
              <w:pStyle w:val="Compact"/>
            </w:pPr>
            <w:r>
              <w:rPr>
                <w:sz w:val="17"/>
              </w:rPr>
              <w:t xml:space="preserve">Chefs de service</w:t>
            </w:r>
          </w:p>
        </w:tc>
        <w:tc>
          <w:tcPr>
            <w:shd w:val="clear" w:color="auto" w:fill="F5F7FB"/>
          </w:tcPr>
          <w:p>
            <w:pPr>
              <w:pStyle w:val="Compact"/>
            </w:pPr>
            <w:r>
              <w:rPr>
                <w:sz w:val="17"/>
              </w:rPr>
              <w:t xml:space="preserve">Files de travail, délais, qualité</w:t>
            </w:r>
          </w:p>
        </w:tc>
      </w:tr>
      <w:tr>
        <w:tc>
          <w:tcPr/>
          <w:p>
            <w:pPr>
              <w:pStyle w:val="Compact"/>
            </w:pPr>
            <w:r>
              <w:rPr>
                <w:sz w:val="17"/>
              </w:rPr>
              <w:t xml:space="preserve">Superviseurs</w:t>
            </w:r>
          </w:p>
        </w:tc>
        <w:tc>
          <w:tcPr/>
          <w:p>
            <w:pPr>
              <w:pStyle w:val="Compact"/>
            </w:pPr>
            <w:r>
              <w:rPr>
                <w:sz w:val="17"/>
              </w:rPr>
              <w:t xml:space="preserve">Missions, couverture, qualité des constats, conflits de synchronisation</w:t>
            </w:r>
          </w:p>
        </w:tc>
      </w:tr>
      <w:tr>
        <w:tc>
          <w:tcPr>
            <w:shd w:val="clear" w:color="auto" w:fill="F5F7FB"/>
          </w:tcPr>
          <w:p>
            <w:pPr>
              <w:pStyle w:val="Compact"/>
            </w:pPr>
            <w:r>
              <w:rPr>
                <w:sz w:val="17"/>
              </w:rPr>
              <w:t xml:space="preserve">Auditeurs</w:t>
            </w:r>
          </w:p>
        </w:tc>
        <w:tc>
          <w:tcPr>
            <w:shd w:val="clear" w:color="auto" w:fill="F5F7FB"/>
          </w:tcPr>
          <w:p>
            <w:pPr>
              <w:pStyle w:val="Compact"/>
            </w:pPr>
            <w:r>
              <w:rPr>
                <w:sz w:val="17"/>
              </w:rPr>
              <w:t xml:space="preserve">Intégrité de la chaîne, opérations sensibles, écarts, accès privilégiés</w:t>
            </w:r>
          </w:p>
        </w:tc>
      </w:tr>
      <w:tr>
        <w:tc>
          <w:tcPr/>
          <w:p>
            <w:pPr>
              <w:pStyle w:val="Compact"/>
            </w:pPr>
            <w:r>
              <w:rPr>
                <w:sz w:val="17"/>
              </w:rPr>
              <w:t xml:space="preserve">Enquêteurs</w:t>
            </w:r>
          </w:p>
        </w:tc>
        <w:tc>
          <w:tcPr/>
          <w:p>
            <w:pPr>
              <w:pStyle w:val="Compact"/>
            </w:pPr>
            <w:r>
              <w:rPr>
                <w:sz w:val="17"/>
              </w:rPr>
              <w:t xml:space="preserve">Alertes, dossiers, graphe des liens</w:t>
            </w:r>
          </w:p>
        </w:tc>
      </w:tr>
      <w:tr>
        <w:tc>
          <w:tcPr>
            <w:shd w:val="clear" w:color="auto" w:fill="F5F7FB"/>
          </w:tcPr>
          <w:p>
            <w:pPr>
              <w:pStyle w:val="Compact"/>
            </w:pPr>
            <w:r>
              <w:rPr>
                <w:sz w:val="17"/>
              </w:rPr>
              <w:t xml:space="preserve">Agents de terrain</w:t>
            </w:r>
          </w:p>
        </w:tc>
        <w:tc>
          <w:tcPr>
            <w:shd w:val="clear" w:color="auto" w:fill="F5F7FB"/>
          </w:tcPr>
          <w:p>
            <w:pPr>
              <w:pStyle w:val="Compact"/>
            </w:pPr>
            <w:r>
              <w:rPr>
                <w:sz w:val="17"/>
              </w:rPr>
              <w:t xml:space="preserve">Mission du jour, objets restants, synchronisation, formation</w:t>
            </w:r>
          </w:p>
        </w:tc>
      </w:tr>
      <w:tr>
        <w:tc>
          <w:tcPr/>
          <w:p>
            <w:pPr>
              <w:pStyle w:val="Compact"/>
            </w:pPr>
            <w:r>
              <w:rPr>
                <w:sz w:val="17"/>
              </w:rPr>
              <w:t xml:space="preserve">Contribuables</w:t>
            </w:r>
          </w:p>
        </w:tc>
        <w:tc>
          <w:tcPr/>
          <w:p>
            <w:pPr>
              <w:pStyle w:val="Compact"/>
            </w:pPr>
            <w:r>
              <w:rPr>
                <w:sz w:val="17"/>
              </w:rPr>
              <w:t xml:space="preserve">Objets, obligations, échéances, quittances, quitus, recours</w:t>
            </w:r>
          </w:p>
        </w:tc>
      </w:tr>
      <w:tr>
        <w:tc>
          <w:tcPr>
            <w:shd w:val="clear" w:color="auto" w:fill="F5F7FB"/>
          </w:tcPr>
          <w:p>
            <w:pPr>
              <w:pStyle w:val="Compact"/>
            </w:pPr>
            <w:r>
              <w:rPr>
                <w:sz w:val="17"/>
              </w:rPr>
              <w:t xml:space="preserve">Administrateurs de la plateforme</w:t>
            </w:r>
          </w:p>
        </w:tc>
        <w:tc>
          <w:tcPr>
            <w:shd w:val="clear" w:color="auto" w:fill="F5F7FB"/>
          </w:tcPr>
          <w:p>
            <w:pPr>
              <w:pStyle w:val="Compact"/>
            </w:pPr>
            <w:r>
              <w:rPr>
                <w:sz w:val="17"/>
              </w:rPr>
              <w:t xml:space="preserve">Disponibilité, performance, intégrations, sécurité, communications (§ 11.4.7)</w:t>
            </w:r>
          </w:p>
        </w:tc>
      </w:tr>
      <w:tr>
        <w:tc>
          <w:tcPr/>
          <w:p>
            <w:pPr>
              <w:pStyle w:val="Compact"/>
            </w:pPr>
            <w:r>
              <w:rPr>
                <w:sz w:val="17"/>
              </w:rPr>
              <w:t xml:space="preserve">Transparence publique</w:t>
            </w:r>
          </w:p>
        </w:tc>
        <w:tc>
          <w:tcPr/>
          <w:p>
            <w:pPr>
              <w:pStyle w:val="Compact"/>
            </w:pPr>
            <w:r>
              <w:rPr>
                <w:sz w:val="17"/>
              </w:rPr>
              <w:t xml:space="preserve">Recettes agrégées par catégorie et commune, emploi des fonds, délais de recours</w:t>
            </w:r>
          </w:p>
        </w:tc>
      </w:tr>
    </w:tbl>
    <w:p>
      <w:pPr>
        <w:pStyle w:val="BodyText"/>
      </w:pPr>
      <w:r>
        <w:t xml:space="preserve">Tous les montants sont consolidés en 🇨🇩 CDF avec bascule d’affichage en 🇺🇸 USD (taux et date indiqués).</w:t>
      </w:r>
    </w:p>
    <w:bookmarkEnd w:id="270"/>
    <w:bookmarkEnd w:id="271"/>
    <w:bookmarkStart w:id="276" w:name="X4aef5093910a2055244cca3a1961d2dd0246d2c"/>
    <w:p>
      <w:pPr>
        <w:pStyle w:val="Heading1"/>
      </w:pPr>
      <w:r>
        <w:t xml:space="preserve">27. Affectation des recettes et planification de l’investissement public</w:t>
      </w:r>
    </w:p>
    <w:bookmarkStart w:id="272" w:name="distinguer-pour-ne-pas-confondre"/>
    <w:p>
      <w:pPr>
        <w:pStyle w:val="Heading2"/>
      </w:pPr>
      <w:r>
        <w:t xml:space="preserve">27.1 Distinguer pour ne pas confondre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Étape</w:t>
            </w:r>
          </w:p>
        </w:tc>
        <w:tc>
          <w:tcPr>
            <w:shd w:val="clear" w:color="auto" w:fill="232C6B"/>
          </w:tcPr>
          <w:p>
            <w:pPr>
              <w:pStyle w:val="Compact"/>
            </w:pPr>
            <w:r>
              <w:rPr>
                <w:b/>
                <w:color w:val="FFFFFF"/>
                <w:sz w:val="17"/>
              </w:rPr>
              <w:t xml:space="preserve">Autorité</w:t>
            </w:r>
          </w:p>
        </w:tc>
        <w:tc>
          <w:tcPr>
            <w:shd w:val="clear" w:color="auto" w:fill="232C6B"/>
          </w:tcPr>
          <w:p>
            <w:pPr>
              <w:pStyle w:val="Compact"/>
            </w:pPr>
            <w:r>
              <w:rPr>
                <w:b/>
                <w:color w:val="FFFFFF"/>
                <w:sz w:val="17"/>
              </w:rPr>
              <w:t xml:space="preserve">Rôle de MOSOLO</w:t>
            </w:r>
          </w:p>
        </w:tc>
      </w:tr>
      <w:tr>
        <w:tc>
          <w:tcPr/>
          <w:p>
            <w:pPr>
              <w:pStyle w:val="Compact"/>
            </w:pPr>
            <w:r>
              <w:rPr>
                <w:sz w:val="17"/>
              </w:rPr>
              <w:t xml:space="preserve">Collecte</w:t>
            </w:r>
          </w:p>
        </w:tc>
        <w:tc>
          <w:tcPr/>
          <w:p>
            <w:pPr>
              <w:pStyle w:val="Compact"/>
            </w:pPr>
            <w:r>
              <w:rPr>
                <w:sz w:val="17"/>
              </w:rPr>
              <w:t xml:space="preserve">Prestataires habilités vers comptes publics</w:t>
            </w:r>
          </w:p>
        </w:tc>
        <w:tc>
          <w:tcPr/>
          <w:p>
            <w:pPr>
              <w:pStyle w:val="Compact"/>
            </w:pPr>
            <w:r>
              <w:rPr>
                <w:sz w:val="17"/>
              </w:rPr>
              <w:t xml:space="preserve">Orchestrer et prouver</w:t>
            </w:r>
          </w:p>
        </w:tc>
      </w:tr>
      <w:tr>
        <w:tc>
          <w:tcPr>
            <w:shd w:val="clear" w:color="auto" w:fill="F5F7FB"/>
          </w:tcPr>
          <w:p>
            <w:pPr>
              <w:pStyle w:val="Compact"/>
            </w:pPr>
            <w:r>
              <w:rPr>
                <w:sz w:val="17"/>
              </w:rPr>
              <w:t xml:space="preserve">Comptabilisation</w:t>
            </w:r>
          </w:p>
        </w:tc>
        <w:tc>
          <w:tcPr>
            <w:shd w:val="clear" w:color="auto" w:fill="F5F7FB"/>
          </w:tcPr>
          <w:p>
            <w:pPr>
              <w:pStyle w:val="Compact"/>
            </w:pPr>
            <w:r>
              <w:rPr>
                <w:sz w:val="17"/>
              </w:rPr>
              <w:t xml:space="preserve">Comptable public</w:t>
            </w:r>
          </w:p>
        </w:tc>
        <w:tc>
          <w:tcPr>
            <w:shd w:val="clear" w:color="auto" w:fill="F5F7FB"/>
          </w:tcPr>
          <w:p>
            <w:pPr>
              <w:pStyle w:val="Compact"/>
            </w:pPr>
            <w:r>
              <w:rPr>
                <w:sz w:val="17"/>
              </w:rPr>
              <w:t xml:space="preserve">Fournir les écritures</w:t>
            </w:r>
          </w:p>
        </w:tc>
      </w:tr>
      <w:tr>
        <w:tc>
          <w:tcPr/>
          <w:p>
            <w:pPr>
              <w:pStyle w:val="Compact"/>
            </w:pPr>
            <w:r>
              <w:rPr>
                <w:sz w:val="17"/>
              </w:rPr>
              <w:t xml:space="preserve">Partage légal</w:t>
            </w:r>
          </w:p>
        </w:tc>
        <w:tc>
          <w:tcPr/>
          <w:p>
            <w:pPr>
              <w:pStyle w:val="Compact"/>
            </w:pPr>
            <w:r>
              <w:rPr>
                <w:sz w:val="17"/>
              </w:rPr>
              <w:t xml:space="preserve">Texte (nomenclature, clés)</w:t>
            </w:r>
          </w:p>
        </w:tc>
        <w:tc>
          <w:tcPr/>
          <w:p>
            <w:pPr>
              <w:pStyle w:val="Compact"/>
            </w:pPr>
            <w:r>
              <w:rPr>
                <w:sz w:val="17"/>
              </w:rPr>
              <w:t xml:space="preserve">Calculer les parts sur recettes rapprochées</w:t>
            </w:r>
          </w:p>
        </w:tc>
      </w:tr>
      <w:tr>
        <w:tc>
          <w:tcPr>
            <w:shd w:val="clear" w:color="auto" w:fill="F5F7FB"/>
          </w:tcPr>
          <w:p>
            <w:pPr>
              <w:pStyle w:val="Compact"/>
            </w:pPr>
            <w:r>
              <w:rPr>
                <w:sz w:val="17"/>
              </w:rPr>
              <w:t xml:space="preserve">Gestion de trésorerie</w:t>
            </w:r>
          </w:p>
        </w:tc>
        <w:tc>
          <w:tcPr>
            <w:shd w:val="clear" w:color="auto" w:fill="F5F7FB"/>
          </w:tcPr>
          <w:p>
            <w:pPr>
              <w:pStyle w:val="Compact"/>
            </w:pPr>
            <w:r>
              <w:rPr>
                <w:sz w:val="17"/>
              </w:rPr>
              <w:t xml:space="preserve">Trésor provincial</w:t>
            </w:r>
          </w:p>
        </w:tc>
        <w:tc>
          <w:tcPr>
            <w:shd w:val="clear" w:color="auto" w:fill="F5F7FB"/>
          </w:tcPr>
          <w:p>
            <w:pPr>
              <w:pStyle w:val="Compact"/>
            </w:pPr>
            <w:r>
              <w:rPr>
                <w:sz w:val="17"/>
              </w:rPr>
              <w:t xml:space="preserve">Informer (prévisions de trésorerie)</w:t>
            </w:r>
          </w:p>
        </w:tc>
      </w:tr>
      <w:tr>
        <w:tc>
          <w:tcPr/>
          <w:p>
            <w:pPr>
              <w:pStyle w:val="Compact"/>
            </w:pPr>
            <w:r>
              <w:rPr>
                <w:sz w:val="17"/>
              </w:rPr>
              <w:t xml:space="preserve">Appropriation budgétaire</w:t>
            </w:r>
          </w:p>
        </w:tc>
        <w:tc>
          <w:tcPr/>
          <w:p>
            <w:pPr>
              <w:pStyle w:val="Compact"/>
            </w:pPr>
            <w:r>
              <w:rPr>
                <w:sz w:val="17"/>
              </w:rPr>
              <w:t xml:space="preserve">Assemblée provinciale (édit budgétaire)</w:t>
            </w:r>
          </w:p>
        </w:tc>
        <w:tc>
          <w:tcPr/>
          <w:p>
            <w:pPr>
              <w:pStyle w:val="Compact"/>
            </w:pPr>
            <w:r>
              <w:rPr>
                <w:sz w:val="17"/>
              </w:rPr>
              <w:t xml:space="preserve">Informer</w:t>
            </w:r>
          </w:p>
        </w:tc>
      </w:tr>
      <w:tr>
        <w:tc>
          <w:tcPr>
            <w:shd w:val="clear" w:color="auto" w:fill="F5F7FB"/>
          </w:tcPr>
          <w:p>
            <w:pPr>
              <w:pStyle w:val="Compact"/>
            </w:pPr>
            <w:r>
              <w:rPr>
                <w:sz w:val="17"/>
              </w:rPr>
              <w:t xml:space="preserve">Autorisation de dépense</w:t>
            </w:r>
          </w:p>
        </w:tc>
        <w:tc>
          <w:tcPr>
            <w:shd w:val="clear" w:color="auto" w:fill="F5F7FB"/>
          </w:tcPr>
          <w:p>
            <w:pPr>
              <w:pStyle w:val="Compact"/>
            </w:pPr>
            <w:r>
              <w:rPr>
                <w:sz w:val="17"/>
              </w:rPr>
              <w:t xml:space="preserve">Ordonnateur</w:t>
            </w:r>
          </w:p>
        </w:tc>
        <w:tc>
          <w:tcPr>
            <w:shd w:val="clear" w:color="auto" w:fill="F5F7FB"/>
          </w:tcPr>
          <w:p>
            <w:pPr>
              <w:pStyle w:val="Compact"/>
            </w:pPr>
            <w:r>
              <w:rPr>
                <w:sz w:val="17"/>
              </w:rPr>
              <w:t xml:space="preserve">Aucun</w:t>
            </w:r>
          </w:p>
        </w:tc>
      </w:tr>
      <w:tr>
        <w:tc>
          <w:tcPr/>
          <w:p>
            <w:pPr>
              <w:pStyle w:val="Compact"/>
            </w:pPr>
            <w:r>
              <w:rPr>
                <w:sz w:val="17"/>
              </w:rPr>
              <w:t xml:space="preserve">Planification des investissements</w:t>
            </w:r>
          </w:p>
        </w:tc>
        <w:tc>
          <w:tcPr/>
          <w:p>
            <w:pPr>
              <w:pStyle w:val="Compact"/>
            </w:pPr>
            <w:r>
              <w:rPr>
                <w:sz w:val="17"/>
              </w:rPr>
              <w:t xml:space="preserve">Gouvernement provincial</w:t>
            </w:r>
          </w:p>
        </w:tc>
        <w:tc>
          <w:tcPr/>
          <w:p>
            <w:pPr>
              <w:pStyle w:val="Compact"/>
            </w:pPr>
            <w:r>
              <w:rPr>
                <w:sz w:val="17"/>
              </w:rPr>
              <w:t xml:space="preserve">Recommander des scénarios</w:t>
            </w:r>
          </w:p>
        </w:tc>
      </w:tr>
      <w:tr>
        <w:tc>
          <w:tcPr>
            <w:shd w:val="clear" w:color="auto" w:fill="F5F7FB"/>
          </w:tcPr>
          <w:p>
            <w:pPr>
              <w:pStyle w:val="Compact"/>
            </w:pPr>
            <w:r>
              <w:rPr>
                <w:sz w:val="17"/>
              </w:rPr>
              <w:t xml:space="preserve">Dépense effective</w:t>
            </w:r>
          </w:p>
        </w:tc>
        <w:tc>
          <w:tcPr>
            <w:shd w:val="clear" w:color="auto" w:fill="F5F7FB"/>
          </w:tcPr>
          <w:p>
            <w:pPr>
              <w:pStyle w:val="Compact"/>
            </w:pPr>
            <w:r>
              <w:rPr>
                <w:sz w:val="17"/>
              </w:rPr>
              <w:t xml:space="preserve">Ordonnateur et comptable</w:t>
            </w:r>
          </w:p>
        </w:tc>
        <w:tc>
          <w:tcPr>
            <w:shd w:val="clear" w:color="auto" w:fill="F5F7FB"/>
          </w:tcPr>
          <w:p>
            <w:pPr>
              <w:pStyle w:val="Compact"/>
            </w:pPr>
            <w:r>
              <w:rPr>
                <w:sz w:val="17"/>
              </w:rPr>
              <w:t xml:space="preserve">Suivre (lien avec le module de contrôle de la dépense)</w:t>
            </w:r>
          </w:p>
        </w:tc>
      </w:tr>
    </w:tbl>
    <w:p>
      <w:pPr>
        <w:pStyle w:val="BodyText"/>
      </w:pPr>
      <w:r>
        <w:rPr>
          <w:b/>
          <w:bCs/>
        </w:rPr>
        <w:t xml:space="preserve">Aucune répartition arbitraire</w:t>
      </w:r>
      <w:r>
        <w:t xml:space="preserve"> </w:t>
      </w:r>
      <w:r>
        <w:t xml:space="preserve">entre le Gouvernement, les ministères, les régies, les agents, les administrateurs de la plateforme ou des partenaires privés n’est possible. Toute répartition suit la loi, le budget approuvé, les règles du Trésor, les clés légales, les contrats et les approbations formelles de dépense.</w:t>
      </w:r>
      <w:r>
        <w:t xml:space="preserve"> </w:t>
      </w:r>
      <w:r>
        <w:rPr>
          <w:b/>
          <w:bCs/>
        </w:rPr>
        <w:t xml:space="preserve">L’administrateur de la plateforme ne reçoit jamais de part automatique des recettes publiques du seul fait qu’il administre le système.</w:t>
      </w:r>
    </w:p>
    <w:bookmarkEnd w:id="272"/>
    <w:bookmarkStart w:id="273" w:name="X7719abd050c5b745a543ff9c571c69d682ebef7"/>
    <w:p>
      <w:pPr>
        <w:pStyle w:val="Heading2"/>
      </w:pPr>
      <w:r>
        <w:t xml:space="preserve">27.2 Incitations de performance (si la loi le permet)</w:t>
      </w:r>
    </w:p>
    <w:p>
      <w:pPr>
        <w:pStyle w:val="FirstParagraph"/>
      </w:pPr>
      <w:r>
        <w:t xml:space="preserve">Si un texte autorise des incitations (agents, services, partenaires de collecte), le calcul est transparent et auditable :</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Élément</w:t>
            </w:r>
          </w:p>
        </w:tc>
        <w:tc>
          <w:tcPr>
            <w:shd w:val="clear" w:color="auto" w:fill="232C6B"/>
          </w:tcPr>
          <w:p>
            <w:pPr>
              <w:pStyle w:val="Compact"/>
            </w:pPr>
            <w:r>
              <w:rPr>
                <w:b/>
                <w:color w:val="FFFFFF"/>
                <w:sz w:val="17"/>
              </w:rPr>
              <w:t xml:space="preserve">Exigence</w:t>
            </w:r>
          </w:p>
        </w:tc>
      </w:tr>
      <w:tr>
        <w:tc>
          <w:tcPr/>
          <w:p>
            <w:pPr>
              <w:pStyle w:val="Compact"/>
            </w:pPr>
            <w:r>
              <w:rPr>
                <w:sz w:val="17"/>
              </w:rPr>
              <w:t xml:space="preserve">Autorité légale</w:t>
            </w:r>
          </w:p>
        </w:tc>
        <w:tc>
          <w:tcPr/>
          <w:p>
            <w:pPr>
              <w:pStyle w:val="Compact"/>
            </w:pPr>
            <w:r>
              <w:rPr>
                <w:sz w:val="17"/>
              </w:rPr>
              <w:t xml:space="preserve">Texte citant la base (J10)</w:t>
            </w:r>
          </w:p>
        </w:tc>
      </w:tr>
      <w:tr>
        <w:tc>
          <w:tcPr>
            <w:shd w:val="clear" w:color="auto" w:fill="F5F7FB"/>
          </w:tcPr>
          <w:p>
            <w:pPr>
              <w:pStyle w:val="Compact"/>
            </w:pPr>
            <w:r>
              <w:rPr>
                <w:sz w:val="17"/>
              </w:rPr>
              <w:t xml:space="preserve">Formule approuvée</w:t>
            </w:r>
          </w:p>
        </w:tc>
        <w:tc>
          <w:tcPr>
            <w:shd w:val="clear" w:color="auto" w:fill="F5F7FB"/>
          </w:tcPr>
          <w:p>
            <w:pPr>
              <w:pStyle w:val="Compact"/>
            </w:pPr>
            <w:r>
              <w:rPr>
                <w:sz w:val="17"/>
              </w:rPr>
              <w:t xml:space="preserve">Pourcentage ou barème fixé par acte</w:t>
            </w:r>
          </w:p>
        </w:tc>
      </w:tr>
      <w:tr>
        <w:tc>
          <w:tcPr/>
          <w:p>
            <w:pPr>
              <w:pStyle w:val="Compact"/>
            </w:pPr>
            <w:r>
              <w:rPr>
                <w:sz w:val="17"/>
              </w:rPr>
              <w:t xml:space="preserve">Conditions</w:t>
            </w:r>
          </w:p>
        </w:tc>
        <w:tc>
          <w:tcPr/>
          <w:p>
            <w:pPr>
              <w:pStyle w:val="Compact"/>
            </w:pPr>
            <w:r>
              <w:rPr>
                <w:sz w:val="17"/>
              </w:rPr>
              <w:t xml:space="preserve">Résultats</w:t>
            </w:r>
            <w:r>
              <w:rPr>
                <w:sz w:val="17"/>
              </w:rPr>
              <w:t xml:space="preserve"> </w:t>
            </w:r>
            <w:r>
              <w:rPr>
                <w:b/>
                <w:bCs/>
                <w:sz w:val="17"/>
              </w:rPr>
              <w:t xml:space="preserve">vérifiés</w:t>
            </w:r>
            <w:r>
              <w:rPr>
                <w:sz w:val="17"/>
              </w:rPr>
              <w:t xml:space="preserve"> </w:t>
            </w:r>
            <w:r>
              <w:rPr>
                <w:sz w:val="17"/>
              </w:rPr>
              <w:t xml:space="preserve">(quittances définitives, objets validés en contrôle qualité), jamais montants liquidés</w:t>
            </w:r>
          </w:p>
        </w:tc>
      </w:tr>
      <w:tr>
        <w:tc>
          <w:tcPr>
            <w:shd w:val="clear" w:color="auto" w:fill="F5F7FB"/>
          </w:tcPr>
          <w:p>
            <w:pPr>
              <w:pStyle w:val="Compact"/>
            </w:pPr>
            <w:r>
              <w:rPr>
                <w:sz w:val="17"/>
              </w:rPr>
              <w:t xml:space="preserve">Plafonds</w:t>
            </w:r>
          </w:p>
        </w:tc>
        <w:tc>
          <w:tcPr>
            <w:shd w:val="clear" w:color="auto" w:fill="F5F7FB"/>
          </w:tcPr>
          <w:p>
            <w:pPr>
              <w:pStyle w:val="Compact"/>
            </w:pPr>
            <w:r>
              <w:rPr>
                <w:sz w:val="17"/>
              </w:rPr>
              <w:t xml:space="preserve">Par agent, par service, par période</w:t>
            </w:r>
          </w:p>
        </w:tc>
      </w:tr>
      <w:tr>
        <w:tc>
          <w:tcPr/>
          <w:p>
            <w:pPr>
              <w:pStyle w:val="Compact"/>
            </w:pPr>
            <w:r>
              <w:rPr>
                <w:sz w:val="17"/>
              </w:rPr>
              <w:t xml:space="preserve">Anti-manipulation</w:t>
            </w:r>
          </w:p>
        </w:tc>
        <w:tc>
          <w:tcPr/>
          <w:p>
            <w:pPr>
              <w:pStyle w:val="Compact"/>
            </w:pPr>
            <w:r>
              <w:rPr>
                <w:sz w:val="17"/>
              </w:rPr>
              <w:t xml:space="preserve">Exclusion des objets contestés ou annulés ; récupération en cas de fraude ; indicateurs de qualité pondérateurs</w:t>
            </w:r>
          </w:p>
        </w:tc>
      </w:tr>
      <w:tr>
        <w:tc>
          <w:tcPr>
            <w:shd w:val="clear" w:color="auto" w:fill="F5F7FB"/>
          </w:tcPr>
          <w:p>
            <w:pPr>
              <w:pStyle w:val="Compact"/>
            </w:pPr>
            <w:r>
              <w:rPr>
                <w:sz w:val="17"/>
              </w:rPr>
              <w:t xml:space="preserve">Traitement fiscal</w:t>
            </w:r>
          </w:p>
        </w:tc>
        <w:tc>
          <w:tcPr>
            <w:shd w:val="clear" w:color="auto" w:fill="F5F7FB"/>
          </w:tcPr>
          <w:p>
            <w:pPr>
              <w:pStyle w:val="Compact"/>
            </w:pPr>
            <w:r>
              <w:rPr>
                <w:sz w:val="17"/>
              </w:rPr>
              <w:t xml:space="preserve">Selon la réglementation</w:t>
            </w:r>
          </w:p>
        </w:tc>
      </w:tr>
      <w:tr>
        <w:tc>
          <w:tcPr/>
          <w:p>
            <w:pPr>
              <w:pStyle w:val="Compact"/>
            </w:pPr>
            <w:r>
              <w:rPr>
                <w:sz w:val="17"/>
              </w:rPr>
              <w:t xml:space="preserve">Approbation</w:t>
            </w:r>
          </w:p>
        </w:tc>
        <w:tc>
          <w:tcPr/>
          <w:p>
            <w:pPr>
              <w:pStyle w:val="Compact"/>
            </w:pPr>
            <w:r>
              <w:rPr>
                <w:sz w:val="17"/>
              </w:rPr>
              <w:t xml:space="preserve">Ordonnateur, sur proposition calculée par la plateforme</w:t>
            </w:r>
          </w:p>
        </w:tc>
      </w:tr>
      <w:tr>
        <w:tc>
          <w:tcPr>
            <w:shd w:val="clear" w:color="auto" w:fill="F5F7FB"/>
          </w:tcPr>
          <w:p>
            <w:pPr>
              <w:pStyle w:val="Compact"/>
            </w:pPr>
            <w:r>
              <w:rPr>
                <w:sz w:val="17"/>
              </w:rPr>
              <w:t xml:space="preserve">Traitement comptable</w:t>
            </w:r>
          </w:p>
        </w:tc>
        <w:tc>
          <w:tcPr>
            <w:shd w:val="clear" w:color="auto" w:fill="F5F7FB"/>
          </w:tcPr>
          <w:p>
            <w:pPr>
              <w:pStyle w:val="Compact"/>
            </w:pPr>
            <w:r>
              <w:rPr>
                <w:sz w:val="17"/>
              </w:rPr>
              <w:t xml:space="preserve">Dépense budgétaire,</w:t>
            </w:r>
            <w:r>
              <w:rPr>
                <w:sz w:val="17"/>
              </w:rPr>
              <w:t xml:space="preserve"> </w:t>
            </w:r>
            <w:r>
              <w:rPr>
                <w:b/>
                <w:bCs/>
                <w:sz w:val="17"/>
              </w:rPr>
              <w:t xml:space="preserve">pas prélèvement à la source</w:t>
            </w:r>
          </w:p>
        </w:tc>
      </w:tr>
    </w:tbl>
    <w:bookmarkEnd w:id="273"/>
    <w:bookmarkStart w:id="274" w:name="recommandation-demploi-des-fonds"/>
    <w:p>
      <w:pPr>
        <w:pStyle w:val="Heading2"/>
      </w:pPr>
      <w:r>
        <w:t xml:space="preserve">27.3 Recommandation d’emploi des fonds</w:t>
      </w:r>
    </w:p>
    <w:p>
      <w:pPr>
        <w:pStyle w:val="FirstParagraph"/>
      </w:pPr>
      <w:r>
        <w:t xml:space="preserve">L’agent d’allocation propose des scénarios fondés sur : recettes réglées et rapprochées ; obligations récurrentes ; budget approuvé ; maturité des projets ; besoins géographiques ; population ; pauvreté ; déficits d’infrastructure ; rendement économique et social ; coût d’entretien ; résilience climatique ; restrictions légales de dépense.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Pour chaque recommandation</w:t>
            </w:r>
          </w:p>
        </w:tc>
        <w:tc>
          <w:tcPr>
            <w:shd w:val="clear" w:color="auto" w:fill="232C6B"/>
          </w:tcPr>
          <w:p>
            <w:pPr>
              <w:pStyle w:val="Compact"/>
            </w:pPr>
            <w:r>
              <w:rPr>
                <w:b/>
                <w:color w:val="FFFFFF"/>
                <w:sz w:val="17"/>
              </w:rPr>
              <w:t xml:space="preserve">Contenu</w:t>
            </w:r>
          </w:p>
        </w:tc>
      </w:tr>
      <w:tr>
        <w:tc>
          <w:tcPr/>
          <w:p>
            <w:pPr>
              <w:pStyle w:val="Compact"/>
            </w:pPr>
            <w:r>
              <w:rPr>
                <w:sz w:val="17"/>
              </w:rPr>
              <w:t xml:space="preserve">Montant disponible</w:t>
            </w:r>
          </w:p>
        </w:tc>
        <w:tc>
          <w:tcPr/>
          <w:p>
            <w:pPr>
              <w:pStyle w:val="Compact"/>
            </w:pPr>
            <w:r>
              <w:rPr>
                <w:sz w:val="17"/>
              </w:rPr>
              <w:t xml:space="preserve">Selon l’échelle (niveau 11)</w:t>
            </w:r>
          </w:p>
        </w:tc>
      </w:tr>
      <w:tr>
        <w:tc>
          <w:tcPr>
            <w:shd w:val="clear" w:color="auto" w:fill="F5F7FB"/>
          </w:tcPr>
          <w:p>
            <w:pPr>
              <w:pStyle w:val="Compact"/>
            </w:pPr>
            <w:r>
              <w:rPr>
                <w:sz w:val="17"/>
              </w:rPr>
              <w:t xml:space="preserve">Source légale des fonds</w:t>
            </w:r>
          </w:p>
        </w:tc>
        <w:tc>
          <w:tcPr>
            <w:shd w:val="clear" w:color="auto" w:fill="F5F7FB"/>
          </w:tcPr>
          <w:p>
            <w:pPr>
              <w:pStyle w:val="Compact"/>
            </w:pPr>
            <w:r>
              <w:rPr>
                <w:sz w:val="17"/>
              </w:rPr>
              <w:t xml:space="preserve">Ligne budgétaire, recettes affectées le cas échéant</w:t>
            </w:r>
          </w:p>
        </w:tc>
      </w:tr>
      <w:tr>
        <w:tc>
          <w:tcPr/>
          <w:p>
            <w:pPr>
              <w:pStyle w:val="Compact"/>
            </w:pPr>
            <w:r>
              <w:rPr>
                <w:sz w:val="17"/>
              </w:rPr>
              <w:t xml:space="preserve">Allocation proposée</w:t>
            </w:r>
          </w:p>
        </w:tc>
        <w:tc>
          <w:tcPr/>
          <w:p>
            <w:pPr>
              <w:pStyle w:val="Compact"/>
            </w:pPr>
            <w:r>
              <w:rPr>
                <w:sz w:val="17"/>
              </w:rPr>
              <w:t xml:space="preserve">Montant par projet</w:t>
            </w:r>
          </w:p>
        </w:tc>
      </w:tr>
      <w:tr>
        <w:tc>
          <w:tcPr>
            <w:shd w:val="clear" w:color="auto" w:fill="F5F7FB"/>
          </w:tcPr>
          <w:p>
            <w:pPr>
              <w:pStyle w:val="Compact"/>
            </w:pPr>
            <w:r>
              <w:rPr>
                <w:sz w:val="17"/>
              </w:rPr>
              <w:t xml:space="preserve">Bénéficiaires</w:t>
            </w:r>
          </w:p>
        </w:tc>
        <w:tc>
          <w:tcPr>
            <w:shd w:val="clear" w:color="auto" w:fill="F5F7FB"/>
          </w:tcPr>
          <w:p>
            <w:pPr>
              <w:pStyle w:val="Compact"/>
            </w:pPr>
            <w:r>
              <w:rPr>
                <w:sz w:val="17"/>
              </w:rPr>
              <w:t xml:space="preserve">Population et zones</w:t>
            </w:r>
          </w:p>
        </w:tc>
      </w:tr>
      <w:tr>
        <w:tc>
          <w:tcPr/>
          <w:p>
            <w:pPr>
              <w:pStyle w:val="Compact"/>
            </w:pPr>
            <w:r>
              <w:rPr>
                <w:sz w:val="17"/>
              </w:rPr>
              <w:t xml:space="preserve">Impact géographique</w:t>
            </w:r>
          </w:p>
        </w:tc>
        <w:tc>
          <w:tcPr/>
          <w:p>
            <w:pPr>
              <w:pStyle w:val="Compact"/>
            </w:pPr>
            <w:r>
              <w:rPr>
                <w:sz w:val="17"/>
              </w:rPr>
              <w:t xml:space="preserve">Carte</w:t>
            </w:r>
          </w:p>
        </w:tc>
      </w:tr>
      <w:tr>
        <w:tc>
          <w:tcPr>
            <w:shd w:val="clear" w:color="auto" w:fill="F5F7FB"/>
          </w:tcPr>
          <w:p>
            <w:pPr>
              <w:pStyle w:val="Compact"/>
            </w:pPr>
            <w:r>
              <w:rPr>
                <w:sz w:val="17"/>
              </w:rPr>
              <w:t xml:space="preserve">Résultat attendu</w:t>
            </w:r>
          </w:p>
        </w:tc>
        <w:tc>
          <w:tcPr>
            <w:shd w:val="clear" w:color="auto" w:fill="F5F7FB"/>
          </w:tcPr>
          <w:p>
            <w:pPr>
              <w:pStyle w:val="Compact"/>
            </w:pPr>
            <w:r>
              <w:rPr>
                <w:sz w:val="17"/>
              </w:rPr>
              <w:t xml:space="preserve">Indicateurs mesurables</w:t>
            </w:r>
          </w:p>
        </w:tc>
      </w:tr>
      <w:tr>
        <w:tc>
          <w:tcPr/>
          <w:p>
            <w:pPr>
              <w:pStyle w:val="Compact"/>
            </w:pPr>
            <w:r>
              <w:rPr>
                <w:sz w:val="17"/>
              </w:rPr>
              <w:t xml:space="preserve">Maturité du projet</w:t>
            </w:r>
          </w:p>
        </w:tc>
        <w:tc>
          <w:tcPr/>
          <w:p>
            <w:pPr>
              <w:pStyle w:val="Compact"/>
            </w:pPr>
            <w:r>
              <w:rPr>
                <w:sz w:val="17"/>
              </w:rPr>
              <w:t xml:space="preserve">Études, foncier, marchés</w:t>
            </w:r>
          </w:p>
        </w:tc>
      </w:tr>
      <w:tr>
        <w:tc>
          <w:tcPr>
            <w:shd w:val="clear" w:color="auto" w:fill="F5F7FB"/>
          </w:tcPr>
          <w:p>
            <w:pPr>
              <w:pStyle w:val="Compact"/>
            </w:pPr>
            <w:r>
              <w:rPr>
                <w:sz w:val="17"/>
              </w:rPr>
              <w:t xml:space="preserve">Coût récurrent</w:t>
            </w:r>
          </w:p>
        </w:tc>
        <w:tc>
          <w:tcPr>
            <w:shd w:val="clear" w:color="auto" w:fill="F5F7FB"/>
          </w:tcPr>
          <w:p>
            <w:pPr>
              <w:pStyle w:val="Compact"/>
            </w:pPr>
            <w:r>
              <w:rPr>
                <w:sz w:val="17"/>
              </w:rPr>
              <w:t xml:space="preserve">Entretien et exploitation</w:t>
            </w:r>
          </w:p>
        </w:tc>
      </w:tr>
      <w:tr>
        <w:tc>
          <w:tcPr/>
          <w:p>
            <w:pPr>
              <w:pStyle w:val="Compact"/>
            </w:pPr>
            <w:r>
              <w:rPr>
                <w:sz w:val="17"/>
              </w:rPr>
              <w:t xml:space="preserve">Passation de marché requise</w:t>
            </w:r>
          </w:p>
        </w:tc>
        <w:tc>
          <w:tcPr/>
          <w:p>
            <w:pPr>
              <w:pStyle w:val="Compact"/>
            </w:pPr>
            <w:r>
              <w:rPr>
                <w:sz w:val="17"/>
              </w:rPr>
              <w:t xml:space="preserve">Procédure applicable</w:t>
            </w:r>
          </w:p>
        </w:tc>
      </w:tr>
      <w:tr>
        <w:tc>
          <w:tcPr>
            <w:shd w:val="clear" w:color="auto" w:fill="F5F7FB"/>
          </w:tcPr>
          <w:p>
            <w:pPr>
              <w:pStyle w:val="Compact"/>
            </w:pPr>
            <w:r>
              <w:rPr>
                <w:sz w:val="17"/>
              </w:rPr>
              <w:t xml:space="preserve">Risques</w:t>
            </w:r>
          </w:p>
        </w:tc>
        <w:tc>
          <w:tcPr>
            <w:shd w:val="clear" w:color="auto" w:fill="F5F7FB"/>
          </w:tcPr>
          <w:p>
            <w:pPr>
              <w:pStyle w:val="Compact"/>
            </w:pPr>
            <w:r>
              <w:rPr>
                <w:sz w:val="17"/>
              </w:rPr>
              <w:t xml:space="preserve">Techniques, financiers, sociaux</w:t>
            </w:r>
          </w:p>
        </w:tc>
      </w:tr>
      <w:tr>
        <w:tc>
          <w:tcPr/>
          <w:p>
            <w:pPr>
              <w:pStyle w:val="Compact"/>
            </w:pPr>
            <w:r>
              <w:rPr>
                <w:sz w:val="17"/>
              </w:rPr>
              <w:t xml:space="preserve">Autorité d’approbation</w:t>
            </w:r>
          </w:p>
        </w:tc>
        <w:tc>
          <w:tcPr/>
          <w:p>
            <w:pPr>
              <w:pStyle w:val="Compact"/>
            </w:pPr>
            <w:r>
              <w:rPr>
                <w:sz w:val="17"/>
              </w:rPr>
              <w:t xml:space="preserve">Ordonnateur, Assemblée si modification budgétaire</w:t>
            </w:r>
          </w:p>
        </w:tc>
      </w:tr>
    </w:tbl>
    <w:p>
      <w:pPr>
        <w:pStyle w:val="BodyText"/>
      </w:pPr>
      <w:r>
        <w:t xml:space="preserve">Domaines typiques : réfection des routes, drainage et protection contre les inondations, assainissement et déchets, éclairage public, transport public, modernisation des marchés, écoles, centres de santé, services numériques, programmes d’emploi, infrastructures de sécurité publique.</w:t>
      </w:r>
      <w:r>
        <w:t xml:space="preserve"> </w:t>
      </w:r>
      <w:r>
        <w:rPr>
          <w:b/>
          <w:bCs/>
        </w:rPr>
        <w:t xml:space="preserve">L’IA recommande des scénarios ; elle n’approuve aucune dépense et ne déplace aucun fonds.</w:t>
      </w:r>
    </w:p>
    <w:bookmarkEnd w:id="274"/>
    <w:bookmarkStart w:id="275" w:name="transparence"/>
    <w:p>
      <w:pPr>
        <w:pStyle w:val="Heading2"/>
      </w:pPr>
      <w:r>
        <w:t xml:space="preserve">27.4 Transparence</w:t>
      </w:r>
    </w:p>
    <w:p>
      <w:pPr>
        <w:pStyle w:val="FirstParagraph"/>
      </w:pPr>
      <w:r>
        <w:t xml:space="preserve">Tableau public trimestriel : recettes par catégorie et par commune, emploi des fonds par programme, projets financés et état d’avancement, délais de traitement des recours — sans aucune donnée personnelle.</w:t>
      </w:r>
    </w:p>
    <w:bookmarkEnd w:id="275"/>
    <w:bookmarkEnd w:id="276"/>
    <w:bookmarkStart w:id="304" w:name="architecture-technique"/>
    <w:p>
      <w:pPr>
        <w:pStyle w:val="Heading1"/>
      </w:pPr>
      <w:r>
        <w:t xml:space="preserve">28. Architecture technique</w:t>
      </w:r>
    </w:p>
    <w:bookmarkStart w:id="277" w:name="recommandation-un-hybride-contrôlé"/>
    <w:p>
      <w:pPr>
        <w:pStyle w:val="Heading2"/>
      </w:pPr>
      <w:r>
        <w:t xml:space="preserve">28.1 Recommandation : un hybride contrôlé</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Option</w:t>
            </w:r>
          </w:p>
        </w:tc>
        <w:tc>
          <w:tcPr>
            <w:shd w:val="clear" w:color="auto" w:fill="232C6B"/>
          </w:tcPr>
          <w:p>
            <w:pPr>
              <w:pStyle w:val="Compact"/>
            </w:pPr>
            <w:r>
              <w:rPr>
                <w:b/>
                <w:color w:val="FFFFFF"/>
                <w:sz w:val="17"/>
              </w:rPr>
              <w:t xml:space="preserve">Avantages</w:t>
            </w:r>
          </w:p>
        </w:tc>
        <w:tc>
          <w:tcPr>
            <w:shd w:val="clear" w:color="auto" w:fill="232C6B"/>
          </w:tcPr>
          <w:p>
            <w:pPr>
              <w:pStyle w:val="Compact"/>
            </w:pPr>
            <w:r>
              <w:rPr>
                <w:b/>
                <w:color w:val="FFFFFF"/>
                <w:sz w:val="17"/>
              </w:rPr>
              <w:t xml:space="preserve">Inconvénients dans le contexte de Kinshasa</w:t>
            </w:r>
          </w:p>
        </w:tc>
        <w:tc>
          <w:tcPr>
            <w:shd w:val="clear" w:color="auto" w:fill="232C6B"/>
          </w:tcPr>
          <w:p>
            <w:pPr>
              <w:pStyle w:val="Compact"/>
            </w:pPr>
            <w:r>
              <w:rPr>
                <w:b/>
                <w:color w:val="FFFFFF"/>
                <w:sz w:val="17"/>
              </w:rPr>
              <w:t xml:space="preserve">Verdict</w:t>
            </w:r>
          </w:p>
        </w:tc>
      </w:tr>
      <w:tr>
        <w:tc>
          <w:tcPr/>
          <w:p>
            <w:pPr>
              <w:pStyle w:val="Compact"/>
            </w:pPr>
            <w:r>
              <w:rPr>
                <w:sz w:val="17"/>
              </w:rPr>
              <w:t xml:space="preserve">Monolithe modulaire</w:t>
            </w:r>
          </w:p>
        </w:tc>
        <w:tc>
          <w:tcPr/>
          <w:p>
            <w:pPr>
              <w:pStyle w:val="Compact"/>
            </w:pPr>
            <w:r>
              <w:rPr>
                <w:sz w:val="17"/>
              </w:rPr>
              <w:t xml:space="preserve">Simple à exploiter, cohérence transactionnelle, peu d’équipes nécessaires</w:t>
            </w:r>
          </w:p>
        </w:tc>
        <w:tc>
          <w:tcPr/>
          <w:p>
            <w:pPr>
              <w:pStyle w:val="Compact"/>
            </w:pPr>
            <w:r>
              <w:rPr>
                <w:sz w:val="17"/>
              </w:rPr>
              <w:t xml:space="preserve">Montée en charge par blocs ; risque de couplage si mal discipliné</w:t>
            </w:r>
          </w:p>
        </w:tc>
        <w:tc>
          <w:tcPr/>
          <w:p>
            <w:pPr>
              <w:pStyle w:val="Compact"/>
            </w:pPr>
            <w:r>
              <w:rPr>
                <w:b/>
                <w:bCs/>
                <w:sz w:val="17"/>
              </w:rPr>
              <w:t xml:space="preserve">Socle retenu</w:t>
            </w:r>
          </w:p>
        </w:tc>
      </w:tr>
      <w:tr>
        <w:tc>
          <w:tcPr>
            <w:shd w:val="clear" w:color="auto" w:fill="F5F7FB"/>
          </w:tcPr>
          <w:p>
            <w:pPr>
              <w:pStyle w:val="Compact"/>
            </w:pPr>
            <w:r>
              <w:rPr>
                <w:sz w:val="17"/>
              </w:rPr>
              <w:t xml:space="preserve">Services orientés domaines</w:t>
            </w:r>
          </w:p>
        </w:tc>
        <w:tc>
          <w:tcPr>
            <w:shd w:val="clear" w:color="auto" w:fill="F5F7FB"/>
          </w:tcPr>
          <w:p>
            <w:pPr>
              <w:pStyle w:val="Compact"/>
            </w:pPr>
            <w:r>
              <w:rPr>
                <w:sz w:val="17"/>
              </w:rPr>
              <w:t xml:space="preserve">Autonomie des domaines, isolation des risques</w:t>
            </w:r>
          </w:p>
        </w:tc>
        <w:tc>
          <w:tcPr>
            <w:shd w:val="clear" w:color="auto" w:fill="F5F7FB"/>
          </w:tcPr>
          <w:p>
            <w:pPr>
              <w:pStyle w:val="Compact"/>
            </w:pPr>
            <w:r>
              <w:rPr>
                <w:sz w:val="17"/>
              </w:rPr>
              <w:t xml:space="preserve">Plus d’exploitation</w:t>
            </w:r>
          </w:p>
        </w:tc>
        <w:tc>
          <w:tcPr>
            <w:shd w:val="clear" w:color="auto" w:fill="F5F7FB"/>
          </w:tcPr>
          <w:p>
            <w:pPr>
              <w:pStyle w:val="Compact"/>
            </w:pPr>
            <w:r>
              <w:rPr>
                <w:b/>
                <w:bCs/>
                <w:sz w:val="17"/>
              </w:rPr>
              <w:t xml:space="preserve">Retenu pour 4 composants</w:t>
            </w:r>
          </w:p>
        </w:tc>
      </w:tr>
      <w:tr>
        <w:tc>
          <w:tcPr/>
          <w:p>
            <w:pPr>
              <w:pStyle w:val="Compact"/>
            </w:pPr>
            <w:r>
              <w:rPr>
                <w:sz w:val="17"/>
              </w:rPr>
              <w:t xml:space="preserve">Microservices généralisés</w:t>
            </w:r>
          </w:p>
        </w:tc>
        <w:tc>
          <w:tcPr/>
          <w:p>
            <w:pPr>
              <w:pStyle w:val="Compact"/>
            </w:pPr>
            <w:r>
              <w:rPr>
                <w:sz w:val="17"/>
              </w:rPr>
              <w:t xml:space="preserve">Évolutivité fine</w:t>
            </w:r>
          </w:p>
        </w:tc>
        <w:tc>
          <w:tcPr/>
          <w:p>
            <w:pPr>
              <w:pStyle w:val="Compact"/>
            </w:pPr>
            <w:r>
              <w:rPr>
                <w:sz w:val="17"/>
              </w:rPr>
              <w:t xml:space="preserve">Complexité d’exploitation élevée, compétences rares, surface d’attaque plus large, coûts</w:t>
            </w:r>
          </w:p>
        </w:tc>
        <w:tc>
          <w:tcPr/>
          <w:p>
            <w:pPr>
              <w:pStyle w:val="Compact"/>
            </w:pPr>
            <w:r>
              <w:rPr>
                <w:sz w:val="17"/>
              </w:rPr>
              <w:t xml:space="preserve">Rejeté</w:t>
            </w:r>
          </w:p>
        </w:tc>
      </w:tr>
      <w:tr>
        <w:tc>
          <w:tcPr>
            <w:shd w:val="clear" w:color="auto" w:fill="F5F7FB"/>
          </w:tcPr>
          <w:p>
            <w:pPr>
              <w:pStyle w:val="Compact"/>
            </w:pPr>
            <w:r>
              <w:rPr>
                <w:sz w:val="17"/>
              </w:rPr>
              <w:t xml:space="preserve">Architecture événementielle</w:t>
            </w:r>
          </w:p>
        </w:tc>
        <w:tc>
          <w:tcPr>
            <w:shd w:val="clear" w:color="auto" w:fill="F5F7FB"/>
          </w:tcPr>
          <w:p>
            <w:pPr>
              <w:pStyle w:val="Compact"/>
            </w:pPr>
            <w:r>
              <w:rPr>
                <w:sz w:val="17"/>
              </w:rPr>
              <w:t xml:space="preserve">Découplage, audit, intégrations, hors ligne</w:t>
            </w:r>
          </w:p>
        </w:tc>
        <w:tc>
          <w:tcPr>
            <w:shd w:val="clear" w:color="auto" w:fill="F5F7FB"/>
          </w:tcPr>
          <w:p>
            <w:pPr>
              <w:pStyle w:val="Compact"/>
            </w:pPr>
            <w:r>
              <w:rPr>
                <w:sz w:val="17"/>
              </w:rPr>
              <w:t xml:space="preserve">Cohérence à terme à gérer</w:t>
            </w:r>
          </w:p>
        </w:tc>
        <w:tc>
          <w:tcPr>
            <w:shd w:val="clear" w:color="auto" w:fill="F5F7FB"/>
          </w:tcPr>
          <w:p>
            <w:pPr>
              <w:pStyle w:val="Compact"/>
            </w:pPr>
            <w:r>
              <w:rPr>
                <w:b/>
                <w:bCs/>
                <w:sz w:val="17"/>
              </w:rPr>
              <w:t xml:space="preserve">Retenue</w:t>
            </w:r>
            <w:r>
              <w:rPr>
                <w:sz w:val="17"/>
              </w:rPr>
              <w:t xml:space="preserve"> </w:t>
            </w:r>
            <w:r>
              <w:rPr>
                <w:sz w:val="17"/>
              </w:rPr>
              <w:t xml:space="preserve">(bus interne)</w:t>
            </w:r>
          </w:p>
        </w:tc>
      </w:tr>
      <w:tr>
        <w:tc>
          <w:tcPr/>
          <w:p>
            <w:pPr>
              <w:pStyle w:val="Compact"/>
            </w:pPr>
            <w:r>
              <w:rPr>
                <w:sz w:val="17"/>
              </w:rPr>
              <w:t xml:space="preserve">CQRS</w:t>
            </w:r>
          </w:p>
        </w:tc>
        <w:tc>
          <w:tcPr/>
          <w:p>
            <w:pPr>
              <w:pStyle w:val="Compact"/>
            </w:pPr>
            <w:r>
              <w:rPr>
                <w:sz w:val="17"/>
              </w:rPr>
              <w:t xml:space="preserve">Lecture analytique performante sans charger les transactions</w:t>
            </w:r>
          </w:p>
        </w:tc>
        <w:tc>
          <w:tcPr/>
          <w:p>
            <w:pPr>
              <w:pStyle w:val="Compact"/>
            </w:pPr>
            <w:r>
              <w:rPr>
                <w:sz w:val="17"/>
              </w:rPr>
              <w:t xml:space="preserve">Duplication de modèles</w:t>
            </w:r>
          </w:p>
        </w:tc>
        <w:tc>
          <w:tcPr/>
          <w:p>
            <w:pPr>
              <w:pStyle w:val="Compact"/>
            </w:pPr>
            <w:r>
              <w:rPr>
                <w:b/>
                <w:bCs/>
                <w:sz w:val="17"/>
              </w:rPr>
              <w:t xml:space="preserve">Retenu</w:t>
            </w:r>
            <w:r>
              <w:rPr>
                <w:sz w:val="17"/>
              </w:rPr>
              <w:t xml:space="preserve"> </w:t>
            </w:r>
            <w:r>
              <w:rPr>
                <w:sz w:val="17"/>
              </w:rPr>
              <w:t xml:space="preserve">pour tableaux de bord et SIG</w:t>
            </w:r>
          </w:p>
        </w:tc>
      </w:tr>
      <w:tr>
        <w:tc>
          <w:tcPr>
            <w:shd w:val="clear" w:color="auto" w:fill="F5F7FB"/>
          </w:tcPr>
          <w:p>
            <w:pPr>
              <w:pStyle w:val="Compact"/>
            </w:pPr>
            <w:r>
              <w:rPr>
                <w:sz w:val="17"/>
              </w:rPr>
              <w:t xml:space="preserve">Event sourcing intégral</w:t>
            </w:r>
          </w:p>
        </w:tc>
        <w:tc>
          <w:tcPr>
            <w:shd w:val="clear" w:color="auto" w:fill="F5F7FB"/>
          </w:tcPr>
          <w:p>
            <w:pPr>
              <w:pStyle w:val="Compact"/>
            </w:pPr>
            <w:r>
              <w:rPr>
                <w:sz w:val="17"/>
              </w:rPr>
              <w:t xml:space="preserve">Historique parfait</w:t>
            </w:r>
          </w:p>
        </w:tc>
        <w:tc>
          <w:tcPr>
            <w:shd w:val="clear" w:color="auto" w:fill="F5F7FB"/>
          </w:tcPr>
          <w:p>
            <w:pPr>
              <w:pStyle w:val="Compact"/>
            </w:pPr>
            <w:r>
              <w:rPr>
                <w:sz w:val="17"/>
              </w:rPr>
              <w:t xml:space="preserve">Complexité élevée, migrations difficiles</w:t>
            </w:r>
          </w:p>
        </w:tc>
        <w:tc>
          <w:tcPr>
            <w:shd w:val="clear" w:color="auto" w:fill="F5F7FB"/>
          </w:tcPr>
          <w:p>
            <w:pPr>
              <w:pStyle w:val="Compact"/>
            </w:pPr>
            <w:r>
              <w:rPr>
                <w:b/>
                <w:bCs/>
                <w:sz w:val="17"/>
              </w:rPr>
              <w:t xml:space="preserve">Limité</w:t>
            </w:r>
            <w:r>
              <w:rPr>
                <w:sz w:val="17"/>
              </w:rPr>
              <w:t xml:space="preserve"> </w:t>
            </w:r>
            <w:r>
              <w:rPr>
                <w:sz w:val="17"/>
              </w:rPr>
              <w:t xml:space="preserve">au grand livre et au journal d’audit</w:t>
            </w:r>
          </w:p>
        </w:tc>
      </w:tr>
    </w:tbl>
    <w:p>
      <w:pPr>
        <w:pStyle w:val="BodyText"/>
      </w:pPr>
      <w:r>
        <w:rPr>
          <w:b/>
          <w:bCs/>
        </w:rPr>
        <w:t xml:space="preserve">Recommandation : un monolithe modulaire orienté domaines</w:t>
      </w:r>
      <w:r>
        <w:t xml:space="preserve"> </w:t>
      </w:r>
      <w:r>
        <w:t xml:space="preserve">(les sept domaines du chapitre 10 sont des modules avec frontières strictes, bases de schémas séparées et contrats internes),</w:t>
      </w:r>
      <w:r>
        <w:t xml:space="preserve"> </w:t>
      </w:r>
      <w:r>
        <w:rPr>
          <w:b/>
          <w:bCs/>
        </w:rPr>
        <w:t xml:space="preserve">plus quatre services isolés</w:t>
      </w:r>
      <w:r>
        <w:t xml:space="preserve"> </w:t>
      </w:r>
      <w:r>
        <w:t xml:space="preserve">pour des raisons de sécurité ou de charge : (1) passerelle de paiement et coffre des bénéficiaires ; (2) journal d’audit et horodatage ; (3) passerelle d’IA ; (4) moteur de communication et canaux (USSD, SMS, SVI). Le grand livre et le journal d’audit sont en</w:t>
      </w:r>
      <w:r>
        <w:t xml:space="preserve"> </w:t>
      </w:r>
      <w:r>
        <w:rPr>
          <w:b/>
          <w:bCs/>
        </w:rPr>
        <w:t xml:space="preserve">event sourcing</w:t>
      </w:r>
      <w:r>
        <w:t xml:space="preserve"> </w:t>
      </w:r>
      <w:r>
        <w:t xml:space="preserve">; les lectures analytiques passent par</w:t>
      </w:r>
      <w:r>
        <w:t xml:space="preserve"> </w:t>
      </w:r>
      <w:r>
        <w:rPr>
          <w:b/>
          <w:bCs/>
        </w:rPr>
        <w:t xml:space="preserve">CQRS</w:t>
      </w:r>
      <w:r>
        <w:t xml:space="preserve"> </w:t>
      </w:r>
      <w:r>
        <w:t xml:space="preserve">vers l’entrepôt.</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Critère</w:t>
            </w:r>
          </w:p>
        </w:tc>
        <w:tc>
          <w:tcPr>
            <w:shd w:val="clear" w:color="auto" w:fill="232C6B"/>
          </w:tcPr>
          <w:p>
            <w:pPr>
              <w:pStyle w:val="Compact"/>
            </w:pPr>
            <w:r>
              <w:rPr>
                <w:b/>
                <w:color w:val="FFFFFF"/>
                <w:sz w:val="17"/>
              </w:rPr>
              <w:t xml:space="preserve">Justification</w:t>
            </w:r>
          </w:p>
        </w:tc>
      </w:tr>
      <w:tr>
        <w:tc>
          <w:tcPr/>
          <w:p>
            <w:pPr>
              <w:pStyle w:val="Compact"/>
            </w:pPr>
            <w:r>
              <w:rPr>
                <w:sz w:val="17"/>
              </w:rPr>
              <w:t xml:space="preserve">Connectivité</w:t>
            </w:r>
          </w:p>
        </w:tc>
        <w:tc>
          <w:tcPr/>
          <w:p>
            <w:pPr>
              <w:pStyle w:val="Compact"/>
            </w:pPr>
            <w:r>
              <w:rPr>
                <w:sz w:val="17"/>
              </w:rPr>
              <w:t xml:space="preserve">Terrain hors ligne d’abord ; serveur central simple et robuste ; synchronisation par lots</w:t>
            </w:r>
          </w:p>
        </w:tc>
      </w:tr>
      <w:tr>
        <w:tc>
          <w:tcPr>
            <w:shd w:val="clear" w:color="auto" w:fill="F5F7FB"/>
          </w:tcPr>
          <w:p>
            <w:pPr>
              <w:pStyle w:val="Compact"/>
            </w:pPr>
            <w:r>
              <w:rPr>
                <w:sz w:val="17"/>
              </w:rPr>
              <w:t xml:space="preserve">Capacité technique</w:t>
            </w:r>
          </w:p>
        </w:tc>
        <w:tc>
          <w:tcPr>
            <w:shd w:val="clear" w:color="auto" w:fill="F5F7FB"/>
          </w:tcPr>
          <w:p>
            <w:pPr>
              <w:pStyle w:val="Compact"/>
            </w:pPr>
            <w:r>
              <w:rPr>
                <w:sz w:val="17"/>
              </w:rPr>
              <w:t xml:space="preserve">Une équipe provinciale peut reprendre un monolithe modulaire documenté ; pas un maillage de 60 microservices</w:t>
            </w:r>
          </w:p>
        </w:tc>
      </w:tr>
      <w:tr>
        <w:tc>
          <w:tcPr/>
          <w:p>
            <w:pPr>
              <w:pStyle w:val="Compact"/>
            </w:pPr>
            <w:r>
              <w:rPr>
                <w:sz w:val="17"/>
              </w:rPr>
              <w:t xml:space="preserve">Risque de mise en œuvre</w:t>
            </w:r>
          </w:p>
        </w:tc>
        <w:tc>
          <w:tcPr/>
          <w:p>
            <w:pPr>
              <w:pStyle w:val="Compact"/>
            </w:pPr>
            <w:r>
              <w:rPr>
                <w:sz w:val="17"/>
              </w:rPr>
              <w:t xml:space="preserve">Moins de pièces mobiles, déploiements plus sûrs</w:t>
            </w:r>
          </w:p>
        </w:tc>
      </w:tr>
      <w:tr>
        <w:tc>
          <w:tcPr>
            <w:shd w:val="clear" w:color="auto" w:fill="F5F7FB"/>
          </w:tcPr>
          <w:p>
            <w:pPr>
              <w:pStyle w:val="Compact"/>
            </w:pPr>
            <w:r>
              <w:rPr>
                <w:sz w:val="17"/>
              </w:rPr>
              <w:t xml:space="preserve">Budget</w:t>
            </w:r>
          </w:p>
        </w:tc>
        <w:tc>
          <w:tcPr>
            <w:shd w:val="clear" w:color="auto" w:fill="F5F7FB"/>
          </w:tcPr>
          <w:p>
            <w:pPr>
              <w:pStyle w:val="Compact"/>
            </w:pPr>
            <w:r>
              <w:rPr>
                <w:sz w:val="17"/>
              </w:rPr>
              <w:t xml:space="preserve">Infrastructure et exploitation réduites</w:t>
            </w:r>
          </w:p>
        </w:tc>
      </w:tr>
      <w:tr>
        <w:tc>
          <w:tcPr/>
          <w:p>
            <w:pPr>
              <w:pStyle w:val="Compact"/>
            </w:pPr>
            <w:r>
              <w:rPr>
                <w:sz w:val="17"/>
              </w:rPr>
              <w:t xml:space="preserve">Exposition cybersécurité</w:t>
            </w:r>
          </w:p>
        </w:tc>
        <w:tc>
          <w:tcPr/>
          <w:p>
            <w:pPr>
              <w:pStyle w:val="Compact"/>
            </w:pPr>
            <w:r>
              <w:rPr>
                <w:sz w:val="17"/>
              </w:rPr>
              <w:t xml:space="preserve">Surface réduite ; les composants les plus sensibles sont isolés</w:t>
            </w:r>
          </w:p>
        </w:tc>
      </w:tr>
      <w:tr>
        <w:tc>
          <w:tcPr>
            <w:shd w:val="clear" w:color="auto" w:fill="F5F7FB"/>
          </w:tcPr>
          <w:p>
            <w:pPr>
              <w:pStyle w:val="Compact"/>
            </w:pPr>
            <w:r>
              <w:rPr>
                <w:sz w:val="17"/>
              </w:rPr>
              <w:t xml:space="preserve">Évolutivité</w:t>
            </w:r>
          </w:p>
        </w:tc>
        <w:tc>
          <w:tcPr>
            <w:shd w:val="clear" w:color="auto" w:fill="F5F7FB"/>
          </w:tcPr>
          <w:p>
            <w:pPr>
              <w:pStyle w:val="Compact"/>
            </w:pPr>
            <w:r>
              <w:rPr>
                <w:sz w:val="17"/>
              </w:rPr>
              <w:t xml:space="preserve">Extraction ultérieure d’un module en service si la charge le justifie</w:t>
            </w:r>
          </w:p>
        </w:tc>
      </w:tr>
      <w:tr>
        <w:tc>
          <w:tcPr/>
          <w:p>
            <w:pPr>
              <w:pStyle w:val="Compact"/>
            </w:pPr>
            <w:r>
              <w:rPr>
                <w:sz w:val="17"/>
              </w:rPr>
              <w:t xml:space="preserve">Souveraineté</w:t>
            </w:r>
          </w:p>
        </w:tc>
        <w:tc>
          <w:tcPr/>
          <w:p>
            <w:pPr>
              <w:pStyle w:val="Compact"/>
            </w:pPr>
            <w:r>
              <w:rPr>
                <w:sz w:val="17"/>
              </w:rPr>
              <w:t xml:space="preserve">Logiciels libres standards, compétences disponibles, pas de dépendance à un nuage propriétaire</w:t>
            </w:r>
          </w:p>
        </w:tc>
      </w:tr>
    </w:tbl>
    <w:bookmarkEnd w:id="277"/>
    <w:bookmarkStart w:id="278" w:name="X0936eff2c469b2d75c6b271f5cb90d7f8d08f1d"/>
    <w:p>
      <w:pPr>
        <w:pStyle w:val="Heading2"/>
      </w:pPr>
      <w:r>
        <w:t xml:space="preserve">28.2 Pile technologique recommandée (ouverte et réversible)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Couche</w:t>
            </w:r>
          </w:p>
        </w:tc>
        <w:tc>
          <w:tcPr>
            <w:shd w:val="clear" w:color="auto" w:fill="232C6B"/>
          </w:tcPr>
          <w:p>
            <w:pPr>
              <w:pStyle w:val="Compact"/>
            </w:pPr>
            <w:r>
              <w:rPr>
                <w:b/>
                <w:color w:val="FFFFFF"/>
                <w:sz w:val="17"/>
              </w:rPr>
              <w:t xml:space="preserve">Choix recommandé</w:t>
            </w:r>
          </w:p>
        </w:tc>
        <w:tc>
          <w:tcPr>
            <w:shd w:val="clear" w:color="auto" w:fill="232C6B"/>
          </w:tcPr>
          <w:p>
            <w:pPr>
              <w:pStyle w:val="Compact"/>
            </w:pPr>
            <w:r>
              <w:rPr>
                <w:b/>
                <w:color w:val="FFFFFF"/>
                <w:sz w:val="17"/>
              </w:rPr>
              <w:t xml:space="preserve">Alternative</w:t>
            </w:r>
          </w:p>
        </w:tc>
      </w:tr>
      <w:tr>
        <w:tc>
          <w:tcPr/>
          <w:p>
            <w:pPr>
              <w:pStyle w:val="Compact"/>
            </w:pPr>
            <w:r>
              <w:rPr>
                <w:sz w:val="17"/>
              </w:rPr>
              <w:t xml:space="preserve">Langage serveur</w:t>
            </w:r>
          </w:p>
        </w:tc>
        <w:tc>
          <w:tcPr/>
          <w:p>
            <w:pPr>
              <w:pStyle w:val="Compact"/>
            </w:pPr>
            <w:r>
              <w:rPr>
                <w:b/>
                <w:bCs/>
                <w:sz w:val="17"/>
              </w:rPr>
              <w:t xml:space="preserve">TypeScript sur Node.js 22 LTS</w:t>
            </w:r>
            <w:r>
              <w:rPr>
                <w:sz w:val="17"/>
              </w:rPr>
              <w:t xml:space="preserve"> </w:t>
            </w:r>
            <w:r>
              <w:rPr>
                <w:sz w:val="17"/>
              </w:rPr>
              <w:t xml:space="preserve">(Fastify), partageant ses types et règles avec les interfaces via le paquet</w:t>
            </w:r>
            <w:r>
              <w:rPr>
                <w:sz w:val="17"/>
              </w:rPr>
              <w:t xml:space="preserve"> </w:t>
            </w:r>
            <w:r>
              <w:rPr>
                <w:rStyle w:val="VerbatimChar"/>
                <w:sz w:val="17"/>
              </w:rPr>
              <w:t xml:space="preserve">shared</w:t>
            </w:r>
            <w:r>
              <w:rPr>
                <w:sz w:val="17"/>
              </w:rPr>
              <w:t xml:space="preserve"> </w:t>
            </w:r>
            <w:r>
              <w:rPr>
                <w:sz w:val="17"/>
              </w:rPr>
              <w:t xml:space="preserve">— choix retenu pour le socle livré (Annexe E)</w:t>
            </w:r>
          </w:p>
        </w:tc>
        <w:tc>
          <w:tcPr/>
          <w:p>
            <w:pPr>
              <w:pStyle w:val="Compact"/>
            </w:pPr>
            <w:r>
              <w:rPr>
                <w:sz w:val="17"/>
              </w:rPr>
              <w:t xml:space="preserve">Java 21 / Kotlin ou .NET 8 pour une réécriture ultérieure de services isolés ; Go pour les services réseau</w:t>
            </w:r>
          </w:p>
        </w:tc>
      </w:tr>
      <w:tr>
        <w:tc>
          <w:tcPr>
            <w:shd w:val="clear" w:color="auto" w:fill="F5F7FB"/>
          </w:tcPr>
          <w:p>
            <w:pPr>
              <w:pStyle w:val="Compact"/>
            </w:pPr>
            <w:r>
              <w:rPr>
                <w:sz w:val="17"/>
              </w:rPr>
              <w:t xml:space="preserve">Base transactionnelle</w:t>
            </w:r>
          </w:p>
        </w:tc>
        <w:tc>
          <w:tcPr>
            <w:shd w:val="clear" w:color="auto" w:fill="F5F7FB"/>
          </w:tcPr>
          <w:p>
            <w:pPr>
              <w:pStyle w:val="Compact"/>
            </w:pPr>
            <w:r>
              <w:rPr>
                <w:sz w:val="17"/>
              </w:rPr>
              <w:t xml:space="preserve">PostgreSQL 16 + PostGIS</w:t>
            </w:r>
          </w:p>
        </w:tc>
        <w:tc>
          <w:tcPr>
            <w:shd w:val="clear" w:color="auto" w:fill="F5F7FB"/>
          </w:tcPr>
          <w:p>
            <w:pPr>
              <w:pStyle w:val="Compact"/>
            </w:pPr>
            <w:r>
              <w:rPr>
                <w:sz w:val="17"/>
              </w:rPr>
              <w:t xml:space="preserve">—</w:t>
            </w:r>
          </w:p>
        </w:tc>
      </w:tr>
      <w:tr>
        <w:tc>
          <w:tcPr/>
          <w:p>
            <w:pPr>
              <w:pStyle w:val="Compact"/>
            </w:pPr>
            <w:r>
              <w:rPr>
                <w:sz w:val="17"/>
              </w:rPr>
              <w:t xml:space="preserve">Bus d’événements</w:t>
            </w:r>
          </w:p>
        </w:tc>
        <w:tc>
          <w:tcPr/>
          <w:p>
            <w:pPr>
              <w:pStyle w:val="Compact"/>
            </w:pPr>
            <w:r>
              <w:rPr>
                <w:sz w:val="17"/>
              </w:rPr>
              <w:t xml:space="preserve">Apache Kafka (ou Redpanda)</w:t>
            </w:r>
          </w:p>
        </w:tc>
        <w:tc>
          <w:tcPr/>
          <w:p>
            <w:pPr>
              <w:pStyle w:val="Compact"/>
            </w:pPr>
            <w:r>
              <w:rPr>
                <w:sz w:val="17"/>
              </w:rPr>
              <w:t xml:space="preserve">RabbitMQ pour le socle initial</w:t>
            </w:r>
          </w:p>
        </w:tc>
      </w:tr>
      <w:tr>
        <w:tc>
          <w:tcPr>
            <w:shd w:val="clear" w:color="auto" w:fill="F5F7FB"/>
          </w:tcPr>
          <w:p>
            <w:pPr>
              <w:pStyle w:val="Compact"/>
            </w:pPr>
            <w:r>
              <w:rPr>
                <w:sz w:val="17"/>
              </w:rPr>
              <w:t xml:space="preserve">Entrepôt analytique</w:t>
            </w:r>
          </w:p>
        </w:tc>
        <w:tc>
          <w:tcPr>
            <w:shd w:val="clear" w:color="auto" w:fill="F5F7FB"/>
          </w:tcPr>
          <w:p>
            <w:pPr>
              <w:pStyle w:val="Compact"/>
            </w:pPr>
            <w:r>
              <w:rPr>
                <w:sz w:val="17"/>
              </w:rPr>
              <w:t xml:space="preserve">ClickHouse ou PostgreSQL analytique</w:t>
            </w:r>
          </w:p>
        </w:tc>
        <w:tc>
          <w:tcPr>
            <w:shd w:val="clear" w:color="auto" w:fill="F5F7FB"/>
          </w:tcPr>
          <w:p>
            <w:pPr>
              <w:pStyle w:val="Compact"/>
            </w:pPr>
            <w:r>
              <w:rPr>
                <w:sz w:val="17"/>
              </w:rPr>
              <w:t xml:space="preserve">DuckDB pour les exports</w:t>
            </w:r>
          </w:p>
        </w:tc>
      </w:tr>
      <w:tr>
        <w:tc>
          <w:tcPr/>
          <w:p>
            <w:pPr>
              <w:pStyle w:val="Compact"/>
            </w:pPr>
            <w:r>
              <w:rPr>
                <w:sz w:val="17"/>
              </w:rPr>
              <w:t xml:space="preserve">Stockage documentaire</w:t>
            </w:r>
          </w:p>
        </w:tc>
        <w:tc>
          <w:tcPr/>
          <w:p>
            <w:pPr>
              <w:pStyle w:val="Compact"/>
            </w:pPr>
            <w:r>
              <w:rPr>
                <w:sz w:val="17"/>
              </w:rPr>
              <w:t xml:space="preserve">Stockage objet compatible S3 (MinIO) avec verrouillage d’objet (WORM)</w:t>
            </w:r>
          </w:p>
        </w:tc>
        <w:tc>
          <w:tcPr/>
          <w:p>
            <w:pPr>
              <w:pStyle w:val="Compact"/>
            </w:pPr>
            <w:r>
              <w:rPr>
                <w:sz w:val="17"/>
              </w:rPr>
              <w:t xml:space="preserve">Ceph</w:t>
            </w:r>
          </w:p>
        </w:tc>
      </w:tr>
      <w:tr>
        <w:tc>
          <w:tcPr>
            <w:shd w:val="clear" w:color="auto" w:fill="F5F7FB"/>
          </w:tcPr>
          <w:p>
            <w:pPr>
              <w:pStyle w:val="Compact"/>
            </w:pPr>
            <w:r>
              <w:rPr>
                <w:sz w:val="17"/>
              </w:rPr>
              <w:t xml:space="preserve">Identité</w:t>
            </w:r>
          </w:p>
        </w:tc>
        <w:tc>
          <w:tcPr>
            <w:shd w:val="clear" w:color="auto" w:fill="F5F7FB"/>
          </w:tcPr>
          <w:p>
            <w:pPr>
              <w:pStyle w:val="Compact"/>
            </w:pPr>
            <w:r>
              <w:rPr>
                <w:sz w:val="17"/>
              </w:rPr>
              <w:t xml:space="preserve">Keycloak (OIDC, WebAuthn/passkeys)</w:t>
            </w:r>
          </w:p>
        </w:tc>
        <w:tc>
          <w:tcPr>
            <w:shd w:val="clear" w:color="auto" w:fill="F5F7FB"/>
          </w:tcPr>
          <w:p>
            <w:pPr>
              <w:pStyle w:val="Compact"/>
            </w:pPr>
            <w:r>
              <w:rPr>
                <w:sz w:val="17"/>
              </w:rPr>
              <w:t xml:space="preserve">—</w:t>
            </w:r>
          </w:p>
        </w:tc>
      </w:tr>
      <w:tr>
        <w:tc>
          <w:tcPr/>
          <w:p>
            <w:pPr>
              <w:pStyle w:val="Compact"/>
            </w:pPr>
            <w:r>
              <w:rPr>
                <w:sz w:val="17"/>
              </w:rPr>
              <w:t xml:space="preserve">Autorisation</w:t>
            </w:r>
          </w:p>
        </w:tc>
        <w:tc>
          <w:tcPr/>
          <w:p>
            <w:pPr>
              <w:pStyle w:val="Compact"/>
            </w:pPr>
            <w:r>
              <w:rPr>
                <w:sz w:val="17"/>
              </w:rPr>
              <w:t xml:space="preserve">Open Policy Agent (politiques RBAC + ABAC)</w:t>
            </w:r>
          </w:p>
        </w:tc>
        <w:tc>
          <w:tcPr/>
          <w:p>
            <w:pPr>
              <w:pStyle w:val="Compact"/>
            </w:pPr>
            <w:r>
              <w:rPr>
                <w:sz w:val="17"/>
              </w:rPr>
              <w:t xml:space="preserve">Cedar</w:t>
            </w:r>
          </w:p>
        </w:tc>
      </w:tr>
      <w:tr>
        <w:tc>
          <w:tcPr>
            <w:shd w:val="clear" w:color="auto" w:fill="F5F7FB"/>
          </w:tcPr>
          <w:p>
            <w:pPr>
              <w:pStyle w:val="Compact"/>
            </w:pPr>
            <w:r>
              <w:rPr>
                <w:sz w:val="17"/>
              </w:rPr>
              <w:t xml:space="preserve">Passerelle API</w:t>
            </w:r>
          </w:p>
        </w:tc>
        <w:tc>
          <w:tcPr>
            <w:shd w:val="clear" w:color="auto" w:fill="F5F7FB"/>
          </w:tcPr>
          <w:p>
            <w:pPr>
              <w:pStyle w:val="Compact"/>
            </w:pPr>
            <w:r>
              <w:rPr>
                <w:sz w:val="17"/>
              </w:rPr>
              <w:t xml:space="preserve">Kong ou APISIX</w:t>
            </w:r>
          </w:p>
        </w:tc>
        <w:tc>
          <w:tcPr>
            <w:shd w:val="clear" w:color="auto" w:fill="F5F7FB"/>
          </w:tcPr>
          <w:p>
            <w:pPr>
              <w:pStyle w:val="Compact"/>
            </w:pPr>
            <w:r>
              <w:rPr>
                <w:sz w:val="17"/>
              </w:rPr>
              <w:t xml:space="preserve">Envoy</w:t>
            </w:r>
          </w:p>
        </w:tc>
      </w:tr>
      <w:tr>
        <w:tc>
          <w:tcPr/>
          <w:p>
            <w:pPr>
              <w:pStyle w:val="Compact"/>
            </w:pPr>
            <w:r>
              <w:rPr>
                <w:sz w:val="17"/>
              </w:rPr>
              <w:t xml:space="preserve">Secrets et clés</w:t>
            </w:r>
          </w:p>
        </w:tc>
        <w:tc>
          <w:tcPr/>
          <w:p>
            <w:pPr>
              <w:pStyle w:val="Compact"/>
            </w:pPr>
            <w:r>
              <w:rPr>
                <w:sz w:val="17"/>
              </w:rPr>
              <w:t xml:space="preserve">HashiCorp Vault / OpenBao + HSM</w:t>
            </w:r>
          </w:p>
        </w:tc>
        <w:tc>
          <w:tcPr/>
          <w:p>
            <w:pPr>
              <w:pStyle w:val="Compact"/>
            </w:pPr>
            <w:r>
              <w:rPr>
                <w:sz w:val="17"/>
              </w:rPr>
              <w:t xml:space="preserve">—</w:t>
            </w:r>
          </w:p>
        </w:tc>
      </w:tr>
      <w:tr>
        <w:tc>
          <w:tcPr>
            <w:shd w:val="clear" w:color="auto" w:fill="F5F7FB"/>
          </w:tcPr>
          <w:p>
            <w:pPr>
              <w:pStyle w:val="Compact"/>
            </w:pPr>
            <w:r>
              <w:rPr>
                <w:sz w:val="17"/>
              </w:rPr>
              <w:t xml:space="preserve">Application terrain et citoyenne</w:t>
            </w:r>
          </w:p>
        </w:tc>
        <w:tc>
          <w:tcPr>
            <w:shd w:val="clear" w:color="auto" w:fill="F5F7FB"/>
          </w:tcPr>
          <w:p>
            <w:pPr>
              <w:pStyle w:val="Compact"/>
            </w:pPr>
            <w:r>
              <w:rPr>
                <w:sz w:val="17"/>
              </w:rPr>
              <w:t xml:space="preserve">Kotlin natif Android (Jetpack Compose), base locale chiffrée SQLCipher</w:t>
            </w:r>
          </w:p>
        </w:tc>
        <w:tc>
          <w:tcPr>
            <w:shd w:val="clear" w:color="auto" w:fill="F5F7FB"/>
          </w:tcPr>
          <w:p>
            <w:pPr>
              <w:pStyle w:val="Compact"/>
            </w:pPr>
            <w:r>
              <w:rPr>
                <w:sz w:val="17"/>
              </w:rPr>
              <w:t xml:space="preserve">Flutter</w:t>
            </w:r>
          </w:p>
        </w:tc>
      </w:tr>
      <w:tr>
        <w:tc>
          <w:tcPr/>
          <w:p>
            <w:pPr>
              <w:pStyle w:val="Compact"/>
            </w:pPr>
            <w:r>
              <w:rPr>
                <w:sz w:val="17"/>
              </w:rPr>
              <w:t xml:space="preserve">Web</w:t>
            </w:r>
          </w:p>
        </w:tc>
        <w:tc>
          <w:tcPr/>
          <w:p>
            <w:pPr>
              <w:pStyle w:val="Compact"/>
            </w:pPr>
            <w:r>
              <w:rPr>
                <w:sz w:val="17"/>
              </w:rPr>
              <w:t xml:space="preserve">TypeScript, React + Vite, conception accessible (WCAG 2.1 AA), charte de la Ville de Kinshasa (marine, liseré tricolore)</w:t>
            </w:r>
          </w:p>
        </w:tc>
        <w:tc>
          <w:tcPr/>
          <w:p>
            <w:pPr>
              <w:pStyle w:val="Compact"/>
            </w:pPr>
            <w:r>
              <w:rPr>
                <w:sz w:val="17"/>
              </w:rPr>
              <w:t xml:space="preserve">—</w:t>
            </w:r>
          </w:p>
        </w:tc>
      </w:tr>
      <w:tr>
        <w:tc>
          <w:tcPr>
            <w:shd w:val="clear" w:color="auto" w:fill="F5F7FB"/>
          </w:tcPr>
          <w:p>
            <w:pPr>
              <w:pStyle w:val="Compact"/>
            </w:pPr>
            <w:r>
              <w:rPr>
                <w:sz w:val="17"/>
              </w:rPr>
              <w:t xml:space="preserve">Cartographie</w:t>
            </w:r>
          </w:p>
        </w:tc>
        <w:tc>
          <w:tcPr>
            <w:shd w:val="clear" w:color="auto" w:fill="F5F7FB"/>
          </w:tcPr>
          <w:p>
            <w:pPr>
              <w:pStyle w:val="Compact"/>
            </w:pPr>
            <w:r>
              <w:rPr>
                <w:sz w:val="17"/>
              </w:rPr>
              <w:t xml:space="preserve">MapLibre, tuiles vectorielles, GeoServer</w:t>
            </w:r>
          </w:p>
        </w:tc>
        <w:tc>
          <w:tcPr>
            <w:shd w:val="clear" w:color="auto" w:fill="F5F7FB"/>
          </w:tcPr>
          <w:p>
            <w:pPr>
              <w:pStyle w:val="Compact"/>
            </w:pPr>
            <w:r>
              <w:rPr>
                <w:sz w:val="17"/>
              </w:rPr>
              <w:t xml:space="preserve">—</w:t>
            </w:r>
          </w:p>
        </w:tc>
      </w:tr>
      <w:tr>
        <w:tc>
          <w:tcPr/>
          <w:p>
            <w:pPr>
              <w:pStyle w:val="Compact"/>
            </w:pPr>
            <w:r>
              <w:rPr>
                <w:sz w:val="17"/>
              </w:rPr>
              <w:t xml:space="preserve">IA</w:t>
            </w:r>
          </w:p>
        </w:tc>
        <w:tc>
          <w:tcPr/>
          <w:p>
            <w:pPr>
              <w:pStyle w:val="Compact"/>
            </w:pPr>
            <w:r>
              <w:rPr>
                <w:sz w:val="17"/>
              </w:rPr>
              <w:t xml:space="preserve">Modèles ouverts hébergés sous contrôle (inférence locale) + passerelle</w:t>
            </w:r>
          </w:p>
        </w:tc>
        <w:tc>
          <w:tcPr/>
          <w:p>
            <w:pPr>
              <w:pStyle w:val="Compact"/>
            </w:pPr>
            <w:r>
              <w:rPr>
                <w:sz w:val="17"/>
              </w:rPr>
              <w:t xml:space="preserve">Fournisseur contractualisé sans conservation</w:t>
            </w:r>
          </w:p>
        </w:tc>
      </w:tr>
      <w:tr>
        <w:tc>
          <w:tcPr>
            <w:shd w:val="clear" w:color="auto" w:fill="F5F7FB"/>
          </w:tcPr>
          <w:p>
            <w:pPr>
              <w:pStyle w:val="Compact"/>
            </w:pPr>
            <w:r>
              <w:rPr>
                <w:sz w:val="17"/>
              </w:rPr>
              <w:t xml:space="preserve">Observabilité</w:t>
            </w:r>
          </w:p>
        </w:tc>
        <w:tc>
          <w:tcPr>
            <w:shd w:val="clear" w:color="auto" w:fill="F5F7FB"/>
          </w:tcPr>
          <w:p>
            <w:pPr>
              <w:pStyle w:val="Compact"/>
            </w:pPr>
            <w:r>
              <w:rPr>
                <w:sz w:val="17"/>
              </w:rPr>
              <w:t xml:space="preserve">OpenTelemetry, Prometheus, Grafana, Loki</w:t>
            </w:r>
          </w:p>
        </w:tc>
        <w:tc>
          <w:tcPr>
            <w:shd w:val="clear" w:color="auto" w:fill="F5F7FB"/>
          </w:tcPr>
          <w:p>
            <w:pPr>
              <w:pStyle w:val="Compact"/>
            </w:pPr>
            <w:r>
              <w:rPr>
                <w:sz w:val="17"/>
              </w:rPr>
              <w:t xml:space="preserve">—</w:t>
            </w:r>
          </w:p>
        </w:tc>
      </w:tr>
      <w:tr>
        <w:tc>
          <w:tcPr/>
          <w:p>
            <w:pPr>
              <w:pStyle w:val="Compact"/>
            </w:pPr>
            <w:r>
              <w:rPr>
                <w:sz w:val="17"/>
              </w:rPr>
              <w:t xml:space="preserve">SIEM</w:t>
            </w:r>
          </w:p>
        </w:tc>
        <w:tc>
          <w:tcPr/>
          <w:p>
            <w:pPr>
              <w:pStyle w:val="Compact"/>
            </w:pPr>
            <w:r>
              <w:rPr>
                <w:sz w:val="17"/>
              </w:rPr>
              <w:t xml:space="preserve">Wazuh / Elastic Security</w:t>
            </w:r>
          </w:p>
        </w:tc>
        <w:tc>
          <w:tcPr/>
          <w:p>
            <w:pPr>
              <w:pStyle w:val="Compact"/>
            </w:pPr>
            <w:r>
              <w:rPr>
                <w:sz w:val="17"/>
              </w:rPr>
              <w:t xml:space="preserve">—</w:t>
            </w:r>
          </w:p>
        </w:tc>
      </w:tr>
      <w:tr>
        <w:tc>
          <w:tcPr>
            <w:shd w:val="clear" w:color="auto" w:fill="F5F7FB"/>
          </w:tcPr>
          <w:p>
            <w:pPr>
              <w:pStyle w:val="Compact"/>
            </w:pPr>
            <w:r>
              <w:rPr>
                <w:sz w:val="17"/>
              </w:rPr>
              <w:t xml:space="preserve">Orchestration</w:t>
            </w:r>
          </w:p>
        </w:tc>
        <w:tc>
          <w:tcPr>
            <w:shd w:val="clear" w:color="auto" w:fill="F5F7FB"/>
          </w:tcPr>
          <w:p>
            <w:pPr>
              <w:pStyle w:val="Compact"/>
            </w:pPr>
            <w:r>
              <w:rPr>
                <w:sz w:val="17"/>
              </w:rPr>
              <w:t xml:space="preserve">Kubernetes (distribution standard)</w:t>
            </w:r>
          </w:p>
        </w:tc>
        <w:tc>
          <w:tcPr>
            <w:shd w:val="clear" w:color="auto" w:fill="F5F7FB"/>
          </w:tcPr>
          <w:p>
            <w:pPr>
              <w:pStyle w:val="Compact"/>
            </w:pPr>
            <w:r>
              <w:rPr>
                <w:sz w:val="17"/>
              </w:rPr>
              <w:t xml:space="preserve">Machines virtuelles au démarrage</w:t>
            </w:r>
          </w:p>
        </w:tc>
      </w:tr>
      <w:tr>
        <w:tc>
          <w:tcPr/>
          <w:p>
            <w:pPr>
              <w:pStyle w:val="Compact"/>
            </w:pPr>
            <w:r>
              <w:rPr>
                <w:sz w:val="17"/>
              </w:rPr>
              <w:t xml:space="preserve">CI/CD</w:t>
            </w:r>
          </w:p>
        </w:tc>
        <w:tc>
          <w:tcPr/>
          <w:p>
            <w:pPr>
              <w:pStyle w:val="Compact"/>
            </w:pPr>
            <w:r>
              <w:rPr>
                <w:sz w:val="17"/>
              </w:rPr>
              <w:t xml:space="preserve">GitLab CI ou équivalent auto-hébergé, artefacts signés (Sigstore), SBOM</w:t>
            </w:r>
          </w:p>
        </w:tc>
        <w:tc>
          <w:tcPr/>
          <w:p>
            <w:pPr>
              <w:pStyle w:val="Compact"/>
            </w:pPr>
            <w:r>
              <w:rPr>
                <w:sz w:val="17"/>
              </w:rPr>
              <w:t xml:space="preserve">—</w:t>
            </w:r>
          </w:p>
        </w:tc>
      </w:tr>
    </w:tbl>
    <w:p>
      <w:pPr>
        <w:pStyle w:val="BodyText"/>
      </w:pPr>
      <w:r>
        <w:rPr>
          <w:b/>
          <w:bCs/>
        </w:rPr>
        <w:t xml:space="preserve">Organisation du code : trois parties séparées.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Partie</w:t>
            </w:r>
          </w:p>
        </w:tc>
        <w:tc>
          <w:tcPr>
            <w:shd w:val="clear" w:color="auto" w:fill="232C6B"/>
          </w:tcPr>
          <w:p>
            <w:pPr>
              <w:pStyle w:val="Compact"/>
            </w:pPr>
            <w:r>
              <w:rPr>
                <w:b/>
                <w:color w:val="FFFFFF"/>
                <w:sz w:val="17"/>
              </w:rPr>
              <w:t xml:space="preserve">Rôle</w:t>
            </w:r>
          </w:p>
        </w:tc>
        <w:tc>
          <w:tcPr>
            <w:shd w:val="clear" w:color="auto" w:fill="232C6B"/>
          </w:tcPr>
          <w:p>
            <w:pPr>
              <w:pStyle w:val="Compact"/>
            </w:pPr>
            <w:r>
              <w:rPr>
                <w:b/>
                <w:color w:val="FFFFFF"/>
                <w:sz w:val="17"/>
              </w:rPr>
              <w:t xml:space="preserve">Dépend de</w:t>
            </w:r>
          </w:p>
        </w:tc>
      </w:tr>
      <w:tr>
        <w:tc>
          <w:tcPr/>
          <w:p>
            <w:pPr>
              <w:pStyle w:val="Compact"/>
            </w:pPr>
            <w:r>
              <w:rPr>
                <w:rStyle w:val="VerbatimChar"/>
                <w:sz w:val="17"/>
              </w:rPr>
              <w:t xml:space="preserve">shared/</w:t>
            </w:r>
          </w:p>
        </w:tc>
        <w:tc>
          <w:tcPr/>
          <w:p>
            <w:pPr>
              <w:pStyle w:val="Compact"/>
            </w:pPr>
            <w:r>
              <w:rPr>
                <w:sz w:val="17"/>
              </w:rPr>
              <w:t xml:space="preserve">Types du domaine, montants et devises (CDF principale, drapeaux), catalogue d’événements, langues et traductions, fiches de règles, états, validations, format de sortie IA</w:t>
            </w:r>
          </w:p>
        </w:tc>
        <w:tc>
          <w:tcPr/>
          <w:p>
            <w:pPr>
              <w:pStyle w:val="Compact"/>
            </w:pPr>
            <w:r>
              <w:rPr>
                <w:sz w:val="17"/>
              </w:rPr>
              <w:t xml:space="preserve">—</w:t>
            </w:r>
          </w:p>
        </w:tc>
      </w:tr>
      <w:tr>
        <w:tc>
          <w:tcPr>
            <w:shd w:val="clear" w:color="auto" w:fill="F5F7FB"/>
          </w:tcPr>
          <w:p>
            <w:pPr>
              <w:pStyle w:val="Compact"/>
            </w:pPr>
            <w:r>
              <w:rPr>
                <w:rStyle w:val="VerbatimChar"/>
                <w:sz w:val="17"/>
              </w:rPr>
              <w:t xml:space="preserve">backend/</w:t>
            </w:r>
          </w:p>
        </w:tc>
        <w:tc>
          <w:tcPr>
            <w:shd w:val="clear" w:color="auto" w:fill="F5F7FB"/>
          </w:tcPr>
          <w:p>
            <w:pPr>
              <w:pStyle w:val="Compact"/>
            </w:pPr>
            <w:r>
              <w:rPr>
                <w:sz w:val="17"/>
              </w:rPr>
              <w:t xml:space="preserve">API REST : identité, objets, registre juridique, liquidation, paiements, coffre, rapprochement, grand livre, quittances, audit chaîné, communications, autosauvegarde, IA</w:t>
            </w:r>
          </w:p>
        </w:tc>
        <w:tc>
          <w:tcPr>
            <w:shd w:val="clear" w:color="auto" w:fill="F5F7FB"/>
          </w:tcPr>
          <w:p>
            <w:pPr>
              <w:pStyle w:val="Compact"/>
            </w:pPr>
            <w:r>
              <w:rPr>
                <w:rStyle w:val="VerbatimChar"/>
                <w:sz w:val="17"/>
              </w:rPr>
              <w:t xml:space="preserve">shared</w:t>
            </w:r>
          </w:p>
        </w:tc>
      </w:tr>
      <w:tr>
        <w:tc>
          <w:tcPr/>
          <w:p>
            <w:pPr>
              <w:pStyle w:val="Compact"/>
            </w:pPr>
            <w:r>
              <w:rPr>
                <w:rStyle w:val="VerbatimChar"/>
                <w:sz w:val="17"/>
              </w:rPr>
              <w:t xml:space="preserve">frontend/</w:t>
            </w:r>
          </w:p>
        </w:tc>
        <w:tc>
          <w:tcPr/>
          <w:p>
            <w:pPr>
              <w:pStyle w:val="Compact"/>
            </w:pPr>
            <w:r>
              <w:rPr>
                <w:sz w:val="17"/>
              </w:rPr>
              <w:t xml:space="preserve">Portail contribuable, vérification publique de quittance, centre de commandement, console des communications, multilingue, graphiques en couleur</w:t>
            </w:r>
          </w:p>
        </w:tc>
        <w:tc>
          <w:tcPr/>
          <w:p>
            <w:pPr>
              <w:pStyle w:val="Compact"/>
            </w:pPr>
            <w:r>
              <w:rPr>
                <w:rStyle w:val="VerbatimChar"/>
                <w:sz w:val="17"/>
              </w:rPr>
              <w:t xml:space="preserve">shared</w:t>
            </w:r>
            <w:r>
              <w:rPr>
                <w:sz w:val="17"/>
              </w:rPr>
              <w:t xml:space="preserve"> </w:t>
            </w:r>
            <w:r>
              <w:rPr>
                <w:sz w:val="17"/>
              </w:rPr>
              <w:t xml:space="preserve">(types, i18n),</w:t>
            </w:r>
            <w:r>
              <w:rPr>
                <w:sz w:val="17"/>
              </w:rPr>
              <w:t xml:space="preserve"> </w:t>
            </w:r>
            <w:r>
              <w:rPr>
                <w:rStyle w:val="VerbatimChar"/>
                <w:sz w:val="17"/>
              </w:rPr>
              <w:t xml:space="preserve">backend</w:t>
            </w:r>
            <w:r>
              <w:rPr>
                <w:sz w:val="17"/>
              </w:rPr>
              <w:t xml:space="preserve"> </w:t>
            </w:r>
            <w:r>
              <w:rPr>
                <w:sz w:val="17"/>
              </w:rPr>
              <w:t xml:space="preserve">(par API uniquement)</w:t>
            </w:r>
          </w:p>
        </w:tc>
      </w:tr>
    </w:tbl>
    <w:p>
      <w:pPr>
        <w:pStyle w:val="BodyText"/>
      </w:pPr>
      <w:r>
        <w:t xml:space="preserve">Le</w:t>
      </w:r>
      <w:r>
        <w:t xml:space="preserve"> </w:t>
      </w:r>
      <w:r>
        <w:rPr>
          <w:rStyle w:val="VerbatimChar"/>
        </w:rPr>
        <w:t xml:space="preserve">frontend</w:t>
      </w:r>
      <w:r>
        <w:t xml:space="preserve"> </w:t>
      </w:r>
      <w:r>
        <w:t xml:space="preserve">n’importe jamais le code du</w:t>
      </w:r>
      <w:r>
        <w:t xml:space="preserve"> </w:t>
      </w:r>
      <w:r>
        <w:rPr>
          <w:rStyle w:val="VerbatimChar"/>
        </w:rPr>
        <w:t xml:space="preserve">backend</w:t>
      </w:r>
      <w:r>
        <w:t xml:space="preserve"> </w:t>
      </w:r>
      <w:r>
        <w:t xml:space="preserve">: il ne le connaît que par l’API. Le</w:t>
      </w:r>
      <w:r>
        <w:t xml:space="preserve"> </w:t>
      </w:r>
      <w:r>
        <w:rPr>
          <w:rStyle w:val="VerbatimChar"/>
        </w:rPr>
        <w:t xml:space="preserve">backend</w:t>
      </w:r>
      <w:r>
        <w:t xml:space="preserve"> </w:t>
      </w:r>
      <w:r>
        <w:t xml:space="preserve">n’importe jamais le</w:t>
      </w:r>
      <w:r>
        <w:t xml:space="preserve"> </w:t>
      </w:r>
      <w:r>
        <w:rPr>
          <w:rStyle w:val="VerbatimChar"/>
        </w:rPr>
        <w:t xml:space="preserve">frontend</w:t>
      </w:r>
      <w:r>
        <w:t xml:space="preserve">. Toute logique partagée (calcul monétaire, formats, catalogues) vit dans</w:t>
      </w:r>
      <w:r>
        <w:t xml:space="preserve"> </w:t>
      </w:r>
      <w:r>
        <w:rPr>
          <w:rStyle w:val="VerbatimChar"/>
        </w:rPr>
        <w:t xml:space="preserve">shared</w:t>
      </w:r>
      <w:r>
        <w:t xml:space="preserve">.</w:t>
      </w:r>
    </w:p>
    <w:bookmarkEnd w:id="278"/>
    <w:bookmarkStart w:id="282" w:name="diagramme-de-contexte-du-système"/>
    <w:p>
      <w:pPr>
        <w:pStyle w:val="Heading2"/>
      </w:pPr>
      <w:r>
        <w:t xml:space="preserve">28.3 Diagramme de contexte du système</w:t>
      </w:r>
    </w:p>
    <w:p>
      <w:pPr>
        <w:pStyle w:val="FirstParagraph"/>
      </w:pPr>
      <w:r>
        <w:drawing>
          <wp:inline>
            <wp:extent cx="6108700" cy="1527174"/>
            <wp:effectExtent b="0" l="0" r="0" t="0"/>
            <wp:docPr descr="" title="" id="280" name="Picture"/>
            <a:graphic>
              <a:graphicData uri="http://schemas.openxmlformats.org/drawingml/2006/picture">
                <pic:pic>
                  <pic:nvPicPr>
                    <pic:cNvPr descr="figures/mermaid/mmd-37f4e1037f97.png" id="281" name="Picture"/>
                    <pic:cNvPicPr>
                      <a:picLocks noChangeArrowheads="1" noChangeAspect="1"/>
                    </pic:cNvPicPr>
                  </pic:nvPicPr>
                  <pic:blipFill>
                    <a:blip r:embed="rId279"/>
                    <a:stretch>
                      <a:fillRect/>
                    </a:stretch>
                  </pic:blipFill>
                  <pic:spPr bwMode="auto">
                    <a:xfrm>
                      <a:off x="0" y="0"/>
                      <a:ext cx="6108700" cy="1527174"/>
                    </a:xfrm>
                    <a:prstGeom prst="rect">
                      <a:avLst/>
                    </a:prstGeom>
                    <a:noFill/>
                    <a:ln w="9525">
                      <a:noFill/>
                      <a:headEnd/>
                      <a:tailEnd/>
                    </a:ln>
                  </pic:spPr>
                </pic:pic>
              </a:graphicData>
            </a:graphic>
          </wp:inline>
        </w:drawing>
      </w:r>
    </w:p>
    <w:bookmarkEnd w:id="282"/>
    <w:bookmarkStart w:id="286" w:name="architecture-des-conteneurs"/>
    <w:p>
      <w:pPr>
        <w:pStyle w:val="Heading2"/>
      </w:pPr>
      <w:r>
        <w:t xml:space="preserve">28.4 Architecture des conteneurs</w:t>
      </w:r>
    </w:p>
    <w:p>
      <w:pPr>
        <w:pStyle w:val="FirstParagraph"/>
      </w:pPr>
      <w:r>
        <w:drawing>
          <wp:inline>
            <wp:extent cx="6108700" cy="5165903"/>
            <wp:effectExtent b="0" l="0" r="0" t="0"/>
            <wp:docPr descr="" title="" id="284" name="Picture"/>
            <a:graphic>
              <a:graphicData uri="http://schemas.openxmlformats.org/drawingml/2006/picture">
                <pic:pic>
                  <pic:nvPicPr>
                    <pic:cNvPr descr="figures/mermaid/mmd-318546d8a893.png" id="285" name="Picture"/>
                    <pic:cNvPicPr>
                      <a:picLocks noChangeArrowheads="1" noChangeAspect="1"/>
                    </pic:cNvPicPr>
                  </pic:nvPicPr>
                  <pic:blipFill>
                    <a:blip r:embed="rId283"/>
                    <a:stretch>
                      <a:fillRect/>
                    </a:stretch>
                  </pic:blipFill>
                  <pic:spPr bwMode="auto">
                    <a:xfrm>
                      <a:off x="0" y="0"/>
                      <a:ext cx="6108700" cy="5165903"/>
                    </a:xfrm>
                    <a:prstGeom prst="rect">
                      <a:avLst/>
                    </a:prstGeom>
                    <a:noFill/>
                    <a:ln w="9525">
                      <a:noFill/>
                      <a:headEnd/>
                      <a:tailEnd/>
                    </a:ln>
                  </pic:spPr>
                </pic:pic>
              </a:graphicData>
            </a:graphic>
          </wp:inline>
        </w:drawing>
      </w:r>
    </w:p>
    <w:bookmarkEnd w:id="286"/>
    <w:bookmarkStart w:id="290" w:name="Xc341fc3a85b01ce42dbaa9a751fe345bc290822"/>
    <w:p>
      <w:pPr>
        <w:pStyle w:val="Heading2"/>
      </w:pPr>
      <w:r>
        <w:t xml:space="preserve">28.5 Architecture des domaines et flux de données</w:t>
      </w:r>
    </w:p>
    <w:p>
      <w:pPr>
        <w:pStyle w:val="FirstParagraph"/>
      </w:pPr>
      <w:r>
        <w:drawing>
          <wp:inline>
            <wp:extent cx="6108700" cy="888254"/>
            <wp:effectExtent b="0" l="0" r="0" t="0"/>
            <wp:docPr descr="" title="" id="288" name="Picture"/>
            <a:graphic>
              <a:graphicData uri="http://schemas.openxmlformats.org/drawingml/2006/picture">
                <pic:pic>
                  <pic:nvPicPr>
                    <pic:cNvPr descr="figures/mermaid/mmd-df9a0806bdd0.png" id="289" name="Picture"/>
                    <pic:cNvPicPr>
                      <a:picLocks noChangeArrowheads="1" noChangeAspect="1"/>
                    </pic:cNvPicPr>
                  </pic:nvPicPr>
                  <pic:blipFill>
                    <a:blip r:embed="rId287"/>
                    <a:stretch>
                      <a:fillRect/>
                    </a:stretch>
                  </pic:blipFill>
                  <pic:spPr bwMode="auto">
                    <a:xfrm>
                      <a:off x="0" y="0"/>
                      <a:ext cx="6108700" cy="888254"/>
                    </a:xfrm>
                    <a:prstGeom prst="rect">
                      <a:avLst/>
                    </a:prstGeom>
                    <a:noFill/>
                    <a:ln w="9525">
                      <a:noFill/>
                      <a:headEnd/>
                      <a:tailEnd/>
                    </a:ln>
                  </pic:spPr>
                </pic:pic>
              </a:graphicData>
            </a:graphic>
          </wp:inline>
        </w:drawing>
      </w:r>
    </w:p>
    <w:bookmarkEnd w:id="290"/>
    <w:bookmarkStart w:id="294" w:name="séquence-de-synchronisation-terrain"/>
    <w:p>
      <w:pPr>
        <w:pStyle w:val="Heading2"/>
      </w:pPr>
      <w:r>
        <w:t xml:space="preserve">28.6 Séquence de synchronisation terrain</w:t>
      </w:r>
    </w:p>
    <w:p>
      <w:pPr>
        <w:pStyle w:val="FirstParagraph"/>
      </w:pPr>
      <w:r>
        <w:drawing>
          <wp:inline>
            <wp:extent cx="6108700" cy="2960849"/>
            <wp:effectExtent b="0" l="0" r="0" t="0"/>
            <wp:docPr descr="" title="" id="292" name="Picture"/>
            <a:graphic>
              <a:graphicData uri="http://schemas.openxmlformats.org/drawingml/2006/picture">
                <pic:pic>
                  <pic:nvPicPr>
                    <pic:cNvPr descr="figures/mermaid/mmd-6e06de1490cf.png" id="293" name="Picture"/>
                    <pic:cNvPicPr>
                      <a:picLocks noChangeArrowheads="1" noChangeAspect="1"/>
                    </pic:cNvPicPr>
                  </pic:nvPicPr>
                  <pic:blipFill>
                    <a:blip r:embed="rId291"/>
                    <a:stretch>
                      <a:fillRect/>
                    </a:stretch>
                  </pic:blipFill>
                  <pic:spPr bwMode="auto">
                    <a:xfrm>
                      <a:off x="0" y="0"/>
                      <a:ext cx="6108700" cy="2960849"/>
                    </a:xfrm>
                    <a:prstGeom prst="rect">
                      <a:avLst/>
                    </a:prstGeom>
                    <a:noFill/>
                    <a:ln w="9525">
                      <a:noFill/>
                      <a:headEnd/>
                      <a:tailEnd/>
                    </a:ln>
                  </pic:spPr>
                </pic:pic>
              </a:graphicData>
            </a:graphic>
          </wp:inline>
        </w:drawing>
      </w:r>
    </w:p>
    <w:p>
      <w:pPr>
        <w:pStyle w:val="BodyText"/>
      </w:pPr>
      <w:r>
        <w:rPr>
          <w:b/>
          <w:bCs/>
        </w:rPr>
        <w:t xml:space="preserve">Règles de résolution des conflits.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Cas</w:t>
            </w:r>
          </w:p>
        </w:tc>
        <w:tc>
          <w:tcPr>
            <w:shd w:val="clear" w:color="auto" w:fill="232C6B"/>
          </w:tcPr>
          <w:p>
            <w:pPr>
              <w:pStyle w:val="Compact"/>
            </w:pPr>
            <w:r>
              <w:rPr>
                <w:b/>
                <w:color w:val="FFFFFF"/>
                <w:sz w:val="17"/>
              </w:rPr>
              <w:t xml:space="preserve">Règle</w:t>
            </w:r>
          </w:p>
        </w:tc>
      </w:tr>
      <w:tr>
        <w:tc>
          <w:tcPr/>
          <w:p>
            <w:pPr>
              <w:pStyle w:val="Compact"/>
            </w:pPr>
            <w:r>
              <w:rPr>
                <w:sz w:val="17"/>
              </w:rPr>
              <w:t xml:space="preserve">Deux agents inspectent la même propriété</w:t>
            </w:r>
          </w:p>
        </w:tc>
        <w:tc>
          <w:tcPr/>
          <w:p>
            <w:pPr>
              <w:pStyle w:val="Compact"/>
            </w:pPr>
            <w:r>
              <w:rPr>
                <w:sz w:val="17"/>
              </w:rPr>
              <w:t xml:space="preserve">Les deux constats sont conservés ; si divergents sur un champ fiscal, arbitrage par le superviseur ; jamais de « dernier écrit gagne » sur un champ fiscal</w:t>
            </w:r>
          </w:p>
        </w:tc>
      </w:tr>
      <w:tr>
        <w:tc>
          <w:tcPr>
            <w:shd w:val="clear" w:color="auto" w:fill="F5F7FB"/>
          </w:tcPr>
          <w:p>
            <w:pPr>
              <w:pStyle w:val="Compact"/>
            </w:pPr>
            <w:r>
              <w:rPr>
                <w:sz w:val="17"/>
              </w:rPr>
              <w:t xml:space="preserve">Le contribuable a modifié ses données pendant que l’agent était hors ligne</w:t>
            </w:r>
          </w:p>
        </w:tc>
        <w:tc>
          <w:tcPr>
            <w:shd w:val="clear" w:color="auto" w:fill="F5F7FB"/>
          </w:tcPr>
          <w:p>
            <w:pPr>
              <w:pStyle w:val="Compact"/>
            </w:pPr>
            <w:r>
              <w:rPr>
                <w:sz w:val="17"/>
              </w:rPr>
              <w:t xml:space="preserve">La déclaration et le constat coexistent avec leur statut probant (déclaré / observé) ; l’écart est signalé</w:t>
            </w:r>
          </w:p>
        </w:tc>
      </w:tr>
      <w:tr>
        <w:tc>
          <w:tcPr/>
          <w:p>
            <w:pPr>
              <w:pStyle w:val="Compact"/>
            </w:pPr>
            <w:r>
              <w:rPr>
                <w:sz w:val="17"/>
              </w:rPr>
              <w:t xml:space="preserve">GPS imprécis</w:t>
            </w:r>
          </w:p>
        </w:tc>
        <w:tc>
          <w:tcPr/>
          <w:p>
            <w:pPr>
              <w:pStyle w:val="Compact"/>
            </w:pPr>
            <w:r>
              <w:rPr>
                <w:sz w:val="17"/>
              </w:rPr>
              <w:t xml:space="preserve">Constat accepté avec statut</w:t>
            </w:r>
            <w:r>
              <w:rPr>
                <w:sz w:val="17"/>
              </w:rPr>
              <w:t xml:space="preserve"> </w:t>
            </w:r>
            <w:r>
              <w:rPr>
                <w:rStyle w:val="VerbatimChar"/>
                <w:sz w:val="17"/>
              </w:rPr>
              <w:t xml:space="preserve">LOCALISATION_APPROXIMATIVE</w:t>
            </w:r>
            <w:r>
              <w:rPr>
                <w:sz w:val="17"/>
              </w:rPr>
              <w:t xml:space="preserve"> </w:t>
            </w:r>
            <w:r>
              <w:rPr>
                <w:sz w:val="17"/>
              </w:rPr>
              <w:t xml:space="preserve">; revue</w:t>
            </w:r>
          </w:p>
        </w:tc>
      </w:tr>
      <w:tr>
        <w:tc>
          <w:tcPr>
            <w:shd w:val="clear" w:color="auto" w:fill="F5F7FB"/>
          </w:tcPr>
          <w:p>
            <w:pPr>
              <w:pStyle w:val="Compact"/>
            </w:pPr>
            <w:r>
              <w:rPr>
                <w:sz w:val="17"/>
              </w:rPr>
              <w:t xml:space="preserve">Objets fusionnés entre-temps</w:t>
            </w:r>
          </w:p>
        </w:tc>
        <w:tc>
          <w:tcPr>
            <w:shd w:val="clear" w:color="auto" w:fill="F5F7FB"/>
          </w:tcPr>
          <w:p>
            <w:pPr>
              <w:pStyle w:val="Compact"/>
            </w:pPr>
            <w:r>
              <w:rPr>
                <w:sz w:val="17"/>
              </w:rPr>
              <w:t xml:space="preserve">Le constat est redirigé vers l’objet survivant via l’alias</w:t>
            </w:r>
          </w:p>
        </w:tc>
      </w:tr>
      <w:tr>
        <w:tc>
          <w:tcPr/>
          <w:p>
            <w:pPr>
              <w:pStyle w:val="Compact"/>
            </w:pPr>
            <w:r>
              <w:rPr>
                <w:sz w:val="17"/>
              </w:rPr>
              <w:t xml:space="preserve">Terminal perdu</w:t>
            </w:r>
          </w:p>
        </w:tc>
        <w:tc>
          <w:tcPr/>
          <w:p>
            <w:pPr>
              <w:pStyle w:val="Compact"/>
            </w:pPr>
            <w:r>
              <w:rPr>
                <w:sz w:val="17"/>
              </w:rPr>
              <w:t xml:space="preserve">Révocation du certificat, effacement à distance, données locales chiffrées et expirées ; les lots non synchronisés signés avant la déclaration de perte peuvent être acceptés après revue</w:t>
            </w:r>
          </w:p>
        </w:tc>
      </w:tr>
    </w:tbl>
    <w:bookmarkEnd w:id="294"/>
    <w:bookmarkStart w:id="298" w:name="flux-de-contrôle-daccès"/>
    <w:p>
      <w:pPr>
        <w:pStyle w:val="Heading2"/>
      </w:pPr>
      <w:r>
        <w:t xml:space="preserve">28.7 Flux de contrôle d’accès</w:t>
      </w:r>
    </w:p>
    <w:p>
      <w:pPr>
        <w:pStyle w:val="FirstParagraph"/>
      </w:pPr>
      <w:r>
        <w:drawing>
          <wp:inline>
            <wp:extent cx="6108700" cy="2205053"/>
            <wp:effectExtent b="0" l="0" r="0" t="0"/>
            <wp:docPr descr="" title="" id="296" name="Picture"/>
            <a:graphic>
              <a:graphicData uri="http://schemas.openxmlformats.org/drawingml/2006/picture">
                <pic:pic>
                  <pic:nvPicPr>
                    <pic:cNvPr descr="figures/mermaid/mmd-9e421e9c5c1c.png" id="297" name="Picture"/>
                    <pic:cNvPicPr>
                      <a:picLocks noChangeArrowheads="1" noChangeAspect="1"/>
                    </pic:cNvPicPr>
                  </pic:nvPicPr>
                  <pic:blipFill>
                    <a:blip r:embed="rId295"/>
                    <a:stretch>
                      <a:fillRect/>
                    </a:stretch>
                  </pic:blipFill>
                  <pic:spPr bwMode="auto">
                    <a:xfrm>
                      <a:off x="0" y="0"/>
                      <a:ext cx="6108700" cy="2205053"/>
                    </a:xfrm>
                    <a:prstGeom prst="rect">
                      <a:avLst/>
                    </a:prstGeom>
                    <a:noFill/>
                    <a:ln w="9525">
                      <a:noFill/>
                      <a:headEnd/>
                      <a:tailEnd/>
                    </a:ln>
                  </pic:spPr>
                </pic:pic>
              </a:graphicData>
            </a:graphic>
          </wp:inline>
        </w:drawing>
      </w:r>
    </w:p>
    <w:bookmarkEnd w:id="298"/>
    <w:bookmarkStart w:id="302" w:name="reprise-après-sinistre"/>
    <w:p>
      <w:pPr>
        <w:pStyle w:val="Heading2"/>
      </w:pPr>
      <w:r>
        <w:t xml:space="preserve">28.8 Reprise après sinistre</w:t>
      </w:r>
    </w:p>
    <w:p>
      <w:pPr>
        <w:pStyle w:val="FirstParagraph"/>
      </w:pPr>
      <w:r>
        <w:drawing>
          <wp:inline>
            <wp:extent cx="6108700" cy="4230898"/>
            <wp:effectExtent b="0" l="0" r="0" t="0"/>
            <wp:docPr descr="" title="" id="300" name="Picture"/>
            <a:graphic>
              <a:graphicData uri="http://schemas.openxmlformats.org/drawingml/2006/picture">
                <pic:pic>
                  <pic:nvPicPr>
                    <pic:cNvPr descr="figures/mermaid/mmd-ef50589352ea.png" id="301" name="Picture"/>
                    <pic:cNvPicPr>
                      <a:picLocks noChangeArrowheads="1" noChangeAspect="1"/>
                    </pic:cNvPicPr>
                  </pic:nvPicPr>
                  <pic:blipFill>
                    <a:blip r:embed="rId299"/>
                    <a:stretch>
                      <a:fillRect/>
                    </a:stretch>
                  </pic:blipFill>
                  <pic:spPr bwMode="auto">
                    <a:xfrm>
                      <a:off x="0" y="0"/>
                      <a:ext cx="6108700" cy="4230898"/>
                    </a:xfrm>
                    <a:prstGeom prst="rect">
                      <a:avLst/>
                    </a:prstGeom>
                    <a:noFill/>
                    <a:ln w="9525">
                      <a:noFill/>
                      <a:headEnd/>
                      <a:tailEnd/>
                    </a:ln>
                  </pic:spPr>
                </pic:pic>
              </a:graphicData>
            </a:graphic>
          </wp:inline>
        </w:drawing>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Indicateur</w:t>
            </w:r>
          </w:p>
        </w:tc>
        <w:tc>
          <w:tcPr>
            <w:shd w:val="clear" w:color="auto" w:fill="232C6B"/>
          </w:tcPr>
          <w:p>
            <w:pPr>
              <w:pStyle w:val="Compact"/>
            </w:pPr>
            <w:r>
              <w:rPr>
                <w:b/>
                <w:color w:val="FFFFFF"/>
                <w:sz w:val="17"/>
              </w:rPr>
              <w:t xml:space="preserve">Cible</w:t>
            </w:r>
          </w:p>
        </w:tc>
      </w:tr>
      <w:tr>
        <w:tc>
          <w:tcPr/>
          <w:p>
            <w:pPr>
              <w:pStyle w:val="Compact"/>
            </w:pPr>
            <w:r>
              <w:rPr>
                <w:sz w:val="17"/>
              </w:rPr>
              <w:t xml:space="preserve">Disponibilité des services contribuables</w:t>
            </w:r>
          </w:p>
        </w:tc>
        <w:tc>
          <w:tcPr/>
          <w:p>
            <w:pPr>
              <w:pStyle w:val="Compact"/>
            </w:pPr>
            <w:r>
              <w:rPr>
                <w:sz w:val="17"/>
              </w:rPr>
              <w:t xml:space="preserve">99,5 % (pilote), 99,9 % (généralisation)</w:t>
            </w:r>
          </w:p>
        </w:tc>
      </w:tr>
      <w:tr>
        <w:tc>
          <w:tcPr>
            <w:shd w:val="clear" w:color="auto" w:fill="F5F7FB"/>
          </w:tcPr>
          <w:p>
            <w:pPr>
              <w:pStyle w:val="Compact"/>
            </w:pPr>
            <w:r>
              <w:rPr>
                <w:sz w:val="17"/>
              </w:rPr>
              <w:t xml:space="preserve">RPO (perte de données maximale) — paiements et grand livre</w:t>
            </w:r>
          </w:p>
        </w:tc>
        <w:tc>
          <w:tcPr>
            <w:shd w:val="clear" w:color="auto" w:fill="F5F7FB"/>
          </w:tcPr>
          <w:p>
            <w:pPr>
              <w:pStyle w:val="Compact"/>
            </w:pPr>
            <w:r>
              <w:rPr>
                <w:sz w:val="17"/>
              </w:rPr>
              <w:t xml:space="preserve">0 (réplication synchrone)</w:t>
            </w:r>
          </w:p>
        </w:tc>
      </w:tr>
      <w:tr>
        <w:tc>
          <w:tcPr/>
          <w:p>
            <w:pPr>
              <w:pStyle w:val="Compact"/>
            </w:pPr>
            <w:r>
              <w:rPr>
                <w:sz w:val="17"/>
              </w:rPr>
              <w:t xml:space="preserve">RPO — autres données</w:t>
            </w:r>
          </w:p>
        </w:tc>
        <w:tc>
          <w:tcPr/>
          <w:p>
            <w:pPr>
              <w:pStyle w:val="Compact"/>
            </w:pPr>
            <w:r>
              <w:rPr>
                <w:sz w:val="17"/>
              </w:rPr>
              <w:t xml:space="preserve">≤ 15 minutes</w:t>
            </w:r>
          </w:p>
        </w:tc>
      </w:tr>
      <w:tr>
        <w:tc>
          <w:tcPr>
            <w:shd w:val="clear" w:color="auto" w:fill="F5F7FB"/>
          </w:tcPr>
          <w:p>
            <w:pPr>
              <w:pStyle w:val="Compact"/>
            </w:pPr>
            <w:r>
              <w:rPr>
                <w:sz w:val="17"/>
              </w:rPr>
              <w:t xml:space="preserve">RTO (délai de reprise)</w:t>
            </w:r>
          </w:p>
        </w:tc>
        <w:tc>
          <w:tcPr>
            <w:shd w:val="clear" w:color="auto" w:fill="F5F7FB"/>
          </w:tcPr>
          <w:p>
            <w:pPr>
              <w:pStyle w:val="Compact"/>
            </w:pPr>
            <w:r>
              <w:rPr>
                <w:sz w:val="17"/>
              </w:rPr>
              <w:t xml:space="preserve">≤ 4 heures (pilote), ≤ 1 heure (généralisation)</w:t>
            </w:r>
          </w:p>
        </w:tc>
      </w:tr>
      <w:tr>
        <w:tc>
          <w:tcPr/>
          <w:p>
            <w:pPr>
              <w:pStyle w:val="Compact"/>
            </w:pPr>
            <w:r>
              <w:rPr>
                <w:sz w:val="17"/>
              </w:rPr>
              <w:t xml:space="preserve">Test de restauration</w:t>
            </w:r>
          </w:p>
        </w:tc>
        <w:tc>
          <w:tcPr/>
          <w:p>
            <w:pPr>
              <w:pStyle w:val="Compact"/>
            </w:pPr>
            <w:r>
              <w:rPr>
                <w:sz w:val="17"/>
              </w:rPr>
              <w:t xml:space="preserve">Mensuel ; exercice de bascule complet semestriel</w:t>
            </w:r>
          </w:p>
        </w:tc>
      </w:tr>
      <w:tr>
        <w:tc>
          <w:tcPr>
            <w:shd w:val="clear" w:color="auto" w:fill="F5F7FB"/>
          </w:tcPr>
          <w:p>
            <w:pPr>
              <w:pStyle w:val="Compact"/>
            </w:pPr>
            <w:r>
              <w:rPr>
                <w:sz w:val="17"/>
              </w:rPr>
              <w:t xml:space="preserve">Mode dégradé</w:t>
            </w:r>
          </w:p>
        </w:tc>
        <w:tc>
          <w:tcPr>
            <w:shd w:val="clear" w:color="auto" w:fill="F5F7FB"/>
          </w:tcPr>
          <w:p>
            <w:pPr>
              <w:pStyle w:val="Compact"/>
            </w:pPr>
            <w:r>
              <w:rPr>
                <w:sz w:val="17"/>
              </w:rPr>
              <w:t xml:space="preserve">Guichets et agents en mode hors ligne ; références de paiement pré-émises ; protection automatique des échéances (</w:t>
            </w:r>
            <w:r>
              <w:rPr>
                <w:rStyle w:val="VerbatimChar"/>
                <w:sz w:val="17"/>
              </w:rPr>
              <w:t xml:space="preserve">system.deadline_protection</w:t>
            </w:r>
            <w:r>
              <w:rPr>
                <w:sz w:val="17"/>
              </w:rPr>
              <w:t xml:space="preserve">)</w:t>
            </w:r>
          </w:p>
        </w:tc>
      </w:tr>
    </w:tbl>
    <w:bookmarkEnd w:id="302"/>
    <w:bookmarkStart w:id="303" w:name="rapports-gouvernementaux"/>
    <w:p>
      <w:pPr>
        <w:pStyle w:val="Heading2"/>
      </w:pPr>
      <w:r>
        <w:t xml:space="preserve">28.9 Rapports gouvernementaux</w:t>
      </w:r>
    </w:p>
    <w:p>
      <w:pPr>
        <w:pStyle w:val="FirstParagraph"/>
      </w:pPr>
      <w:r>
        <w:t xml:space="preserve">Exports normalisés vers la comptabilité publique et le budget (format à convenir avec le Trésor), rapports périodiques signés pour le Gouverneur, l’Assemblée provinciale, la Cour des comptes et l’inspection, jeux de données ouverts agrégés (format CSV et API publique en lecture).</w:t>
      </w:r>
    </w:p>
    <w:bookmarkEnd w:id="303"/>
    <w:bookmarkEnd w:id="304"/>
    <w:bookmarkStart w:id="311" w:name="modèle-de-données-conceptuel"/>
    <w:p>
      <w:pPr>
        <w:pStyle w:val="Heading1"/>
      </w:pPr>
      <w:r>
        <w:t xml:space="preserve">29. Modèle de données conceptuel</w:t>
      </w:r>
    </w:p>
    <w:bookmarkStart w:id="305" w:name="attributs-communs-obligatoires"/>
    <w:p>
      <w:pPr>
        <w:pStyle w:val="Heading2"/>
      </w:pPr>
      <w:r>
        <w:t xml:space="preserve">29.1 Attributs communs obligatoires</w:t>
      </w:r>
    </w:p>
    <w:p>
      <w:pPr>
        <w:pStyle w:val="FirstParagraph"/>
      </w:pPr>
      <w:r>
        <w:t xml:space="preserve">Chaque entité porte :</w:t>
      </w:r>
      <w:r>
        <w:t xml:space="preserve"> </w:t>
      </w:r>
      <w:r>
        <w:rPr>
          <w:rStyle w:val="VerbatimChar"/>
        </w:rPr>
        <w:t xml:space="preserve">id</w:t>
      </w:r>
      <w:r>
        <w:t xml:space="preserve"> </w:t>
      </w:r>
      <w:r>
        <w:t xml:space="preserve">(UUID),</w:t>
      </w:r>
      <w:r>
        <w:t xml:space="preserve"> </w:t>
      </w:r>
      <w:r>
        <w:rPr>
          <w:rStyle w:val="VerbatimChar"/>
        </w:rPr>
        <w:t xml:space="preserve">entity_scope</w:t>
      </w:r>
      <w:r>
        <w:t xml:space="preserve"> </w:t>
      </w:r>
      <w:r>
        <w:t xml:space="preserve">(entité responsable),</w:t>
      </w:r>
      <w:r>
        <w:t xml:space="preserve"> </w:t>
      </w:r>
      <w:r>
        <w:rPr>
          <w:rStyle w:val="VerbatimChar"/>
        </w:rPr>
        <w:t xml:space="preserve">created_at</w:t>
      </w:r>
      <w:r>
        <w:t xml:space="preserve">,</w:t>
      </w:r>
      <w:r>
        <w:t xml:space="preserve"> </w:t>
      </w:r>
      <w:r>
        <w:rPr>
          <w:rStyle w:val="VerbatimChar"/>
        </w:rPr>
        <w:t xml:space="preserve">created_by</w:t>
      </w:r>
      <w:r>
        <w:t xml:space="preserve">,</w:t>
      </w:r>
      <w:r>
        <w:t xml:space="preserve"> </w:t>
      </w:r>
      <w:r>
        <w:rPr>
          <w:rStyle w:val="VerbatimChar"/>
        </w:rPr>
        <w:t xml:space="preserve">version</w:t>
      </w:r>
      <w:r>
        <w:t xml:space="preserve">,</w:t>
      </w:r>
      <w:r>
        <w:t xml:space="preserve"> </w:t>
      </w:r>
      <w:r>
        <w:rPr>
          <w:rStyle w:val="VerbatimChar"/>
        </w:rPr>
        <w:t xml:space="preserve">status</w:t>
      </w:r>
      <w:r>
        <w:t xml:space="preserve">,</w:t>
      </w:r>
      <w:r>
        <w:t xml:space="preserve"> </w:t>
      </w:r>
      <w:r>
        <w:rPr>
          <w:rStyle w:val="VerbatimChar"/>
        </w:rPr>
        <w:t xml:space="preserve">valid_from</w:t>
      </w:r>
      <w:r>
        <w:t xml:space="preserve"> </w:t>
      </w:r>
      <w:r>
        <w:t xml:space="preserve">/</w:t>
      </w:r>
      <w:r>
        <w:t xml:space="preserve"> </w:t>
      </w:r>
      <w:r>
        <w:rPr>
          <w:rStyle w:val="VerbatimChar"/>
        </w:rPr>
        <w:t xml:space="preserve">valid_to</w:t>
      </w:r>
      <w:r>
        <w:t xml:space="preserve"> </w:t>
      </w:r>
      <w:r>
        <w:t xml:space="preserve">lorsque temporel,</w:t>
      </w:r>
      <w:r>
        <w:t xml:space="preserve"> </w:t>
      </w:r>
      <w:r>
        <w:rPr>
          <w:rStyle w:val="VerbatimChar"/>
        </w:rPr>
        <w:t xml:space="preserve">source</w:t>
      </w:r>
      <w:r>
        <w:t xml:space="preserve"> </w:t>
      </w:r>
      <w:r>
        <w:t xml:space="preserve">(déclaré, observé, vérifié, partenaire, système),</w:t>
      </w:r>
      <w:r>
        <w:t xml:space="preserve"> </w:t>
      </w:r>
      <w:r>
        <w:rPr>
          <w:rStyle w:val="VerbatimChar"/>
        </w:rPr>
        <w:t xml:space="preserve">privacy_class</w:t>
      </w:r>
      <w:r>
        <w:t xml:space="preserve"> </w:t>
      </w:r>
      <w:r>
        <w:t xml:space="preserve">(C1–C5), et produit à chaque changement un événement d’audit (acteur, appareil, avant/après, motif, approbations, empreinte chaînée).</w:t>
      </w:r>
    </w:p>
    <w:bookmarkEnd w:id="305"/>
    <w:bookmarkStart w:id="309" w:name="diagramme-des-entités-principales"/>
    <w:p>
      <w:pPr>
        <w:pStyle w:val="Heading2"/>
      </w:pPr>
      <w:r>
        <w:t xml:space="preserve">29.2 Diagramme des entités principales</w:t>
      </w:r>
    </w:p>
    <w:p>
      <w:pPr>
        <w:pStyle w:val="FirstParagraph"/>
      </w:pPr>
      <w:r>
        <w:drawing>
          <wp:inline>
            <wp:extent cx="6108700" cy="1932343"/>
            <wp:effectExtent b="0" l="0" r="0" t="0"/>
            <wp:docPr descr="" title="" id="307" name="Picture"/>
            <a:graphic>
              <a:graphicData uri="http://schemas.openxmlformats.org/drawingml/2006/picture">
                <pic:pic>
                  <pic:nvPicPr>
                    <pic:cNvPr descr="figures/mermaid/mmd-e21817bcdfe2.png" id="308" name="Picture"/>
                    <pic:cNvPicPr>
                      <a:picLocks noChangeArrowheads="1" noChangeAspect="1"/>
                    </pic:cNvPicPr>
                  </pic:nvPicPr>
                  <pic:blipFill>
                    <a:blip r:embed="rId306"/>
                    <a:stretch>
                      <a:fillRect/>
                    </a:stretch>
                  </pic:blipFill>
                  <pic:spPr bwMode="auto">
                    <a:xfrm>
                      <a:off x="0" y="0"/>
                      <a:ext cx="6108700" cy="1932343"/>
                    </a:xfrm>
                    <a:prstGeom prst="rect">
                      <a:avLst/>
                    </a:prstGeom>
                    <a:noFill/>
                    <a:ln w="9525">
                      <a:noFill/>
                      <a:headEnd/>
                      <a:tailEnd/>
                    </a:ln>
                  </pic:spPr>
                </pic:pic>
              </a:graphicData>
            </a:graphic>
          </wp:inline>
        </w:drawing>
      </w:r>
    </w:p>
    <w:bookmarkEnd w:id="309"/>
    <w:bookmarkStart w:id="310" w:name="dictionnaire-des-entités"/>
    <w:p>
      <w:pPr>
        <w:pStyle w:val="Heading2"/>
      </w:pPr>
      <w:r>
        <w:t xml:space="preserve">29.3 Dictionnaire des entités</w:t>
      </w:r>
    </w:p>
    <w:p>
      <w:pPr>
        <w:pStyle w:val="FirstParagraph"/>
      </w:pPr>
      <w:r>
        <w:t xml:space="preserve">Classes de confidentialité :</w:t>
      </w:r>
      <w:r>
        <w:t xml:space="preserve"> </w:t>
      </w:r>
      <w:r>
        <w:rPr>
          <w:b/>
          <w:bCs/>
        </w:rPr>
        <w:t xml:space="preserve">C1</w:t>
      </w:r>
      <w:r>
        <w:t xml:space="preserve"> </w:t>
      </w:r>
      <w:r>
        <w:t xml:space="preserve">public ;</w:t>
      </w:r>
      <w:r>
        <w:t xml:space="preserve"> </w:t>
      </w:r>
      <w:r>
        <w:rPr>
          <w:b/>
          <w:bCs/>
        </w:rPr>
        <w:t xml:space="preserve">C2</w:t>
      </w:r>
      <w:r>
        <w:t xml:space="preserve"> </w:t>
      </w:r>
      <w:r>
        <w:t xml:space="preserve">interne ;</w:t>
      </w:r>
      <w:r>
        <w:t xml:space="preserve"> </w:t>
      </w:r>
      <w:r>
        <w:rPr>
          <w:b/>
          <w:bCs/>
        </w:rPr>
        <w:t xml:space="preserve">C3</w:t>
      </w:r>
      <w:r>
        <w:t xml:space="preserve"> </w:t>
      </w:r>
      <w:r>
        <w:t xml:space="preserve">personnel ;</w:t>
      </w:r>
      <w:r>
        <w:t xml:space="preserve"> </w:t>
      </w:r>
      <w:r>
        <w:rPr>
          <w:b/>
          <w:bCs/>
        </w:rPr>
        <w:t xml:space="preserve">C4</w:t>
      </w:r>
      <w:r>
        <w:t xml:space="preserve"> </w:t>
      </w:r>
      <w:r>
        <w:t xml:space="preserve">personnel sensible / secret fiscal ;</w:t>
      </w:r>
      <w:r>
        <w:t xml:space="preserve"> </w:t>
      </w:r>
      <w:r>
        <w:rPr>
          <w:b/>
          <w:bCs/>
        </w:rPr>
        <w:t xml:space="preserve">C5</w:t>
      </w:r>
      <w:r>
        <w:t xml:space="preserve"> </w:t>
      </w:r>
      <w:r>
        <w:t xml:space="preserve">secret (clés, preuves d’enquête). Durées de conservation :</w:t>
      </w:r>
      <w:r>
        <w:t xml:space="preserve"> </w:t>
      </w:r>
      <w:r>
        <w:rPr>
          <w:b/>
          <w:bCs/>
        </w:rPr>
        <w:t xml:space="preserve">valeurs de conception</w:t>
      </w:r>
      <w:r>
        <w:t xml:space="preserve"> </w:t>
      </w:r>
      <w:r>
        <w:t xml:space="preserve">à valider au regard des textes sur la prescription et les archives publiques (J4, J8).</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shd w:val="clear" w:color="auto" w:fill="232C6B"/>
          </w:tcPr>
          <w:p>
            <w:pPr>
              <w:pStyle w:val="Compact"/>
            </w:pPr>
            <w:r>
              <w:rPr>
                <w:b/>
                <w:color w:val="FFFFFF"/>
                <w:sz w:val="17"/>
              </w:rPr>
              <w:t xml:space="preserve">Entité</w:t>
            </w:r>
          </w:p>
        </w:tc>
        <w:tc>
          <w:tcPr>
            <w:shd w:val="clear" w:color="auto" w:fill="232C6B"/>
          </w:tcPr>
          <w:p>
            <w:pPr>
              <w:pStyle w:val="Compact"/>
            </w:pPr>
            <w:r>
              <w:rPr>
                <w:b/>
                <w:color w:val="FFFFFF"/>
                <w:sz w:val="17"/>
              </w:rPr>
              <w:t xml:space="preserve">Finalité</w:t>
            </w:r>
          </w:p>
        </w:tc>
        <w:tc>
          <w:tcPr>
            <w:shd w:val="clear" w:color="auto" w:fill="232C6B"/>
          </w:tcPr>
          <w:p>
            <w:pPr>
              <w:pStyle w:val="Compact"/>
            </w:pPr>
            <w:r>
              <w:rPr>
                <w:b/>
                <w:color w:val="FFFFFF"/>
                <w:sz w:val="17"/>
              </w:rPr>
              <w:t xml:space="preserve">Champs importants</w:t>
            </w:r>
          </w:p>
        </w:tc>
        <w:tc>
          <w:tcPr>
            <w:shd w:val="clear" w:color="auto" w:fill="232C6B"/>
          </w:tcPr>
          <w:p>
            <w:pPr>
              <w:pStyle w:val="Compact"/>
            </w:pPr>
            <w:r>
              <w:rPr>
                <w:b/>
                <w:color w:val="FFFFFF"/>
                <w:sz w:val="17"/>
              </w:rPr>
              <w:t xml:space="preserve">Relations</w:t>
            </w:r>
          </w:p>
        </w:tc>
        <w:tc>
          <w:tcPr>
            <w:shd w:val="clear" w:color="auto" w:fill="232C6B"/>
          </w:tcPr>
          <w:p>
            <w:pPr>
              <w:pStyle w:val="Compact"/>
            </w:pPr>
            <w:r>
              <w:rPr>
                <w:b/>
                <w:color w:val="FFFFFF"/>
                <w:sz w:val="17"/>
              </w:rPr>
              <w:t xml:space="preserve">Validation</w:t>
            </w:r>
          </w:p>
        </w:tc>
        <w:tc>
          <w:tcPr>
            <w:shd w:val="clear" w:color="auto" w:fill="232C6B"/>
          </w:tcPr>
          <w:p>
            <w:pPr>
              <w:pStyle w:val="Compact"/>
            </w:pPr>
            <w:r>
              <w:rPr>
                <w:b/>
                <w:color w:val="FFFFFF"/>
                <w:sz w:val="17"/>
              </w:rPr>
              <w:t xml:space="preserve">Cycle de vie</w:t>
            </w:r>
          </w:p>
        </w:tc>
        <w:tc>
          <w:tcPr>
            <w:shd w:val="clear" w:color="auto" w:fill="232C6B"/>
          </w:tcPr>
          <w:p>
            <w:pPr>
              <w:pStyle w:val="Compact"/>
            </w:pPr>
            <w:r>
              <w:rPr>
                <w:b/>
                <w:color w:val="FFFFFF"/>
                <w:sz w:val="17"/>
              </w:rPr>
              <w:t xml:space="preserve">Audit</w:t>
            </w:r>
          </w:p>
        </w:tc>
        <w:tc>
          <w:tcPr>
            <w:shd w:val="clear" w:color="auto" w:fill="232C6B"/>
          </w:tcPr>
          <w:p>
            <w:pPr>
              <w:pStyle w:val="Compact"/>
            </w:pPr>
            <w:r>
              <w:rPr>
                <w:b/>
                <w:color w:val="FFFFFF"/>
                <w:sz w:val="17"/>
              </w:rPr>
              <w:t xml:space="preserve">Conservation</w:t>
            </w:r>
          </w:p>
        </w:tc>
        <w:tc>
          <w:tcPr>
            <w:shd w:val="clear" w:color="auto" w:fill="232C6B"/>
          </w:tcPr>
          <w:p>
            <w:pPr>
              <w:pStyle w:val="Compact"/>
            </w:pPr>
            <w:r>
              <w:rPr>
                <w:b/>
                <w:color w:val="FFFFFF"/>
                <w:sz w:val="17"/>
              </w:rPr>
              <w:t xml:space="preserve">Classe</w:t>
            </w:r>
          </w:p>
        </w:tc>
      </w:tr>
      <w:tr>
        <w:tc>
          <w:tcPr/>
          <w:p>
            <w:pPr>
              <w:pStyle w:val="Compact"/>
            </w:pPr>
            <w:r>
              <w:rPr>
                <w:b/>
                <w:bCs/>
                <w:sz w:val="17"/>
              </w:rPr>
              <w:t xml:space="preserve">User</w:t>
            </w:r>
          </w:p>
        </w:tc>
        <w:tc>
          <w:tcPr/>
          <w:p>
            <w:pPr>
              <w:pStyle w:val="Compact"/>
            </w:pPr>
            <w:r>
              <w:rPr>
                <w:sz w:val="17"/>
              </w:rPr>
              <w:t xml:space="preserve">Compte d’accès</w:t>
            </w:r>
          </w:p>
        </w:tc>
        <w:tc>
          <w:tcPr/>
          <w:p>
            <w:pPr>
              <w:pStyle w:val="Compact"/>
            </w:pPr>
            <w:r>
              <w:rPr>
                <w:sz w:val="17"/>
              </w:rPr>
              <w:t xml:space="preserve">login, auth_methods, entity, status, last_login</w:t>
            </w:r>
          </w:p>
        </w:tc>
        <w:tc>
          <w:tcPr/>
          <w:p>
            <w:pPr>
              <w:pStyle w:val="Compact"/>
            </w:pPr>
            <w:r>
              <w:rPr>
                <w:sz w:val="17"/>
              </w:rPr>
              <w:t xml:space="preserve">Taxpayer, UserRole, Device</w:t>
            </w:r>
          </w:p>
        </w:tc>
        <w:tc>
          <w:tcPr/>
          <w:p>
            <w:pPr>
              <w:pStyle w:val="Compact"/>
            </w:pPr>
            <w:r>
              <w:rPr>
                <w:sz w:val="17"/>
              </w:rPr>
              <w:t xml:space="preserve">Unicité ; MFA pour comptes de travail</w:t>
            </w:r>
          </w:p>
        </w:tc>
        <w:tc>
          <w:tcPr/>
          <w:p>
            <w:pPr>
              <w:pStyle w:val="Compact"/>
            </w:pPr>
            <w:r>
              <w:rPr>
                <w:sz w:val="17"/>
              </w:rPr>
              <w:t xml:space="preserve">INVITÉ→ACTIF→SUSPENDU→DÉSACTIVÉ</w:t>
            </w:r>
          </w:p>
        </w:tc>
        <w:tc>
          <w:tcPr/>
          <w:p>
            <w:pPr>
              <w:pStyle w:val="Compact"/>
            </w:pPr>
            <w:r>
              <w:rPr>
                <w:sz w:val="17"/>
              </w:rPr>
              <w:t xml:space="preserve">Toutes connexions et changements</w:t>
            </w:r>
          </w:p>
        </w:tc>
        <w:tc>
          <w:tcPr/>
          <w:p>
            <w:pPr>
              <w:pStyle w:val="Compact"/>
            </w:pPr>
            <w:r>
              <w:rPr>
                <w:sz w:val="17"/>
              </w:rPr>
              <w:t xml:space="preserve">Fin de fonction + 10 ans</w:t>
            </w:r>
          </w:p>
        </w:tc>
        <w:tc>
          <w:tcPr/>
          <w:p>
            <w:pPr>
              <w:pStyle w:val="Compact"/>
            </w:pPr>
            <w:r>
              <w:rPr>
                <w:sz w:val="17"/>
              </w:rPr>
              <w:t xml:space="preserve">C3</w:t>
            </w:r>
          </w:p>
        </w:tc>
      </w:tr>
      <w:tr>
        <w:tc>
          <w:tcPr>
            <w:shd w:val="clear" w:color="auto" w:fill="F5F7FB"/>
          </w:tcPr>
          <w:p>
            <w:pPr>
              <w:pStyle w:val="Compact"/>
            </w:pPr>
            <w:r>
              <w:rPr>
                <w:b/>
                <w:bCs/>
                <w:sz w:val="17"/>
              </w:rPr>
              <w:t xml:space="preserve">Taxpayer</w:t>
            </w:r>
          </w:p>
        </w:tc>
        <w:tc>
          <w:tcPr>
            <w:shd w:val="clear" w:color="auto" w:fill="F5F7FB"/>
          </w:tcPr>
          <w:p>
            <w:pPr>
              <w:pStyle w:val="Compact"/>
            </w:pPr>
            <w:r>
              <w:rPr>
                <w:sz w:val="17"/>
              </w:rPr>
              <w:t xml:space="preserve">Compte fiscal unique</w:t>
            </w:r>
          </w:p>
        </w:tc>
        <w:tc>
          <w:tcPr>
            <w:shd w:val="clear" w:color="auto" w:fill="F5F7FB"/>
          </w:tcPr>
          <w:p>
            <w:pPr>
              <w:pStyle w:val="Compact"/>
            </w:pPr>
            <w:r>
              <w:rPr>
                <w:sz w:val="17"/>
              </w:rPr>
              <w:t xml:space="preserve">iuc, type (PP/PM), nif, legal_name, verification_level, language, preferred_currency_display</w:t>
            </w:r>
          </w:p>
        </w:tc>
        <w:tc>
          <w:tcPr>
            <w:shd w:val="clear" w:color="auto" w:fill="F5F7FB"/>
          </w:tcPr>
          <w:p>
            <w:pPr>
              <w:pStyle w:val="Compact"/>
            </w:pPr>
            <w:r>
              <w:rPr>
                <w:sz w:val="17"/>
              </w:rPr>
              <w:t xml:space="preserve">Identity, Address, ObjectRelation, Obligation</w:t>
            </w:r>
          </w:p>
        </w:tc>
        <w:tc>
          <w:tcPr>
            <w:shd w:val="clear" w:color="auto" w:fill="F5F7FB"/>
          </w:tcPr>
          <w:p>
            <w:pPr>
              <w:pStyle w:val="Compact"/>
            </w:pPr>
            <w:r>
              <w:rPr>
                <w:sz w:val="17"/>
              </w:rPr>
              <w:t xml:space="preserve">Clés fortes uniques ; anti-doublon</w:t>
            </w:r>
          </w:p>
        </w:tc>
        <w:tc>
          <w:tcPr>
            <w:shd w:val="clear" w:color="auto" w:fill="F5F7FB"/>
          </w:tcPr>
          <w:p>
            <w:pPr>
              <w:pStyle w:val="Compact"/>
            </w:pPr>
            <w:r>
              <w:rPr>
                <w:sz w:val="17"/>
              </w:rPr>
              <w:t xml:space="preserve">PROVISOIRE→ACTIF→SUSPENDU→CLÔTURÉ→ARCHIVÉ</w:t>
            </w:r>
          </w:p>
        </w:tc>
        <w:tc>
          <w:tcPr>
            <w:shd w:val="clear" w:color="auto" w:fill="F5F7FB"/>
          </w:tcPr>
          <w:p>
            <w:pPr>
              <w:pStyle w:val="Compact"/>
            </w:pPr>
            <w:r>
              <w:rPr>
                <w:sz w:val="17"/>
              </w:rPr>
              <w:t xml:space="preserve">Changements d’identité</w:t>
            </w:r>
          </w:p>
        </w:tc>
        <w:tc>
          <w:tcPr>
            <w:shd w:val="clear" w:color="auto" w:fill="F5F7FB"/>
          </w:tcPr>
          <w:p>
            <w:pPr>
              <w:pStyle w:val="Compact"/>
            </w:pPr>
            <w:r>
              <w:rPr>
                <w:sz w:val="17"/>
              </w:rPr>
              <w:t xml:space="preserve">Clôture + prescription + 10 ans</w:t>
            </w:r>
          </w:p>
        </w:tc>
        <w:tc>
          <w:tcPr>
            <w:shd w:val="clear" w:color="auto" w:fill="F5F7FB"/>
          </w:tcPr>
          <w:p>
            <w:pPr>
              <w:pStyle w:val="Compact"/>
            </w:pPr>
            <w:r>
              <w:rPr>
                <w:sz w:val="17"/>
              </w:rPr>
              <w:t xml:space="preserve">C4</w:t>
            </w:r>
          </w:p>
        </w:tc>
      </w:tr>
      <w:tr>
        <w:tc>
          <w:tcPr/>
          <w:p>
            <w:pPr>
              <w:pStyle w:val="Compact"/>
            </w:pPr>
            <w:r>
              <w:rPr>
                <w:b/>
                <w:bCs/>
                <w:sz w:val="17"/>
              </w:rPr>
              <w:t xml:space="preserve">Identity</w:t>
            </w:r>
          </w:p>
        </w:tc>
        <w:tc>
          <w:tcPr/>
          <w:p>
            <w:pPr>
              <w:pStyle w:val="Compact"/>
            </w:pPr>
            <w:r>
              <w:rPr>
                <w:sz w:val="17"/>
              </w:rPr>
              <w:t xml:space="preserve">Preuve d’identité</w:t>
            </w:r>
          </w:p>
        </w:tc>
        <w:tc>
          <w:tcPr/>
          <w:p>
            <w:pPr>
              <w:pStyle w:val="Compact"/>
            </w:pPr>
            <w:r>
              <w:rPr>
                <w:sz w:val="17"/>
              </w:rPr>
              <w:t xml:space="preserve">doc_type, doc_number (haché + chiffré), issuer, expiry, image_ref, verified_by</w:t>
            </w:r>
          </w:p>
        </w:tc>
        <w:tc>
          <w:tcPr/>
          <w:p>
            <w:pPr>
              <w:pStyle w:val="Compact"/>
            </w:pPr>
            <w:r>
              <w:rPr>
                <w:sz w:val="17"/>
              </w:rPr>
              <w:t xml:space="preserve">Taxpayer</w:t>
            </w:r>
          </w:p>
        </w:tc>
        <w:tc>
          <w:tcPr/>
          <w:p>
            <w:pPr>
              <w:pStyle w:val="Compact"/>
            </w:pPr>
            <w:r>
              <w:rPr>
                <w:sz w:val="17"/>
              </w:rPr>
              <w:t xml:space="preserve">Format par type ; expiration</w:t>
            </w:r>
          </w:p>
        </w:tc>
        <w:tc>
          <w:tcPr/>
          <w:p>
            <w:pPr>
              <w:pStyle w:val="Compact"/>
            </w:pPr>
            <w:r>
              <w:rPr>
                <w:sz w:val="17"/>
              </w:rPr>
              <w:t xml:space="preserve">SOUMISE→VÉRIFIÉE / REJETÉE / EXPIRÉE</w:t>
            </w:r>
          </w:p>
        </w:tc>
        <w:tc>
          <w:tcPr/>
          <w:p>
            <w:pPr>
              <w:pStyle w:val="Compact"/>
            </w:pPr>
            <w:r>
              <w:rPr>
                <w:sz w:val="17"/>
              </w:rPr>
              <w:t xml:space="preserve">Consultation journalisée</w:t>
            </w:r>
          </w:p>
        </w:tc>
        <w:tc>
          <w:tcPr/>
          <w:p>
            <w:pPr>
              <w:pStyle w:val="Compact"/>
            </w:pPr>
            <w:r>
              <w:rPr>
                <w:sz w:val="17"/>
              </w:rPr>
              <w:t xml:space="preserve">Durée du compte</w:t>
            </w:r>
          </w:p>
        </w:tc>
        <w:tc>
          <w:tcPr/>
          <w:p>
            <w:pPr>
              <w:pStyle w:val="Compact"/>
            </w:pPr>
            <w:r>
              <w:rPr>
                <w:sz w:val="17"/>
              </w:rPr>
              <w:t xml:space="preserve">C4</w:t>
            </w:r>
          </w:p>
        </w:tc>
      </w:tr>
      <w:tr>
        <w:tc>
          <w:tcPr>
            <w:shd w:val="clear" w:color="auto" w:fill="F5F7FB"/>
          </w:tcPr>
          <w:p>
            <w:pPr>
              <w:pStyle w:val="Compact"/>
            </w:pPr>
            <w:r>
              <w:rPr>
                <w:b/>
                <w:bCs/>
                <w:sz w:val="17"/>
              </w:rPr>
              <w:t xml:space="preserve">Organisation</w:t>
            </w:r>
          </w:p>
        </w:tc>
        <w:tc>
          <w:tcPr>
            <w:shd w:val="clear" w:color="auto" w:fill="F5F7FB"/>
          </w:tcPr>
          <w:p>
            <w:pPr>
              <w:pStyle w:val="Compact"/>
            </w:pPr>
            <w:r>
              <w:rPr>
                <w:sz w:val="17"/>
              </w:rPr>
              <w:t xml:space="preserve">Personne morale</w:t>
            </w:r>
          </w:p>
        </w:tc>
        <w:tc>
          <w:tcPr>
            <w:shd w:val="clear" w:color="auto" w:fill="F5F7FB"/>
          </w:tcPr>
          <w:p>
            <w:pPr>
              <w:pStyle w:val="Compact"/>
            </w:pPr>
            <w:r>
              <w:rPr>
                <w:sz w:val="17"/>
              </w:rPr>
              <w:t xml:space="preserve">rccm, nif, legal_form, representatives[]</w:t>
            </w:r>
          </w:p>
        </w:tc>
        <w:tc>
          <w:tcPr>
            <w:shd w:val="clear" w:color="auto" w:fill="F5F7FB"/>
          </w:tcPr>
          <w:p>
            <w:pPr>
              <w:pStyle w:val="Compact"/>
            </w:pPr>
            <w:r>
              <w:rPr>
                <w:sz w:val="17"/>
              </w:rPr>
              <w:t xml:space="preserve">Taxpayer, Delegation</w:t>
            </w:r>
          </w:p>
        </w:tc>
        <w:tc>
          <w:tcPr>
            <w:shd w:val="clear" w:color="auto" w:fill="F5F7FB"/>
          </w:tcPr>
          <w:p>
            <w:pPr>
              <w:pStyle w:val="Compact"/>
            </w:pPr>
            <w:r>
              <w:rPr>
                <w:sz w:val="17"/>
              </w:rPr>
              <w:t xml:space="preserve">RCCM/NIF</w:t>
            </w:r>
          </w:p>
        </w:tc>
        <w:tc>
          <w:tcPr>
            <w:shd w:val="clear" w:color="auto" w:fill="F5F7FB"/>
          </w:tcPr>
          <w:p>
            <w:pPr>
              <w:pStyle w:val="Compact"/>
            </w:pPr>
            <w:r>
              <w:rPr>
                <w:sz w:val="17"/>
              </w:rPr>
              <w:t xml:space="preserve">ACTIVE→DISSOUTE</w:t>
            </w:r>
          </w:p>
        </w:tc>
        <w:tc>
          <w:tcPr>
            <w:shd w:val="clear" w:color="auto" w:fill="F5F7FB"/>
          </w:tcPr>
          <w:p>
            <w:pPr>
              <w:pStyle w:val="Compact"/>
            </w:pPr>
            <w:r>
              <w:rPr>
                <w:sz w:val="17"/>
              </w:rPr>
              <w:t xml:space="preserve">Oui</w:t>
            </w:r>
          </w:p>
        </w:tc>
        <w:tc>
          <w:tcPr>
            <w:shd w:val="clear" w:color="auto" w:fill="F5F7FB"/>
          </w:tcPr>
          <w:p>
            <w:pPr>
              <w:pStyle w:val="Compact"/>
            </w:pPr>
            <w:r>
              <w:rPr>
                <w:sz w:val="17"/>
              </w:rPr>
              <w:t xml:space="preserve">Dissolution + 10 ans</w:t>
            </w:r>
          </w:p>
        </w:tc>
        <w:tc>
          <w:tcPr>
            <w:shd w:val="clear" w:color="auto" w:fill="F5F7FB"/>
          </w:tcPr>
          <w:p>
            <w:pPr>
              <w:pStyle w:val="Compact"/>
            </w:pPr>
            <w:r>
              <w:rPr>
                <w:sz w:val="17"/>
              </w:rPr>
              <w:t xml:space="preserve">C3</w:t>
            </w:r>
          </w:p>
        </w:tc>
      </w:tr>
      <w:tr>
        <w:tc>
          <w:tcPr/>
          <w:p>
            <w:pPr>
              <w:pStyle w:val="Compact"/>
            </w:pPr>
            <w:r>
              <w:rPr>
                <w:b/>
                <w:bCs/>
                <w:sz w:val="17"/>
              </w:rPr>
              <w:t xml:space="preserve">Address</w:t>
            </w:r>
          </w:p>
        </w:tc>
        <w:tc>
          <w:tcPr/>
          <w:p>
            <w:pPr>
              <w:pStyle w:val="Compact"/>
            </w:pPr>
            <w:r>
              <w:rPr>
                <w:sz w:val="17"/>
              </w:rPr>
              <w:t xml:space="preserve">Adresse</w:t>
            </w:r>
          </w:p>
        </w:tc>
        <w:tc>
          <w:tcPr/>
          <w:p>
            <w:pPr>
              <w:pStyle w:val="Compact"/>
            </w:pPr>
            <w:r>
              <w:rPr>
                <w:sz w:val="17"/>
              </w:rPr>
              <w:t xml:space="preserve">commune, quartier, avenue, street, plot_ref, description, verification_status</w:t>
            </w:r>
          </w:p>
        </w:tc>
        <w:tc>
          <w:tcPr/>
          <w:p>
            <w:pPr>
              <w:pStyle w:val="Compact"/>
            </w:pPr>
            <w:r>
              <w:rPr>
                <w:sz w:val="17"/>
              </w:rPr>
              <w:t xml:space="preserve">Geolocation</w:t>
            </w:r>
          </w:p>
        </w:tc>
        <w:tc>
          <w:tcPr/>
          <w:p>
            <w:pPr>
              <w:pStyle w:val="Compact"/>
            </w:pPr>
            <w:r>
              <w:rPr>
                <w:sz w:val="17"/>
              </w:rPr>
              <w:t xml:space="preserve">Référentiel territorial</w:t>
            </w:r>
          </w:p>
        </w:tc>
        <w:tc>
          <w:tcPr/>
          <w:p>
            <w:pPr>
              <w:pStyle w:val="Compact"/>
            </w:pPr>
            <w:r>
              <w:rPr>
                <w:sz w:val="17"/>
              </w:rPr>
              <w:t xml:space="preserve">DÉCLARÉE→VÉRIFIÉE</w:t>
            </w:r>
          </w:p>
        </w:tc>
        <w:tc>
          <w:tcPr/>
          <w:p>
            <w:pPr>
              <w:pStyle w:val="Compact"/>
            </w:pPr>
            <w:r>
              <w:rPr>
                <w:sz w:val="17"/>
              </w:rPr>
              <w:t xml:space="preserve">Oui</w:t>
            </w:r>
          </w:p>
        </w:tc>
        <w:tc>
          <w:tcPr/>
          <w:p>
            <w:pPr>
              <w:pStyle w:val="Compact"/>
            </w:pPr>
            <w:r>
              <w:rPr>
                <w:sz w:val="17"/>
              </w:rPr>
              <w:t xml:space="preserve">Historisée</w:t>
            </w:r>
          </w:p>
        </w:tc>
        <w:tc>
          <w:tcPr/>
          <w:p>
            <w:pPr>
              <w:pStyle w:val="Compact"/>
            </w:pPr>
            <w:r>
              <w:rPr>
                <w:sz w:val="17"/>
              </w:rPr>
              <w:t xml:space="preserve">C3</w:t>
            </w:r>
          </w:p>
        </w:tc>
      </w:tr>
      <w:tr>
        <w:tc>
          <w:tcPr>
            <w:shd w:val="clear" w:color="auto" w:fill="F5F7FB"/>
          </w:tcPr>
          <w:p>
            <w:pPr>
              <w:pStyle w:val="Compact"/>
            </w:pPr>
            <w:r>
              <w:rPr>
                <w:b/>
                <w:bCs/>
                <w:sz w:val="17"/>
              </w:rPr>
              <w:t xml:space="preserve">Geolocation</w:t>
            </w:r>
          </w:p>
        </w:tc>
        <w:tc>
          <w:tcPr>
            <w:shd w:val="clear" w:color="auto" w:fill="F5F7FB"/>
          </w:tcPr>
          <w:p>
            <w:pPr>
              <w:pStyle w:val="Compact"/>
            </w:pPr>
            <w:r>
              <w:rPr>
                <w:sz w:val="17"/>
              </w:rPr>
              <w:t xml:space="preserve">Position</w:t>
            </w:r>
          </w:p>
        </w:tc>
        <w:tc>
          <w:tcPr>
            <w:shd w:val="clear" w:color="auto" w:fill="F5F7FB"/>
          </w:tcPr>
          <w:p>
            <w:pPr>
              <w:pStyle w:val="Compact"/>
            </w:pPr>
            <w:r>
              <w:rPr>
                <w:sz w:val="17"/>
              </w:rPr>
              <w:t xml:space="preserve">geometry, accuracy_m, capture_method, captured_at, device_id</w:t>
            </w:r>
          </w:p>
        </w:tc>
        <w:tc>
          <w:tcPr>
            <w:shd w:val="clear" w:color="auto" w:fill="F5F7FB"/>
          </w:tcPr>
          <w:p>
            <w:pPr>
              <w:pStyle w:val="Compact"/>
            </w:pPr>
            <w:r>
              <w:rPr>
                <w:sz w:val="17"/>
              </w:rPr>
              <w:t xml:space="preserve">FiscalObject, Address</w:t>
            </w:r>
          </w:p>
        </w:tc>
        <w:tc>
          <w:tcPr>
            <w:shd w:val="clear" w:color="auto" w:fill="F5F7FB"/>
          </w:tcPr>
          <w:p>
            <w:pPr>
              <w:pStyle w:val="Compact"/>
            </w:pPr>
            <w:r>
              <w:rPr>
                <w:sz w:val="17"/>
              </w:rPr>
              <w:t xml:space="preserve">Plausibilité</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Capture scellée</w:t>
            </w:r>
          </w:p>
        </w:tc>
        <w:tc>
          <w:tcPr>
            <w:shd w:val="clear" w:color="auto" w:fill="F5F7FB"/>
          </w:tcPr>
          <w:p>
            <w:pPr>
              <w:pStyle w:val="Compact"/>
            </w:pPr>
            <w:r>
              <w:rPr>
                <w:sz w:val="17"/>
              </w:rPr>
              <w:t xml:space="preserve">Avec l’objet</w:t>
            </w:r>
          </w:p>
        </w:tc>
        <w:tc>
          <w:tcPr>
            <w:shd w:val="clear" w:color="auto" w:fill="F5F7FB"/>
          </w:tcPr>
          <w:p>
            <w:pPr>
              <w:pStyle w:val="Compact"/>
            </w:pPr>
            <w:r>
              <w:rPr>
                <w:sz w:val="17"/>
              </w:rPr>
              <w:t xml:space="preserve">C3</w:t>
            </w:r>
          </w:p>
        </w:tc>
      </w:tr>
      <w:tr>
        <w:tc>
          <w:tcPr/>
          <w:p>
            <w:pPr>
              <w:pStyle w:val="Compact"/>
            </w:pPr>
            <w:r>
              <w:rPr>
                <w:b/>
                <w:bCs/>
                <w:sz w:val="17"/>
              </w:rPr>
              <w:t xml:space="preserve">FiscalObject</w:t>
            </w:r>
          </w:p>
        </w:tc>
        <w:tc>
          <w:tcPr/>
          <w:p>
            <w:pPr>
              <w:pStyle w:val="Compact"/>
            </w:pPr>
            <w:r>
              <w:rPr>
                <w:sz w:val="17"/>
              </w:rPr>
              <w:t xml:space="preserve">Objet générateur</w:t>
            </w:r>
          </w:p>
        </w:tc>
        <w:tc>
          <w:tcPr/>
          <w:p>
            <w:pPr>
              <w:pStyle w:val="Compact"/>
            </w:pPr>
            <w:r>
              <w:rPr>
                <w:sz w:val="17"/>
              </w:rPr>
              <w:t xml:space="preserve">igf_uuid, territorial_code, category, status, probative_status</w:t>
            </w:r>
          </w:p>
        </w:tc>
        <w:tc>
          <w:tcPr/>
          <w:p>
            <w:pPr>
              <w:pStyle w:val="Compact"/>
            </w:pPr>
            <w:r>
              <w:rPr>
                <w:sz w:val="17"/>
              </w:rPr>
              <w:t xml:space="preserve">Relations, Obligations</w:t>
            </w:r>
          </w:p>
        </w:tc>
        <w:tc>
          <w:tcPr/>
          <w:p>
            <w:pPr>
              <w:pStyle w:val="Compact"/>
            </w:pPr>
            <w:r>
              <w:rPr>
                <w:sz w:val="17"/>
              </w:rPr>
              <w:t xml:space="preserve">Catégorie du référentiel</w:t>
            </w:r>
          </w:p>
        </w:tc>
        <w:tc>
          <w:tcPr/>
          <w:p>
            <w:pPr>
              <w:pStyle w:val="Compact"/>
            </w:pPr>
            <w:r>
              <w:rPr>
                <w:sz w:val="17"/>
              </w:rPr>
              <w:t xml:space="preserve">PROVISOIRE→VÉRIFIÉ→INACTIF→ARCHIVÉ</w:t>
            </w:r>
          </w:p>
        </w:tc>
        <w:tc>
          <w:tcPr/>
          <w:p>
            <w:pPr>
              <w:pStyle w:val="Compact"/>
            </w:pPr>
            <w:r>
              <w:rPr>
                <w:sz w:val="17"/>
              </w:rPr>
              <w:t xml:space="preserve">Oui</w:t>
            </w:r>
          </w:p>
        </w:tc>
        <w:tc>
          <w:tcPr/>
          <w:p>
            <w:pPr>
              <w:pStyle w:val="Compact"/>
            </w:pPr>
            <w:r>
              <w:rPr>
                <w:sz w:val="17"/>
              </w:rPr>
              <w:t xml:space="preserve">Permanent (archive)</w:t>
            </w:r>
          </w:p>
        </w:tc>
        <w:tc>
          <w:tcPr/>
          <w:p>
            <w:pPr>
              <w:pStyle w:val="Compact"/>
            </w:pPr>
            <w:r>
              <w:rPr>
                <w:sz w:val="17"/>
              </w:rPr>
              <w:t xml:space="preserve">C3</w:t>
            </w:r>
          </w:p>
        </w:tc>
      </w:tr>
      <w:tr>
        <w:tc>
          <w:tcPr>
            <w:shd w:val="clear" w:color="auto" w:fill="F5F7FB"/>
          </w:tcPr>
          <w:p>
            <w:pPr>
              <w:pStyle w:val="Compact"/>
            </w:pPr>
            <w:r>
              <w:rPr>
                <w:b/>
                <w:bCs/>
                <w:sz w:val="17"/>
              </w:rPr>
              <w:t xml:space="preserve">Property</w:t>
            </w:r>
          </w:p>
        </w:tc>
        <w:tc>
          <w:tcPr>
            <w:shd w:val="clear" w:color="auto" w:fill="F5F7FB"/>
          </w:tcPr>
          <w:p>
            <w:pPr>
              <w:pStyle w:val="Compact"/>
            </w:pPr>
            <w:r>
              <w:rPr>
                <w:sz w:val="17"/>
              </w:rPr>
              <w:t xml:space="preserve">Parcelle</w:t>
            </w:r>
          </w:p>
        </w:tc>
        <w:tc>
          <w:tcPr>
            <w:shd w:val="clear" w:color="auto" w:fill="F5F7FB"/>
          </w:tcPr>
          <w:p>
            <w:pPr>
              <w:pStyle w:val="Compact"/>
            </w:pPr>
            <w:r>
              <w:rPr>
                <w:sz w:val="17"/>
              </w:rPr>
              <w:t xml:space="preserve">area_declared, area_measured, locality_rank, built, land_status_declared</w:t>
            </w:r>
          </w:p>
        </w:tc>
        <w:tc>
          <w:tcPr>
            <w:shd w:val="clear" w:color="auto" w:fill="F5F7FB"/>
          </w:tcPr>
          <w:p>
            <w:pPr>
              <w:pStyle w:val="Compact"/>
            </w:pPr>
            <w:r>
              <w:rPr>
                <w:sz w:val="17"/>
              </w:rPr>
              <w:t xml:space="preserve">Building</w:t>
            </w:r>
          </w:p>
        </w:tc>
        <w:tc>
          <w:tcPr>
            <w:shd w:val="clear" w:color="auto" w:fill="F5F7FB"/>
          </w:tcPr>
          <w:p>
            <w:pPr>
              <w:pStyle w:val="Compact"/>
            </w:pPr>
            <w:r>
              <w:rPr>
                <w:sz w:val="17"/>
              </w:rPr>
              <w:t xml:space="preserve">Superficie &gt; 0</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Oui</w:t>
            </w:r>
          </w:p>
        </w:tc>
        <w:tc>
          <w:tcPr>
            <w:shd w:val="clear" w:color="auto" w:fill="F5F7FB"/>
          </w:tcPr>
          <w:p>
            <w:pPr>
              <w:pStyle w:val="Compact"/>
            </w:pPr>
            <w:r>
              <w:rPr>
                <w:sz w:val="17"/>
              </w:rPr>
              <w:t xml:space="preserve">Permanent</w:t>
            </w:r>
          </w:p>
        </w:tc>
        <w:tc>
          <w:tcPr>
            <w:shd w:val="clear" w:color="auto" w:fill="F5F7FB"/>
          </w:tcPr>
          <w:p>
            <w:pPr>
              <w:pStyle w:val="Compact"/>
            </w:pPr>
            <w:r>
              <w:rPr>
                <w:sz w:val="17"/>
              </w:rPr>
              <w:t xml:space="preserve">C3</w:t>
            </w:r>
          </w:p>
        </w:tc>
      </w:tr>
      <w:tr>
        <w:tc>
          <w:tcPr/>
          <w:p>
            <w:pPr>
              <w:pStyle w:val="Compact"/>
            </w:pPr>
            <w:r>
              <w:rPr>
                <w:b/>
                <w:bCs/>
                <w:sz w:val="17"/>
              </w:rPr>
              <w:t xml:space="preserve">Building</w:t>
            </w:r>
          </w:p>
        </w:tc>
        <w:tc>
          <w:tcPr/>
          <w:p>
            <w:pPr>
              <w:pStyle w:val="Compact"/>
            </w:pPr>
            <w:r>
              <w:rPr>
                <w:sz w:val="17"/>
              </w:rPr>
              <w:t xml:space="preserve">Bâtiment</w:t>
            </w:r>
          </w:p>
        </w:tc>
        <w:tc>
          <w:tcPr/>
          <w:p>
            <w:pPr>
              <w:pStyle w:val="Compact"/>
            </w:pPr>
            <w:r>
              <w:rPr>
                <w:sz w:val="17"/>
              </w:rPr>
              <w:t xml:space="preserve">floors, use, footprint, year_est, photos</w:t>
            </w:r>
          </w:p>
        </w:tc>
        <w:tc>
          <w:tcPr/>
          <w:p>
            <w:pPr>
              <w:pStyle w:val="Compact"/>
            </w:pPr>
            <w:r>
              <w:rPr>
                <w:sz w:val="17"/>
              </w:rPr>
              <w:t xml:space="preserve">RentalUnit</w:t>
            </w:r>
          </w:p>
        </w:tc>
        <w:tc>
          <w:tcPr/>
          <w:p>
            <w:pPr>
              <w:pStyle w:val="Compact"/>
            </w:pPr>
            <w:r>
              <w:rPr>
                <w:sz w:val="17"/>
              </w:rPr>
              <w:t xml:space="preserve">—</w:t>
            </w:r>
          </w:p>
        </w:tc>
        <w:tc>
          <w:tcPr/>
          <w:p>
            <w:pPr>
              <w:pStyle w:val="Compact"/>
            </w:pPr>
            <w:r>
              <w:rPr>
                <w:sz w:val="17"/>
              </w:rPr>
              <w:t xml:space="preserve">—</w:t>
            </w:r>
          </w:p>
        </w:tc>
        <w:tc>
          <w:tcPr/>
          <w:p>
            <w:pPr>
              <w:pStyle w:val="Compact"/>
            </w:pPr>
            <w:r>
              <w:rPr>
                <w:sz w:val="17"/>
              </w:rPr>
              <w:t xml:space="preserve">Oui</w:t>
            </w:r>
          </w:p>
        </w:tc>
        <w:tc>
          <w:tcPr/>
          <w:p>
            <w:pPr>
              <w:pStyle w:val="Compact"/>
            </w:pPr>
            <w:r>
              <w:rPr>
                <w:sz w:val="17"/>
              </w:rPr>
              <w:t xml:space="preserve">Permanent</w:t>
            </w:r>
          </w:p>
        </w:tc>
        <w:tc>
          <w:tcPr/>
          <w:p>
            <w:pPr>
              <w:pStyle w:val="Compact"/>
            </w:pPr>
            <w:r>
              <w:rPr>
                <w:sz w:val="17"/>
              </w:rPr>
              <w:t xml:space="preserve">C2</w:t>
            </w:r>
          </w:p>
        </w:tc>
      </w:tr>
      <w:tr>
        <w:tc>
          <w:tcPr>
            <w:shd w:val="clear" w:color="auto" w:fill="F5F7FB"/>
          </w:tcPr>
          <w:p>
            <w:pPr>
              <w:pStyle w:val="Compact"/>
            </w:pPr>
            <w:r>
              <w:rPr>
                <w:b/>
                <w:bCs/>
                <w:sz w:val="17"/>
              </w:rPr>
              <w:t xml:space="preserve">RentalUnit</w:t>
            </w:r>
          </w:p>
        </w:tc>
        <w:tc>
          <w:tcPr>
            <w:shd w:val="clear" w:color="auto" w:fill="F5F7FB"/>
          </w:tcPr>
          <w:p>
            <w:pPr>
              <w:pStyle w:val="Compact"/>
            </w:pPr>
            <w:r>
              <w:rPr>
                <w:sz w:val="17"/>
              </w:rPr>
              <w:t xml:space="preserve">Unité</w:t>
            </w:r>
          </w:p>
        </w:tc>
        <w:tc>
          <w:tcPr>
            <w:shd w:val="clear" w:color="auto" w:fill="F5F7FB"/>
          </w:tcPr>
          <w:p>
            <w:pPr>
              <w:pStyle w:val="Compact"/>
            </w:pPr>
            <w:r>
              <w:rPr>
                <w:sz w:val="17"/>
              </w:rPr>
              <w:t xml:space="preserve">type, area, use, occupancy_status</w:t>
            </w:r>
          </w:p>
        </w:tc>
        <w:tc>
          <w:tcPr>
            <w:shd w:val="clear" w:color="auto" w:fill="F5F7FB"/>
          </w:tcPr>
          <w:p>
            <w:pPr>
              <w:pStyle w:val="Compact"/>
            </w:pPr>
            <w:r>
              <w:rPr>
                <w:sz w:val="17"/>
              </w:rPr>
              <w:t xml:space="preserve">Lease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VACANTE / OCCUPÉE</w:t>
            </w:r>
          </w:p>
        </w:tc>
        <w:tc>
          <w:tcPr>
            <w:shd w:val="clear" w:color="auto" w:fill="F5F7FB"/>
          </w:tcPr>
          <w:p>
            <w:pPr>
              <w:pStyle w:val="Compact"/>
            </w:pPr>
            <w:r>
              <w:rPr>
                <w:sz w:val="17"/>
              </w:rPr>
              <w:t xml:space="preserve">Oui</w:t>
            </w:r>
          </w:p>
        </w:tc>
        <w:tc>
          <w:tcPr>
            <w:shd w:val="clear" w:color="auto" w:fill="F5F7FB"/>
          </w:tcPr>
          <w:p>
            <w:pPr>
              <w:pStyle w:val="Compact"/>
            </w:pPr>
            <w:r>
              <w:rPr>
                <w:sz w:val="17"/>
              </w:rPr>
              <w:t xml:space="preserve">Permanent</w:t>
            </w:r>
          </w:p>
        </w:tc>
        <w:tc>
          <w:tcPr>
            <w:shd w:val="clear" w:color="auto" w:fill="F5F7FB"/>
          </w:tcPr>
          <w:p>
            <w:pPr>
              <w:pStyle w:val="Compact"/>
            </w:pPr>
            <w:r>
              <w:rPr>
                <w:sz w:val="17"/>
              </w:rPr>
              <w:t xml:space="preserve">C3</w:t>
            </w:r>
          </w:p>
        </w:tc>
      </w:tr>
      <w:tr>
        <w:tc>
          <w:tcPr/>
          <w:p>
            <w:pPr>
              <w:pStyle w:val="Compact"/>
            </w:pPr>
            <w:r>
              <w:rPr>
                <w:b/>
                <w:bCs/>
                <w:sz w:val="17"/>
              </w:rPr>
              <w:t xml:space="preserve">Lease</w:t>
            </w:r>
          </w:p>
        </w:tc>
        <w:tc>
          <w:tcPr/>
          <w:p>
            <w:pPr>
              <w:pStyle w:val="Compact"/>
            </w:pPr>
            <w:r>
              <w:rPr>
                <w:sz w:val="17"/>
              </w:rPr>
              <w:t xml:space="preserve">Bail</w:t>
            </w:r>
          </w:p>
        </w:tc>
        <w:tc>
          <w:tcPr/>
          <w:p>
            <w:pPr>
              <w:pStyle w:val="Compact"/>
            </w:pPr>
            <w:r>
              <w:rPr>
                <w:sz w:val="17"/>
              </w:rPr>
              <w:t xml:space="preserve">lessor, lessee, rent (Money), periodicity, start, end, evidence, source</w:t>
            </w:r>
          </w:p>
        </w:tc>
        <w:tc>
          <w:tcPr/>
          <w:p>
            <w:pPr>
              <w:pStyle w:val="Compact"/>
            </w:pPr>
            <w:r>
              <w:rPr>
                <w:sz w:val="17"/>
              </w:rPr>
              <w:t xml:space="preserve">RentalUnit, Obligation</w:t>
            </w:r>
          </w:p>
        </w:tc>
        <w:tc>
          <w:tcPr/>
          <w:p>
            <w:pPr>
              <w:pStyle w:val="Compact"/>
            </w:pPr>
            <w:r>
              <w:rPr>
                <w:sz w:val="17"/>
              </w:rPr>
              <w:t xml:space="preserve">Loyer &gt; 0 ; dates cohérentes</w:t>
            </w:r>
          </w:p>
        </w:tc>
        <w:tc>
          <w:tcPr/>
          <w:p>
            <w:pPr>
              <w:pStyle w:val="Compact"/>
            </w:pPr>
            <w:r>
              <w:rPr>
                <w:sz w:val="17"/>
              </w:rPr>
              <w:t xml:space="preserve">DÉCLARÉ→VÉRIFIÉ→TERMINÉ / CONTESTÉ</w:t>
            </w:r>
          </w:p>
        </w:tc>
        <w:tc>
          <w:tcPr/>
          <w:p>
            <w:pPr>
              <w:pStyle w:val="Compact"/>
            </w:pPr>
            <w:r>
              <w:rPr>
                <w:sz w:val="17"/>
              </w:rPr>
              <w:t xml:space="preserve">Oui</w:t>
            </w:r>
          </w:p>
        </w:tc>
        <w:tc>
          <w:tcPr/>
          <w:p>
            <w:pPr>
              <w:pStyle w:val="Compact"/>
            </w:pPr>
            <w:r>
              <w:rPr>
                <w:sz w:val="17"/>
              </w:rPr>
              <w:t xml:space="preserve">Fin + prescription + 5 ans</w:t>
            </w:r>
          </w:p>
        </w:tc>
        <w:tc>
          <w:tcPr/>
          <w:p>
            <w:pPr>
              <w:pStyle w:val="Compact"/>
            </w:pPr>
            <w:r>
              <w:rPr>
                <w:sz w:val="17"/>
              </w:rPr>
              <w:t xml:space="preserve">C4</w:t>
            </w:r>
          </w:p>
        </w:tc>
      </w:tr>
      <w:tr>
        <w:tc>
          <w:tcPr>
            <w:shd w:val="clear" w:color="auto" w:fill="F5F7FB"/>
          </w:tcPr>
          <w:p>
            <w:pPr>
              <w:pStyle w:val="Compact"/>
            </w:pPr>
            <w:r>
              <w:rPr>
                <w:b/>
                <w:bCs/>
                <w:sz w:val="17"/>
              </w:rPr>
              <w:t xml:space="preserve">Business</w:t>
            </w:r>
          </w:p>
        </w:tc>
        <w:tc>
          <w:tcPr>
            <w:shd w:val="clear" w:color="auto" w:fill="F5F7FB"/>
          </w:tcPr>
          <w:p>
            <w:pPr>
              <w:pStyle w:val="Compact"/>
            </w:pPr>
            <w:r>
              <w:rPr>
                <w:sz w:val="17"/>
              </w:rPr>
              <w:t xml:space="preserve">Entreprise / établissement</w:t>
            </w:r>
          </w:p>
        </w:tc>
        <w:tc>
          <w:tcPr>
            <w:shd w:val="clear" w:color="auto" w:fill="F5F7FB"/>
          </w:tcPr>
          <w:p>
            <w:pPr>
              <w:pStyle w:val="Compact"/>
            </w:pPr>
            <w:r>
              <w:rPr>
                <w:sz w:val="17"/>
              </w:rPr>
              <w:t xml:space="preserve">trade_name, activity_codes, premises[]</w:t>
            </w:r>
          </w:p>
        </w:tc>
        <w:tc>
          <w:tcPr>
            <w:shd w:val="clear" w:color="auto" w:fill="F5F7FB"/>
          </w:tcPr>
          <w:p>
            <w:pPr>
              <w:pStyle w:val="Compact"/>
            </w:pPr>
            <w:r>
              <w:rPr>
                <w:sz w:val="17"/>
              </w:rPr>
              <w:t xml:space="preserve">Activity, Licence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ACTIVE→CESSÉE</w:t>
            </w:r>
          </w:p>
        </w:tc>
        <w:tc>
          <w:tcPr>
            <w:shd w:val="clear" w:color="auto" w:fill="F5F7FB"/>
          </w:tcPr>
          <w:p>
            <w:pPr>
              <w:pStyle w:val="Compact"/>
            </w:pPr>
            <w:r>
              <w:rPr>
                <w:sz w:val="17"/>
              </w:rPr>
              <w:t xml:space="preserve">Oui</w:t>
            </w:r>
          </w:p>
        </w:tc>
        <w:tc>
          <w:tcPr>
            <w:shd w:val="clear" w:color="auto" w:fill="F5F7FB"/>
          </w:tcPr>
          <w:p>
            <w:pPr>
              <w:pStyle w:val="Compact"/>
            </w:pPr>
            <w:r>
              <w:rPr>
                <w:sz w:val="17"/>
              </w:rPr>
              <w:t xml:space="preserve">Cessation + 10 ans</w:t>
            </w:r>
          </w:p>
        </w:tc>
        <w:tc>
          <w:tcPr>
            <w:shd w:val="clear" w:color="auto" w:fill="F5F7FB"/>
          </w:tcPr>
          <w:p>
            <w:pPr>
              <w:pStyle w:val="Compact"/>
            </w:pPr>
            <w:r>
              <w:rPr>
                <w:sz w:val="17"/>
              </w:rPr>
              <w:t xml:space="preserve">C3</w:t>
            </w:r>
          </w:p>
        </w:tc>
      </w:tr>
      <w:tr>
        <w:tc>
          <w:tcPr/>
          <w:p>
            <w:pPr>
              <w:pStyle w:val="Compact"/>
            </w:pPr>
            <w:r>
              <w:rPr>
                <w:b/>
                <w:bCs/>
                <w:sz w:val="17"/>
              </w:rPr>
              <w:t xml:space="preserve">Activity</w:t>
            </w:r>
          </w:p>
        </w:tc>
        <w:tc>
          <w:tcPr/>
          <w:p>
            <w:pPr>
              <w:pStyle w:val="Compact"/>
            </w:pPr>
            <w:r>
              <w:rPr>
                <w:sz w:val="17"/>
              </w:rPr>
              <w:t xml:space="preserve">Activité économique</w:t>
            </w:r>
          </w:p>
        </w:tc>
        <w:tc>
          <w:tcPr/>
          <w:p>
            <w:pPr>
              <w:pStyle w:val="Compact"/>
            </w:pPr>
            <w:r>
              <w:rPr>
                <w:sz w:val="17"/>
              </w:rPr>
              <w:t xml:space="preserve">code, description, location, start</w:t>
            </w:r>
          </w:p>
        </w:tc>
        <w:tc>
          <w:tcPr/>
          <w:p>
            <w:pPr>
              <w:pStyle w:val="Compact"/>
            </w:pPr>
            <w:r>
              <w:rPr>
                <w:sz w:val="17"/>
              </w:rPr>
              <w:t xml:space="preserve">Business</w:t>
            </w:r>
          </w:p>
        </w:tc>
        <w:tc>
          <w:tcPr/>
          <w:p>
            <w:pPr>
              <w:pStyle w:val="Compact"/>
            </w:pPr>
            <w:r>
              <w:rPr>
                <w:sz w:val="17"/>
              </w:rPr>
              <w:t xml:space="preserve">Nomenclature d’activités</w:t>
            </w:r>
          </w:p>
        </w:tc>
        <w:tc>
          <w:tcPr/>
          <w:p>
            <w:pPr>
              <w:pStyle w:val="Compact"/>
            </w:pPr>
            <w:r>
              <w:rPr>
                <w:sz w:val="17"/>
              </w:rPr>
              <w:t xml:space="preserve">—</w:t>
            </w:r>
          </w:p>
        </w:tc>
        <w:tc>
          <w:tcPr/>
          <w:p>
            <w:pPr>
              <w:pStyle w:val="Compact"/>
            </w:pPr>
            <w:r>
              <w:rPr>
                <w:sz w:val="17"/>
              </w:rPr>
              <w:t xml:space="preserve">Oui</w:t>
            </w:r>
          </w:p>
        </w:tc>
        <w:tc>
          <w:tcPr/>
          <w:p>
            <w:pPr>
              <w:pStyle w:val="Compact"/>
            </w:pPr>
            <w:r>
              <w:rPr>
                <w:sz w:val="17"/>
              </w:rPr>
              <w:t xml:space="preserve">Idem</w:t>
            </w:r>
          </w:p>
        </w:tc>
        <w:tc>
          <w:tcPr/>
          <w:p>
            <w:pPr>
              <w:pStyle w:val="Compact"/>
            </w:pPr>
            <w:r>
              <w:rPr>
                <w:sz w:val="17"/>
              </w:rPr>
              <w:t xml:space="preserve">C3</w:t>
            </w:r>
          </w:p>
        </w:tc>
      </w:tr>
      <w:tr>
        <w:tc>
          <w:tcPr>
            <w:shd w:val="clear" w:color="auto" w:fill="F5F7FB"/>
          </w:tcPr>
          <w:p>
            <w:pPr>
              <w:pStyle w:val="Compact"/>
            </w:pPr>
            <w:r>
              <w:rPr>
                <w:b/>
                <w:bCs/>
                <w:sz w:val="17"/>
              </w:rPr>
              <w:t xml:space="preserve">Vehicle</w:t>
            </w:r>
          </w:p>
        </w:tc>
        <w:tc>
          <w:tcPr>
            <w:shd w:val="clear" w:color="auto" w:fill="F5F7FB"/>
          </w:tcPr>
          <w:p>
            <w:pPr>
              <w:pStyle w:val="Compact"/>
            </w:pPr>
            <w:r>
              <w:rPr>
                <w:sz w:val="17"/>
              </w:rPr>
              <w:t xml:space="preserve">Véhicule</w:t>
            </w:r>
          </w:p>
        </w:tc>
        <w:tc>
          <w:tcPr>
            <w:shd w:val="clear" w:color="auto" w:fill="F5F7FB"/>
          </w:tcPr>
          <w:p>
            <w:pPr>
              <w:pStyle w:val="Compact"/>
            </w:pPr>
            <w:r>
              <w:rPr>
                <w:sz w:val="17"/>
              </w:rPr>
              <w:t xml:space="preserve">plate, vin (haché), category, power, use</w:t>
            </w:r>
          </w:p>
        </w:tc>
        <w:tc>
          <w:tcPr>
            <w:shd w:val="clear" w:color="auto" w:fill="F5F7FB"/>
          </w:tcPr>
          <w:p>
            <w:pPr>
              <w:pStyle w:val="Compact"/>
            </w:pPr>
            <w:r>
              <w:rPr>
                <w:sz w:val="17"/>
              </w:rPr>
              <w:t xml:space="preserve">ObjectRelation</w:t>
            </w:r>
          </w:p>
        </w:tc>
        <w:tc>
          <w:tcPr>
            <w:shd w:val="clear" w:color="auto" w:fill="F5F7FB"/>
          </w:tcPr>
          <w:p>
            <w:pPr>
              <w:pStyle w:val="Compact"/>
            </w:pPr>
            <w:r>
              <w:rPr>
                <w:sz w:val="17"/>
              </w:rPr>
              <w:t xml:space="preserve">Format de plaque</w:t>
            </w:r>
          </w:p>
        </w:tc>
        <w:tc>
          <w:tcPr>
            <w:shd w:val="clear" w:color="auto" w:fill="F5F7FB"/>
          </w:tcPr>
          <w:p>
            <w:pPr>
              <w:pStyle w:val="Compact"/>
            </w:pPr>
            <w:r>
              <w:rPr>
                <w:sz w:val="17"/>
              </w:rPr>
              <w:t xml:space="preserve">ACTIF→MUTÉ→RETIRÉ</w:t>
            </w:r>
          </w:p>
        </w:tc>
        <w:tc>
          <w:tcPr>
            <w:shd w:val="clear" w:color="auto" w:fill="F5F7FB"/>
          </w:tcPr>
          <w:p>
            <w:pPr>
              <w:pStyle w:val="Compact"/>
            </w:pPr>
            <w:r>
              <w:rPr>
                <w:sz w:val="17"/>
              </w:rPr>
              <w:t xml:space="preserve">Oui</w:t>
            </w:r>
          </w:p>
        </w:tc>
        <w:tc>
          <w:tcPr>
            <w:shd w:val="clear" w:color="auto" w:fill="F5F7FB"/>
          </w:tcPr>
          <w:p>
            <w:pPr>
              <w:pStyle w:val="Compact"/>
            </w:pPr>
            <w:r>
              <w:rPr>
                <w:sz w:val="17"/>
              </w:rPr>
              <w:t xml:space="preserve">Retrait + 10 ans</w:t>
            </w:r>
          </w:p>
        </w:tc>
        <w:tc>
          <w:tcPr>
            <w:shd w:val="clear" w:color="auto" w:fill="F5F7FB"/>
          </w:tcPr>
          <w:p>
            <w:pPr>
              <w:pStyle w:val="Compact"/>
            </w:pPr>
            <w:r>
              <w:rPr>
                <w:sz w:val="17"/>
              </w:rPr>
              <w:t xml:space="preserve">C3</w:t>
            </w:r>
          </w:p>
        </w:tc>
      </w:tr>
      <w:tr>
        <w:tc>
          <w:tcPr/>
          <w:p>
            <w:pPr>
              <w:pStyle w:val="Compact"/>
            </w:pPr>
            <w:r>
              <w:rPr>
                <w:b/>
                <w:bCs/>
                <w:sz w:val="17"/>
              </w:rPr>
              <w:t xml:space="preserve">Advertisement</w:t>
            </w:r>
          </w:p>
        </w:tc>
        <w:tc>
          <w:tcPr/>
          <w:p>
            <w:pPr>
              <w:pStyle w:val="Compact"/>
            </w:pPr>
            <w:r>
              <w:rPr>
                <w:sz w:val="17"/>
              </w:rPr>
              <w:t xml:space="preserve">Support publicitaire</w:t>
            </w:r>
          </w:p>
        </w:tc>
        <w:tc>
          <w:tcPr/>
          <w:p>
            <w:pPr>
              <w:pStyle w:val="Compact"/>
            </w:pPr>
            <w:r>
              <w:rPr>
                <w:sz w:val="17"/>
              </w:rPr>
              <w:t xml:space="preserve">faces, area_m2, type, illuminated, permit_ref</w:t>
            </w:r>
          </w:p>
        </w:tc>
        <w:tc>
          <w:tcPr/>
          <w:p>
            <w:pPr>
              <w:pStyle w:val="Compact"/>
            </w:pPr>
            <w:r>
              <w:rPr>
                <w:sz w:val="17"/>
              </w:rPr>
              <w:t xml:space="preserve">Licence</w:t>
            </w:r>
          </w:p>
        </w:tc>
        <w:tc>
          <w:tcPr/>
          <w:p>
            <w:pPr>
              <w:pStyle w:val="Compact"/>
            </w:pPr>
            <w:r>
              <w:rPr>
                <w:sz w:val="17"/>
              </w:rPr>
              <w:t xml:space="preserve">—</w:t>
            </w:r>
          </w:p>
        </w:tc>
        <w:tc>
          <w:tcPr/>
          <w:p>
            <w:pPr>
              <w:pStyle w:val="Compact"/>
            </w:pPr>
            <w:r>
              <w:rPr>
                <w:sz w:val="17"/>
              </w:rPr>
              <w:t xml:space="preserve">—</w:t>
            </w:r>
          </w:p>
        </w:tc>
        <w:tc>
          <w:tcPr/>
          <w:p>
            <w:pPr>
              <w:pStyle w:val="Compact"/>
            </w:pPr>
            <w:r>
              <w:rPr>
                <w:sz w:val="17"/>
              </w:rPr>
              <w:t xml:space="preserve">Oui</w:t>
            </w:r>
          </w:p>
        </w:tc>
        <w:tc>
          <w:tcPr/>
          <w:p>
            <w:pPr>
              <w:pStyle w:val="Compact"/>
            </w:pPr>
            <w:r>
              <w:rPr>
                <w:sz w:val="17"/>
              </w:rPr>
              <w:t xml:space="preserve">Retrait + 10 ans</w:t>
            </w:r>
          </w:p>
        </w:tc>
        <w:tc>
          <w:tcPr/>
          <w:p>
            <w:pPr>
              <w:pStyle w:val="Compact"/>
            </w:pPr>
            <w:r>
              <w:rPr>
                <w:sz w:val="17"/>
              </w:rPr>
              <w:t xml:space="preserve">C2</w:t>
            </w:r>
          </w:p>
        </w:tc>
      </w:tr>
      <w:tr>
        <w:tc>
          <w:tcPr>
            <w:shd w:val="clear" w:color="auto" w:fill="F5F7FB"/>
          </w:tcPr>
          <w:p>
            <w:pPr>
              <w:pStyle w:val="Compact"/>
            </w:pPr>
            <w:r>
              <w:rPr>
                <w:b/>
                <w:bCs/>
                <w:sz w:val="17"/>
              </w:rPr>
              <w:t xml:space="preserve">Antenna</w:t>
            </w:r>
          </w:p>
        </w:tc>
        <w:tc>
          <w:tcPr>
            <w:shd w:val="clear" w:color="auto" w:fill="F5F7FB"/>
          </w:tcPr>
          <w:p>
            <w:pPr>
              <w:pStyle w:val="Compact"/>
            </w:pPr>
            <w:r>
              <w:rPr>
                <w:sz w:val="17"/>
              </w:rPr>
              <w:t xml:space="preserve">Site télécom</w:t>
            </w:r>
          </w:p>
        </w:tc>
        <w:tc>
          <w:tcPr>
            <w:shd w:val="clear" w:color="auto" w:fill="F5F7FB"/>
          </w:tcPr>
          <w:p>
            <w:pPr>
              <w:pStyle w:val="Compact"/>
            </w:pPr>
            <w:r>
              <w:rPr>
                <w:sz w:val="17"/>
              </w:rPr>
              <w:t xml:space="preserve">operator, structure_type, height, co_located</w:t>
            </w:r>
          </w:p>
        </w:tc>
        <w:tc>
          <w:tcPr>
            <w:shd w:val="clear" w:color="auto" w:fill="F5F7FB"/>
          </w:tcPr>
          <w:p>
            <w:pPr>
              <w:pStyle w:val="Compact"/>
            </w:pPr>
            <w:r>
              <w:rPr>
                <w:sz w:val="17"/>
              </w:rPr>
              <w:t xml:space="preserve">Licence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Oui</w:t>
            </w:r>
          </w:p>
        </w:tc>
        <w:tc>
          <w:tcPr>
            <w:shd w:val="clear" w:color="auto" w:fill="F5F7FB"/>
          </w:tcPr>
          <w:p>
            <w:pPr>
              <w:pStyle w:val="Compact"/>
            </w:pPr>
            <w:r>
              <w:rPr>
                <w:sz w:val="17"/>
              </w:rPr>
              <w:t xml:space="preserve">Idem</w:t>
            </w:r>
          </w:p>
        </w:tc>
        <w:tc>
          <w:tcPr>
            <w:shd w:val="clear" w:color="auto" w:fill="F5F7FB"/>
          </w:tcPr>
          <w:p>
            <w:pPr>
              <w:pStyle w:val="Compact"/>
            </w:pPr>
            <w:r>
              <w:rPr>
                <w:sz w:val="17"/>
              </w:rPr>
              <w:t xml:space="preserve">C2</w:t>
            </w:r>
          </w:p>
        </w:tc>
      </w:tr>
      <w:tr>
        <w:tc>
          <w:tcPr/>
          <w:p>
            <w:pPr>
              <w:pStyle w:val="Compact"/>
            </w:pPr>
            <w:r>
              <w:rPr>
                <w:b/>
                <w:bCs/>
                <w:sz w:val="17"/>
              </w:rPr>
              <w:t xml:space="preserve">Vessel</w:t>
            </w:r>
          </w:p>
        </w:tc>
        <w:tc>
          <w:tcPr/>
          <w:p>
            <w:pPr>
              <w:pStyle w:val="Compact"/>
            </w:pPr>
            <w:r>
              <w:rPr>
                <w:sz w:val="17"/>
              </w:rPr>
              <w:t xml:space="preserve">Embarcation</w:t>
            </w:r>
          </w:p>
        </w:tc>
        <w:tc>
          <w:tcPr/>
          <w:p>
            <w:pPr>
              <w:pStyle w:val="Compact"/>
            </w:pPr>
            <w:r>
              <w:rPr>
                <w:sz w:val="17"/>
              </w:rPr>
              <w:t xml:space="preserve">registration, type, capacity, home_port</w:t>
            </w:r>
          </w:p>
        </w:tc>
        <w:tc>
          <w:tcPr/>
          <w:p>
            <w:pPr>
              <w:pStyle w:val="Compact"/>
            </w:pPr>
            <w:r>
              <w:rPr>
                <w:sz w:val="17"/>
              </w:rPr>
              <w:t xml:space="preserve">—</w:t>
            </w:r>
          </w:p>
        </w:tc>
        <w:tc>
          <w:tcPr/>
          <w:p>
            <w:pPr>
              <w:pStyle w:val="Compact"/>
            </w:pPr>
            <w:r>
              <w:rPr>
                <w:sz w:val="17"/>
              </w:rPr>
              <w:t xml:space="preserve">—</w:t>
            </w:r>
          </w:p>
        </w:tc>
        <w:tc>
          <w:tcPr/>
          <w:p>
            <w:pPr>
              <w:pStyle w:val="Compact"/>
            </w:pPr>
            <w:r>
              <w:rPr>
                <w:sz w:val="17"/>
              </w:rPr>
              <w:t xml:space="preserve">—</w:t>
            </w:r>
          </w:p>
        </w:tc>
        <w:tc>
          <w:tcPr/>
          <w:p>
            <w:pPr>
              <w:pStyle w:val="Compact"/>
            </w:pPr>
            <w:r>
              <w:rPr>
                <w:sz w:val="17"/>
              </w:rPr>
              <w:t xml:space="preserve">Oui</w:t>
            </w:r>
          </w:p>
        </w:tc>
        <w:tc>
          <w:tcPr/>
          <w:p>
            <w:pPr>
              <w:pStyle w:val="Compact"/>
            </w:pPr>
            <w:r>
              <w:rPr>
                <w:sz w:val="17"/>
              </w:rPr>
              <w:t xml:space="preserve">Idem</w:t>
            </w:r>
          </w:p>
        </w:tc>
        <w:tc>
          <w:tcPr/>
          <w:p>
            <w:pPr>
              <w:pStyle w:val="Compact"/>
            </w:pPr>
            <w:r>
              <w:rPr>
                <w:sz w:val="17"/>
              </w:rPr>
              <w:t xml:space="preserve">C2</w:t>
            </w:r>
          </w:p>
        </w:tc>
      </w:tr>
      <w:tr>
        <w:tc>
          <w:tcPr>
            <w:shd w:val="clear" w:color="auto" w:fill="F5F7FB"/>
          </w:tcPr>
          <w:p>
            <w:pPr>
              <w:pStyle w:val="Compact"/>
            </w:pPr>
            <w:r>
              <w:rPr>
                <w:b/>
                <w:bCs/>
                <w:sz w:val="17"/>
              </w:rPr>
              <w:t xml:space="preserve">Concession</w:t>
            </w:r>
          </w:p>
        </w:tc>
        <w:tc>
          <w:tcPr>
            <w:shd w:val="clear" w:color="auto" w:fill="F5F7FB"/>
          </w:tcPr>
          <w:p>
            <w:pPr>
              <w:pStyle w:val="Compact"/>
            </w:pPr>
            <w:r>
              <w:rPr>
                <w:sz w:val="17"/>
              </w:rPr>
              <w:t xml:space="preserve">Concession</w:t>
            </w:r>
          </w:p>
        </w:tc>
        <w:tc>
          <w:tcPr>
            <w:shd w:val="clear" w:color="auto" w:fill="F5F7FB"/>
          </w:tcPr>
          <w:p>
            <w:pPr>
              <w:pStyle w:val="Compact"/>
            </w:pPr>
            <w:r>
              <w:rPr>
                <w:sz w:val="17"/>
              </w:rPr>
              <w:t xml:space="preserve">title_ref, type, area_ha, holder</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Oui</w:t>
            </w:r>
          </w:p>
        </w:tc>
        <w:tc>
          <w:tcPr>
            <w:shd w:val="clear" w:color="auto" w:fill="F5F7FB"/>
          </w:tcPr>
          <w:p>
            <w:pPr>
              <w:pStyle w:val="Compact"/>
            </w:pPr>
            <w:r>
              <w:rPr>
                <w:sz w:val="17"/>
              </w:rPr>
              <w:t xml:space="preserve">Idem</w:t>
            </w:r>
          </w:p>
        </w:tc>
        <w:tc>
          <w:tcPr>
            <w:shd w:val="clear" w:color="auto" w:fill="F5F7FB"/>
          </w:tcPr>
          <w:p>
            <w:pPr>
              <w:pStyle w:val="Compact"/>
            </w:pPr>
            <w:r>
              <w:rPr>
                <w:sz w:val="17"/>
              </w:rPr>
              <w:t xml:space="preserve">C2</w:t>
            </w:r>
          </w:p>
        </w:tc>
      </w:tr>
      <w:tr>
        <w:tc>
          <w:tcPr/>
          <w:p>
            <w:pPr>
              <w:pStyle w:val="Compact"/>
            </w:pPr>
            <w:r>
              <w:rPr>
                <w:b/>
                <w:bCs/>
                <w:sz w:val="17"/>
              </w:rPr>
              <w:t xml:space="preserve">Licence / Permit</w:t>
            </w:r>
          </w:p>
        </w:tc>
        <w:tc>
          <w:tcPr/>
          <w:p>
            <w:pPr>
              <w:pStyle w:val="Compact"/>
            </w:pPr>
            <w:r>
              <w:rPr>
                <w:sz w:val="17"/>
              </w:rPr>
              <w:t xml:space="preserve">Titre / autorisation</w:t>
            </w:r>
          </w:p>
        </w:tc>
        <w:tc>
          <w:tcPr/>
          <w:p>
            <w:pPr>
              <w:pStyle w:val="Compact"/>
            </w:pPr>
            <w:r>
              <w:rPr>
                <w:sz w:val="17"/>
              </w:rPr>
              <w:t xml:space="preserve">type, valid_from, valid_to, conditions, status</w:t>
            </w:r>
          </w:p>
        </w:tc>
        <w:tc>
          <w:tcPr/>
          <w:p>
            <w:pPr>
              <w:pStyle w:val="Compact"/>
            </w:pPr>
            <w:r>
              <w:rPr>
                <w:sz w:val="17"/>
              </w:rPr>
              <w:t xml:space="preserve">FiscalObject</w:t>
            </w:r>
          </w:p>
        </w:tc>
        <w:tc>
          <w:tcPr/>
          <w:p>
            <w:pPr>
              <w:pStyle w:val="Compact"/>
            </w:pPr>
            <w:r>
              <w:rPr>
                <w:sz w:val="17"/>
              </w:rPr>
              <w:t xml:space="preserve">Dates</w:t>
            </w:r>
          </w:p>
        </w:tc>
        <w:tc>
          <w:tcPr/>
          <w:p>
            <w:pPr>
              <w:pStyle w:val="Compact"/>
            </w:pPr>
            <w:r>
              <w:rPr>
                <w:sz w:val="17"/>
              </w:rPr>
              <w:t xml:space="preserve">DEMANDÉ→DÉLIVRÉ→EXPIRÉ / SUSPENDU / RETIRÉ</w:t>
            </w:r>
          </w:p>
        </w:tc>
        <w:tc>
          <w:tcPr/>
          <w:p>
            <w:pPr>
              <w:pStyle w:val="Compact"/>
            </w:pPr>
            <w:r>
              <w:rPr>
                <w:sz w:val="17"/>
              </w:rPr>
              <w:t xml:space="preserve">Oui</w:t>
            </w:r>
          </w:p>
        </w:tc>
        <w:tc>
          <w:tcPr/>
          <w:p>
            <w:pPr>
              <w:pStyle w:val="Compact"/>
            </w:pPr>
            <w:r>
              <w:rPr>
                <w:sz w:val="17"/>
              </w:rPr>
              <w:t xml:space="preserve">Expiration + 10 ans</w:t>
            </w:r>
          </w:p>
        </w:tc>
        <w:tc>
          <w:tcPr/>
          <w:p>
            <w:pPr>
              <w:pStyle w:val="Compact"/>
            </w:pPr>
            <w:r>
              <w:rPr>
                <w:sz w:val="17"/>
              </w:rPr>
              <w:t xml:space="preserve">C2</w:t>
            </w:r>
          </w:p>
        </w:tc>
      </w:tr>
      <w:tr>
        <w:tc>
          <w:tcPr>
            <w:shd w:val="clear" w:color="auto" w:fill="F5F7FB"/>
          </w:tcPr>
          <w:p>
            <w:pPr>
              <w:pStyle w:val="Compact"/>
            </w:pPr>
            <w:r>
              <w:rPr>
                <w:b/>
                <w:bCs/>
                <w:sz w:val="17"/>
              </w:rPr>
              <w:t xml:space="preserve">LegalInstrument</w:t>
            </w:r>
          </w:p>
        </w:tc>
        <w:tc>
          <w:tcPr>
            <w:shd w:val="clear" w:color="auto" w:fill="F5F7FB"/>
          </w:tcPr>
          <w:p>
            <w:pPr>
              <w:pStyle w:val="Compact"/>
            </w:pPr>
            <w:r>
              <w:rPr>
                <w:sz w:val="17"/>
              </w:rPr>
              <w:t xml:space="preserve">Texte</w:t>
            </w:r>
          </w:p>
        </w:tc>
        <w:tc>
          <w:tcPr>
            <w:shd w:val="clear" w:color="auto" w:fill="F5F7FB"/>
          </w:tcPr>
          <w:p>
            <w:pPr>
              <w:pStyle w:val="Compact"/>
            </w:pPr>
            <w:r>
              <w:rPr>
                <w:sz w:val="17"/>
              </w:rPr>
              <w:t xml:space="preserve">type, number, date, title, official_copy_hash, status</w:t>
            </w:r>
          </w:p>
        </w:tc>
        <w:tc>
          <w:tcPr>
            <w:shd w:val="clear" w:color="auto" w:fill="F5F7FB"/>
          </w:tcPr>
          <w:p>
            <w:pPr>
              <w:pStyle w:val="Compact"/>
            </w:pPr>
            <w:r>
              <w:rPr>
                <w:sz w:val="17"/>
              </w:rPr>
              <w:t xml:space="preserve">TariffRule</w:t>
            </w:r>
          </w:p>
        </w:tc>
        <w:tc>
          <w:tcPr>
            <w:shd w:val="clear" w:color="auto" w:fill="F5F7FB"/>
          </w:tcPr>
          <w:p>
            <w:pPr>
              <w:pStyle w:val="Compact"/>
            </w:pPr>
            <w:r>
              <w:rPr>
                <w:sz w:val="17"/>
              </w:rPr>
              <w:t xml:space="preserve">Pièce officielle</w:t>
            </w:r>
          </w:p>
        </w:tc>
        <w:tc>
          <w:tcPr>
            <w:shd w:val="clear" w:color="auto" w:fill="F5F7FB"/>
          </w:tcPr>
          <w:p>
            <w:pPr>
              <w:pStyle w:val="Compact"/>
            </w:pPr>
            <w:r>
              <w:rPr>
                <w:sz w:val="17"/>
              </w:rPr>
              <w:t xml:space="preserve">À_VÉRIFIER→EN_VIGUEUR→MODIFIÉ→ABROGÉ</w:t>
            </w:r>
          </w:p>
        </w:tc>
        <w:tc>
          <w:tcPr>
            <w:shd w:val="clear" w:color="auto" w:fill="F5F7FB"/>
          </w:tcPr>
          <w:p>
            <w:pPr>
              <w:pStyle w:val="Compact"/>
            </w:pPr>
            <w:r>
              <w:rPr>
                <w:sz w:val="17"/>
              </w:rPr>
              <w:t xml:space="preserve">Oui</w:t>
            </w:r>
          </w:p>
        </w:tc>
        <w:tc>
          <w:tcPr>
            <w:shd w:val="clear" w:color="auto" w:fill="F5F7FB"/>
          </w:tcPr>
          <w:p>
            <w:pPr>
              <w:pStyle w:val="Compact"/>
            </w:pPr>
            <w:r>
              <w:rPr>
                <w:sz w:val="17"/>
              </w:rPr>
              <w:t xml:space="preserve">Permanent</w:t>
            </w:r>
          </w:p>
        </w:tc>
        <w:tc>
          <w:tcPr>
            <w:shd w:val="clear" w:color="auto" w:fill="F5F7FB"/>
          </w:tcPr>
          <w:p>
            <w:pPr>
              <w:pStyle w:val="Compact"/>
            </w:pPr>
            <w:r>
              <w:rPr>
                <w:sz w:val="17"/>
              </w:rPr>
              <w:t xml:space="preserve">C1</w:t>
            </w:r>
          </w:p>
        </w:tc>
      </w:tr>
      <w:tr>
        <w:tc>
          <w:tcPr/>
          <w:p>
            <w:pPr>
              <w:pStyle w:val="Compact"/>
            </w:pPr>
            <w:r>
              <w:rPr>
                <w:b/>
                <w:bCs/>
                <w:sz w:val="17"/>
              </w:rPr>
              <w:t xml:space="preserve">RevenueType</w:t>
            </w:r>
          </w:p>
        </w:tc>
        <w:tc>
          <w:tcPr/>
          <w:p>
            <w:pPr>
              <w:pStyle w:val="Compact"/>
            </w:pPr>
            <w:r>
              <w:rPr>
                <w:sz w:val="17"/>
              </w:rPr>
              <w:t xml:space="preserve">Nature de recette</w:t>
            </w:r>
          </w:p>
        </w:tc>
        <w:tc>
          <w:tcPr/>
          <w:p>
            <w:pPr>
              <w:pStyle w:val="Compact"/>
            </w:pPr>
            <w:r>
              <w:rPr>
                <w:sz w:val="17"/>
              </w:rPr>
              <w:t xml:space="preserve">code (non réutilisable), label, category (§ 6.11), administering_entity</w:t>
            </w:r>
          </w:p>
        </w:tc>
        <w:tc>
          <w:tcPr/>
          <w:p>
            <w:pPr>
              <w:pStyle w:val="Compact"/>
            </w:pPr>
            <w:r>
              <w:rPr>
                <w:sz w:val="17"/>
              </w:rPr>
              <w:t xml:space="preserve">TariffRule</w:t>
            </w:r>
          </w:p>
        </w:tc>
        <w:tc>
          <w:tcPr/>
          <w:p>
            <w:pPr>
              <w:pStyle w:val="Compact"/>
            </w:pPr>
            <w:r>
              <w:rPr>
                <w:sz w:val="17"/>
              </w:rPr>
              <w:t xml:space="preserve">Code unique</w:t>
            </w:r>
          </w:p>
        </w:tc>
        <w:tc>
          <w:tcPr/>
          <w:p>
            <w:pPr>
              <w:pStyle w:val="Compact"/>
            </w:pPr>
            <w:r>
              <w:rPr>
                <w:sz w:val="17"/>
              </w:rPr>
              <w:t xml:space="preserve">ACTIF→CLOS</w:t>
            </w:r>
          </w:p>
        </w:tc>
        <w:tc>
          <w:tcPr/>
          <w:p>
            <w:pPr>
              <w:pStyle w:val="Compact"/>
            </w:pPr>
            <w:r>
              <w:rPr>
                <w:sz w:val="17"/>
              </w:rPr>
              <w:t xml:space="preserve">Oui</w:t>
            </w:r>
          </w:p>
        </w:tc>
        <w:tc>
          <w:tcPr/>
          <w:p>
            <w:pPr>
              <w:pStyle w:val="Compact"/>
            </w:pPr>
            <w:r>
              <w:rPr>
                <w:sz w:val="17"/>
              </w:rPr>
              <w:t xml:space="preserve">Permanent</w:t>
            </w:r>
          </w:p>
        </w:tc>
        <w:tc>
          <w:tcPr/>
          <w:p>
            <w:pPr>
              <w:pStyle w:val="Compact"/>
            </w:pPr>
            <w:r>
              <w:rPr>
                <w:sz w:val="17"/>
              </w:rPr>
              <w:t xml:space="preserve">C1</w:t>
            </w:r>
          </w:p>
        </w:tc>
      </w:tr>
      <w:tr>
        <w:tc>
          <w:tcPr>
            <w:shd w:val="clear" w:color="auto" w:fill="F5F7FB"/>
          </w:tcPr>
          <w:p>
            <w:pPr>
              <w:pStyle w:val="Compact"/>
            </w:pPr>
            <w:r>
              <w:rPr>
                <w:b/>
                <w:bCs/>
                <w:sz w:val="17"/>
              </w:rPr>
              <w:t xml:space="preserve">TariffRule</w:t>
            </w:r>
          </w:p>
        </w:tc>
        <w:tc>
          <w:tcPr>
            <w:shd w:val="clear" w:color="auto" w:fill="F5F7FB"/>
          </w:tcPr>
          <w:p>
            <w:pPr>
              <w:pStyle w:val="Compact"/>
            </w:pPr>
            <w:r>
              <w:rPr>
                <w:sz w:val="17"/>
              </w:rPr>
              <w:t xml:space="preserve">Règle exécutable</w:t>
            </w:r>
          </w:p>
        </w:tc>
        <w:tc>
          <w:tcPr>
            <w:shd w:val="clear" w:color="auto" w:fill="F5F7FB"/>
          </w:tcPr>
          <w:p>
            <w:pPr>
              <w:pStyle w:val="Compact"/>
            </w:pPr>
            <w:r>
              <w:rPr>
                <w:sz w:val="17"/>
              </w:rPr>
              <w:t xml:space="preserve">20 champs de la fiche (§ 6.12)</w:t>
            </w:r>
          </w:p>
        </w:tc>
        <w:tc>
          <w:tcPr>
            <w:shd w:val="clear" w:color="auto" w:fill="F5F7FB"/>
          </w:tcPr>
          <w:p>
            <w:pPr>
              <w:pStyle w:val="Compact"/>
            </w:pPr>
            <w:r>
              <w:rPr>
                <w:sz w:val="17"/>
              </w:rPr>
              <w:t xml:space="preserve">LegalInstrument, Exemption</w:t>
            </w:r>
          </w:p>
        </w:tc>
        <w:tc>
          <w:tcPr>
            <w:shd w:val="clear" w:color="auto" w:fill="F5F7FB"/>
          </w:tcPr>
          <w:p>
            <w:pPr>
              <w:pStyle w:val="Compact"/>
            </w:pPr>
            <w:r>
              <w:rPr>
                <w:sz w:val="17"/>
              </w:rPr>
              <w:t xml:space="preserve">Tests juridiques verts ; 4 approbateurs</w:t>
            </w:r>
          </w:p>
        </w:tc>
        <w:tc>
          <w:tcPr>
            <w:shd w:val="clear" w:color="auto" w:fill="F5F7FB"/>
          </w:tcPr>
          <w:p>
            <w:pPr>
              <w:pStyle w:val="Compact"/>
            </w:pPr>
            <w:r>
              <w:rPr>
                <w:sz w:val="17"/>
              </w:rPr>
              <w:t xml:space="preserve">§ 6.12</w:t>
            </w:r>
          </w:p>
        </w:tc>
        <w:tc>
          <w:tcPr>
            <w:shd w:val="clear" w:color="auto" w:fill="F5F7FB"/>
          </w:tcPr>
          <w:p>
            <w:pPr>
              <w:pStyle w:val="Compact"/>
            </w:pPr>
            <w:r>
              <w:rPr>
                <w:sz w:val="17"/>
              </w:rPr>
              <w:t xml:space="preserve">Chaque version</w:t>
            </w:r>
          </w:p>
        </w:tc>
        <w:tc>
          <w:tcPr>
            <w:shd w:val="clear" w:color="auto" w:fill="F5F7FB"/>
          </w:tcPr>
          <w:p>
            <w:pPr>
              <w:pStyle w:val="Compact"/>
            </w:pPr>
            <w:r>
              <w:rPr>
                <w:sz w:val="17"/>
              </w:rPr>
              <w:t xml:space="preserve">Permanent</w:t>
            </w:r>
          </w:p>
        </w:tc>
        <w:tc>
          <w:tcPr>
            <w:shd w:val="clear" w:color="auto" w:fill="F5F7FB"/>
          </w:tcPr>
          <w:p>
            <w:pPr>
              <w:pStyle w:val="Compact"/>
            </w:pPr>
            <w:r>
              <w:rPr>
                <w:sz w:val="17"/>
              </w:rPr>
              <w:t xml:space="preserve">C1</w:t>
            </w:r>
          </w:p>
        </w:tc>
      </w:tr>
      <w:tr>
        <w:tc>
          <w:tcPr/>
          <w:p>
            <w:pPr>
              <w:pStyle w:val="Compact"/>
            </w:pPr>
            <w:r>
              <w:rPr>
                <w:b/>
                <w:bCs/>
                <w:sz w:val="17"/>
              </w:rPr>
              <w:t xml:space="preserve">Exemption</w:t>
            </w:r>
          </w:p>
        </w:tc>
        <w:tc>
          <w:tcPr/>
          <w:p>
            <w:pPr>
              <w:pStyle w:val="Compact"/>
            </w:pPr>
            <w:r>
              <w:rPr>
                <w:sz w:val="17"/>
              </w:rPr>
              <w:t xml:space="preserve">Exonération</w:t>
            </w:r>
          </w:p>
        </w:tc>
        <w:tc>
          <w:tcPr/>
          <w:p>
            <w:pPr>
              <w:pStyle w:val="Compact"/>
            </w:pPr>
            <w:r>
              <w:rPr>
                <w:sz w:val="17"/>
              </w:rPr>
              <w:t xml:space="preserve">legal_basis, beneficiary, scope, from, to, evidence, approvals</w:t>
            </w:r>
          </w:p>
        </w:tc>
        <w:tc>
          <w:tcPr/>
          <w:p>
            <w:pPr>
              <w:pStyle w:val="Compact"/>
            </w:pPr>
            <w:r>
              <w:rPr>
                <w:sz w:val="17"/>
              </w:rPr>
              <w:t xml:space="preserve">TariffRule, Obligation</w:t>
            </w:r>
          </w:p>
        </w:tc>
        <w:tc>
          <w:tcPr/>
          <w:p>
            <w:pPr>
              <w:pStyle w:val="Compact"/>
            </w:pPr>
            <w:r>
              <w:rPr>
                <w:sz w:val="17"/>
              </w:rPr>
              <w:t xml:space="preserve">Fondement légal</w:t>
            </w:r>
          </w:p>
        </w:tc>
        <w:tc>
          <w:tcPr/>
          <w:p>
            <w:pPr>
              <w:pStyle w:val="Compact"/>
            </w:pPr>
            <w:r>
              <w:rPr>
                <w:sz w:val="17"/>
              </w:rPr>
              <w:t xml:space="preserve">DEMANDÉE→ACCORDÉE / REFUSÉE→EXPIRÉE / RETIRÉE</w:t>
            </w:r>
          </w:p>
        </w:tc>
        <w:tc>
          <w:tcPr/>
          <w:p>
            <w:pPr>
              <w:pStyle w:val="Compact"/>
            </w:pPr>
            <w:r>
              <w:rPr>
                <w:sz w:val="17"/>
              </w:rPr>
              <w:t xml:space="preserve">Oui, renforcé</w:t>
            </w:r>
          </w:p>
        </w:tc>
        <w:tc>
          <w:tcPr/>
          <w:p>
            <w:pPr>
              <w:pStyle w:val="Compact"/>
            </w:pPr>
            <w:r>
              <w:rPr>
                <w:sz w:val="17"/>
              </w:rPr>
              <w:t xml:space="preserve">Fin + prescription + 10 ans</w:t>
            </w:r>
          </w:p>
        </w:tc>
        <w:tc>
          <w:tcPr/>
          <w:p>
            <w:pPr>
              <w:pStyle w:val="Compact"/>
            </w:pPr>
            <w:r>
              <w:rPr>
                <w:sz w:val="17"/>
              </w:rPr>
              <w:t xml:space="preserve">C4</w:t>
            </w:r>
          </w:p>
        </w:tc>
      </w:tr>
      <w:tr>
        <w:tc>
          <w:tcPr>
            <w:shd w:val="clear" w:color="auto" w:fill="F5F7FB"/>
          </w:tcPr>
          <w:p>
            <w:pPr>
              <w:pStyle w:val="Compact"/>
            </w:pPr>
            <w:r>
              <w:rPr>
                <w:b/>
                <w:bCs/>
                <w:sz w:val="17"/>
              </w:rPr>
              <w:t xml:space="preserve">Declaration</w:t>
            </w:r>
          </w:p>
        </w:tc>
        <w:tc>
          <w:tcPr>
            <w:shd w:val="clear" w:color="auto" w:fill="F5F7FB"/>
          </w:tcPr>
          <w:p>
            <w:pPr>
              <w:pStyle w:val="Compact"/>
            </w:pPr>
            <w:r>
              <w:rPr>
                <w:sz w:val="17"/>
              </w:rPr>
              <w:t xml:space="preserve">Déclaration</w:t>
            </w:r>
          </w:p>
        </w:tc>
        <w:tc>
          <w:tcPr>
            <w:shd w:val="clear" w:color="auto" w:fill="F5F7FB"/>
          </w:tcPr>
          <w:p>
            <w:pPr>
              <w:pStyle w:val="Compact"/>
            </w:pPr>
            <w:r>
              <w:rPr>
                <w:sz w:val="17"/>
              </w:rPr>
              <w:t xml:space="preserve">period, content, submitted_by, channel</w:t>
            </w:r>
          </w:p>
        </w:tc>
        <w:tc>
          <w:tcPr>
            <w:shd w:val="clear" w:color="auto" w:fill="F5F7FB"/>
          </w:tcPr>
          <w:p>
            <w:pPr>
              <w:pStyle w:val="Compact"/>
            </w:pPr>
            <w:r>
              <w:rPr>
                <w:sz w:val="17"/>
              </w:rPr>
              <w:t xml:space="preserve">Assessment</w:t>
            </w:r>
          </w:p>
        </w:tc>
        <w:tc>
          <w:tcPr>
            <w:shd w:val="clear" w:color="auto" w:fill="F5F7FB"/>
          </w:tcPr>
          <w:p>
            <w:pPr>
              <w:pStyle w:val="Compact"/>
            </w:pPr>
            <w:r>
              <w:rPr>
                <w:sz w:val="17"/>
              </w:rPr>
              <w:t xml:space="preserve">Complétude</w:t>
            </w:r>
          </w:p>
        </w:tc>
        <w:tc>
          <w:tcPr>
            <w:shd w:val="clear" w:color="auto" w:fill="F5F7FB"/>
          </w:tcPr>
          <w:p>
            <w:pPr>
              <w:pStyle w:val="Compact"/>
            </w:pPr>
            <w:r>
              <w:rPr>
                <w:sz w:val="17"/>
              </w:rPr>
              <w:t xml:space="preserve">BROUILLON→DÉPOSÉE→RECTIFIÉE</w:t>
            </w:r>
          </w:p>
        </w:tc>
        <w:tc>
          <w:tcPr>
            <w:shd w:val="clear" w:color="auto" w:fill="F5F7FB"/>
          </w:tcPr>
          <w:p>
            <w:pPr>
              <w:pStyle w:val="Compact"/>
            </w:pPr>
            <w:r>
              <w:rPr>
                <w:sz w:val="17"/>
              </w:rPr>
              <w:t xml:space="preserve">Oui</w:t>
            </w:r>
          </w:p>
        </w:tc>
        <w:tc>
          <w:tcPr>
            <w:shd w:val="clear" w:color="auto" w:fill="F5F7FB"/>
          </w:tcPr>
          <w:p>
            <w:pPr>
              <w:pStyle w:val="Compact"/>
            </w:pPr>
            <w:r>
              <w:rPr>
                <w:sz w:val="17"/>
              </w:rPr>
              <w:t xml:space="preserve">Prescription + 10 ans</w:t>
            </w:r>
          </w:p>
        </w:tc>
        <w:tc>
          <w:tcPr>
            <w:shd w:val="clear" w:color="auto" w:fill="F5F7FB"/>
          </w:tcPr>
          <w:p>
            <w:pPr>
              <w:pStyle w:val="Compact"/>
            </w:pPr>
            <w:r>
              <w:rPr>
                <w:sz w:val="17"/>
              </w:rPr>
              <w:t xml:space="preserve">C4</w:t>
            </w:r>
          </w:p>
        </w:tc>
      </w:tr>
      <w:tr>
        <w:tc>
          <w:tcPr/>
          <w:p>
            <w:pPr>
              <w:pStyle w:val="Compact"/>
            </w:pPr>
            <w:r>
              <w:rPr>
                <w:b/>
                <w:bCs/>
                <w:sz w:val="17"/>
              </w:rPr>
              <w:t xml:space="preserve">Assessment</w:t>
            </w:r>
          </w:p>
        </w:tc>
        <w:tc>
          <w:tcPr/>
          <w:p>
            <w:pPr>
              <w:pStyle w:val="Compact"/>
            </w:pPr>
            <w:r>
              <w:rPr>
                <w:sz w:val="17"/>
              </w:rPr>
              <w:t xml:space="preserve">Liquidation</w:t>
            </w:r>
          </w:p>
        </w:tc>
        <w:tc>
          <w:tcPr/>
          <w:p>
            <w:pPr>
              <w:pStyle w:val="Compact"/>
            </w:pPr>
            <w:r>
              <w:rPr>
                <w:sz w:val="17"/>
              </w:rPr>
              <w:t xml:space="preserve">inputs_snapshot, rule_version, formula_trace, result, computed_by</w:t>
            </w:r>
          </w:p>
        </w:tc>
        <w:tc>
          <w:tcPr/>
          <w:p>
            <w:pPr>
              <w:pStyle w:val="Compact"/>
            </w:pPr>
            <w:r>
              <w:rPr>
                <w:sz w:val="17"/>
              </w:rPr>
              <w:t xml:space="preserve">Obligation</w:t>
            </w:r>
          </w:p>
        </w:tc>
        <w:tc>
          <w:tcPr/>
          <w:p>
            <w:pPr>
              <w:pStyle w:val="Compact"/>
            </w:pPr>
            <w:r>
              <w:rPr>
                <w:sz w:val="17"/>
              </w:rPr>
              <w:t xml:space="preserve">Déterminisme</w:t>
            </w:r>
          </w:p>
        </w:tc>
        <w:tc>
          <w:tcPr/>
          <w:p>
            <w:pPr>
              <w:pStyle w:val="Compact"/>
            </w:pPr>
            <w:r>
              <w:rPr>
                <w:sz w:val="17"/>
              </w:rPr>
              <w:t xml:space="preserve">CALCULÉE→ÉMISE→RECTIFIÉE / ANNULÉE (contre-acte)</w:t>
            </w:r>
          </w:p>
        </w:tc>
        <w:tc>
          <w:tcPr/>
          <w:p>
            <w:pPr>
              <w:pStyle w:val="Compact"/>
            </w:pPr>
            <w:r>
              <w:rPr>
                <w:sz w:val="17"/>
              </w:rPr>
              <w:t xml:space="preserve">Trace complète</w:t>
            </w:r>
          </w:p>
        </w:tc>
        <w:tc>
          <w:tcPr/>
          <w:p>
            <w:pPr>
              <w:pStyle w:val="Compact"/>
            </w:pPr>
            <w:r>
              <w:rPr>
                <w:sz w:val="17"/>
              </w:rPr>
              <w:t xml:space="preserve">Prescription + 10 ans</w:t>
            </w:r>
          </w:p>
        </w:tc>
        <w:tc>
          <w:tcPr/>
          <w:p>
            <w:pPr>
              <w:pStyle w:val="Compact"/>
            </w:pPr>
            <w:r>
              <w:rPr>
                <w:sz w:val="17"/>
              </w:rPr>
              <w:t xml:space="preserve">C4</w:t>
            </w:r>
          </w:p>
        </w:tc>
      </w:tr>
      <w:tr>
        <w:tc>
          <w:tcPr>
            <w:shd w:val="clear" w:color="auto" w:fill="F5F7FB"/>
          </w:tcPr>
          <w:p>
            <w:pPr>
              <w:pStyle w:val="Compact"/>
            </w:pPr>
            <w:r>
              <w:rPr>
                <w:b/>
                <w:bCs/>
                <w:sz w:val="17"/>
              </w:rPr>
              <w:t xml:space="preserve">Obligation</w:t>
            </w:r>
          </w:p>
        </w:tc>
        <w:tc>
          <w:tcPr>
            <w:shd w:val="clear" w:color="auto" w:fill="F5F7FB"/>
          </w:tcPr>
          <w:p>
            <w:pPr>
              <w:pStyle w:val="Compact"/>
            </w:pPr>
            <w:r>
              <w:rPr>
                <w:sz w:val="17"/>
              </w:rPr>
              <w:t xml:space="preserve">Dette</w:t>
            </w:r>
          </w:p>
        </w:tc>
        <w:tc>
          <w:tcPr>
            <w:shd w:val="clear" w:color="auto" w:fill="F5F7FB"/>
          </w:tcPr>
          <w:p>
            <w:pPr>
              <w:pStyle w:val="Compact"/>
            </w:pPr>
            <w:r>
              <w:rPr>
                <w:sz w:val="17"/>
              </w:rPr>
              <w:t xml:space="preserve">amount (Money), due_date, status, balance</w:t>
            </w:r>
          </w:p>
        </w:tc>
        <w:tc>
          <w:tcPr>
            <w:shd w:val="clear" w:color="auto" w:fill="F5F7FB"/>
          </w:tcPr>
          <w:p>
            <w:pPr>
              <w:pStyle w:val="Compact"/>
            </w:pPr>
            <w:r>
              <w:rPr>
                <w:sz w:val="17"/>
              </w:rPr>
              <w:t xml:space="preserve">Notice, Payment, Appeal</w:t>
            </w:r>
          </w:p>
        </w:tc>
        <w:tc>
          <w:tcPr>
            <w:shd w:val="clear" w:color="auto" w:fill="F5F7FB"/>
          </w:tcPr>
          <w:p>
            <w:pPr>
              <w:pStyle w:val="Compact"/>
            </w:pPr>
            <w:r>
              <w:rPr>
                <w:sz w:val="17"/>
              </w:rPr>
              <w:t xml:space="preserve">Montant ≥ 0</w:t>
            </w:r>
          </w:p>
        </w:tc>
        <w:tc>
          <w:tcPr>
            <w:shd w:val="clear" w:color="auto" w:fill="F5F7FB"/>
          </w:tcPr>
          <w:p>
            <w:pPr>
              <w:pStyle w:val="Compact"/>
            </w:pPr>
            <w:r>
              <w:rPr>
                <w:sz w:val="17"/>
              </w:rPr>
              <w:t xml:space="preserve">ÉMISE→EXIGIBLE→PARTIELLEMENT_PAYÉE→SOLDÉE / EN_RETARD / CONTESTÉE / ADMISE_EN_NON_VALEUR</w:t>
            </w:r>
          </w:p>
        </w:tc>
        <w:tc>
          <w:tcPr>
            <w:shd w:val="clear" w:color="auto" w:fill="F5F7FB"/>
          </w:tcPr>
          <w:p>
            <w:pPr>
              <w:pStyle w:val="Compact"/>
            </w:pPr>
            <w:r>
              <w:rPr>
                <w:sz w:val="17"/>
              </w:rPr>
              <w:t xml:space="preserve">Oui</w:t>
            </w:r>
          </w:p>
        </w:tc>
        <w:tc>
          <w:tcPr>
            <w:shd w:val="clear" w:color="auto" w:fill="F5F7FB"/>
          </w:tcPr>
          <w:p>
            <w:pPr>
              <w:pStyle w:val="Compact"/>
            </w:pPr>
            <w:r>
              <w:rPr>
                <w:sz w:val="17"/>
              </w:rPr>
              <w:t xml:space="preserve">Solde + prescription + 10 ans</w:t>
            </w:r>
          </w:p>
        </w:tc>
        <w:tc>
          <w:tcPr>
            <w:shd w:val="clear" w:color="auto" w:fill="F5F7FB"/>
          </w:tcPr>
          <w:p>
            <w:pPr>
              <w:pStyle w:val="Compact"/>
            </w:pPr>
            <w:r>
              <w:rPr>
                <w:sz w:val="17"/>
              </w:rPr>
              <w:t xml:space="preserve">C4</w:t>
            </w:r>
          </w:p>
        </w:tc>
      </w:tr>
      <w:tr>
        <w:tc>
          <w:tcPr/>
          <w:p>
            <w:pPr>
              <w:pStyle w:val="Compact"/>
            </w:pPr>
            <w:r>
              <w:rPr>
                <w:b/>
                <w:bCs/>
                <w:sz w:val="17"/>
              </w:rPr>
              <w:t xml:space="preserve">PaymentNotice</w:t>
            </w:r>
          </w:p>
        </w:tc>
        <w:tc>
          <w:tcPr/>
          <w:p>
            <w:pPr>
              <w:pStyle w:val="Compact"/>
            </w:pPr>
            <w:r>
              <w:rPr>
                <w:sz w:val="17"/>
              </w:rPr>
              <w:t xml:space="preserve">Avis</w:t>
            </w:r>
          </w:p>
        </w:tc>
        <w:tc>
          <w:tcPr/>
          <w:p>
            <w:pPr>
              <w:pStyle w:val="Compact"/>
            </w:pPr>
            <w:r>
              <w:rPr>
                <w:sz w:val="17"/>
              </w:rPr>
              <w:t xml:space="preserve">number, pdf_ref, signature, delivery_proofs</w:t>
            </w:r>
          </w:p>
        </w:tc>
        <w:tc>
          <w:tcPr/>
          <w:p>
            <w:pPr>
              <w:pStyle w:val="Compact"/>
            </w:pPr>
            <w:r>
              <w:rPr>
                <w:sz w:val="17"/>
              </w:rPr>
              <w:t xml:space="preserve">Obligation</w:t>
            </w:r>
          </w:p>
        </w:tc>
        <w:tc>
          <w:tcPr/>
          <w:p>
            <w:pPr>
              <w:pStyle w:val="Compact"/>
            </w:pPr>
            <w:r>
              <w:rPr>
                <w:sz w:val="17"/>
              </w:rPr>
              <w:t xml:space="preserve">Mentions légales</w:t>
            </w:r>
          </w:p>
        </w:tc>
        <w:tc>
          <w:tcPr/>
          <w:p>
            <w:pPr>
              <w:pStyle w:val="Compact"/>
            </w:pPr>
            <w:r>
              <w:rPr>
                <w:sz w:val="17"/>
              </w:rPr>
              <w:t xml:space="preserve">ÉMIS→DÉLIVRÉ→LU</w:t>
            </w:r>
          </w:p>
        </w:tc>
        <w:tc>
          <w:tcPr/>
          <w:p>
            <w:pPr>
              <w:pStyle w:val="Compact"/>
            </w:pPr>
            <w:r>
              <w:rPr>
                <w:sz w:val="17"/>
              </w:rPr>
              <w:t xml:space="preserve">Oui</w:t>
            </w:r>
          </w:p>
        </w:tc>
        <w:tc>
          <w:tcPr/>
          <w:p>
            <w:pPr>
              <w:pStyle w:val="Compact"/>
            </w:pPr>
            <w:r>
              <w:rPr>
                <w:sz w:val="17"/>
              </w:rPr>
              <w:t xml:space="preserve">Idem</w:t>
            </w:r>
          </w:p>
        </w:tc>
        <w:tc>
          <w:tcPr/>
          <w:p>
            <w:pPr>
              <w:pStyle w:val="Compact"/>
            </w:pPr>
            <w:r>
              <w:rPr>
                <w:sz w:val="17"/>
              </w:rPr>
              <w:t xml:space="preserve">C4</w:t>
            </w:r>
          </w:p>
        </w:tc>
      </w:tr>
      <w:tr>
        <w:tc>
          <w:tcPr>
            <w:shd w:val="clear" w:color="auto" w:fill="F5F7FB"/>
          </w:tcPr>
          <w:p>
            <w:pPr>
              <w:pStyle w:val="Compact"/>
            </w:pPr>
            <w:r>
              <w:rPr>
                <w:b/>
                <w:bCs/>
                <w:sz w:val="17"/>
              </w:rPr>
              <w:t xml:space="preserve">PaymentOrder</w:t>
            </w:r>
          </w:p>
        </w:tc>
        <w:tc>
          <w:tcPr>
            <w:shd w:val="clear" w:color="auto" w:fill="F5F7FB"/>
          </w:tcPr>
          <w:p>
            <w:pPr>
              <w:pStyle w:val="Compact"/>
            </w:pPr>
            <w:r>
              <w:rPr>
                <w:sz w:val="17"/>
              </w:rPr>
              <w:t xml:space="preserve">Référence de paiement</w:t>
            </w:r>
          </w:p>
        </w:tc>
        <w:tc>
          <w:tcPr>
            <w:shd w:val="clear" w:color="auto" w:fill="F5F7FB"/>
          </w:tcPr>
          <w:p>
            <w:pPr>
              <w:pStyle w:val="Compact"/>
            </w:pPr>
            <w:r>
              <w:rPr>
                <w:sz w:val="17"/>
              </w:rPr>
              <w:t xml:space="preserve">reference, amount, currency, beneficiary_alias, expiry, idempotency_key</w:t>
            </w:r>
          </w:p>
        </w:tc>
        <w:tc>
          <w:tcPr>
            <w:shd w:val="clear" w:color="auto" w:fill="F5F7FB"/>
          </w:tcPr>
          <w:p>
            <w:pPr>
              <w:pStyle w:val="Compact"/>
            </w:pPr>
            <w:r>
              <w:rPr>
                <w:sz w:val="17"/>
              </w:rPr>
              <w:t xml:space="preserve">PaymentEvent</w:t>
            </w:r>
          </w:p>
        </w:tc>
        <w:tc>
          <w:tcPr>
            <w:shd w:val="clear" w:color="auto" w:fill="F5F7FB"/>
          </w:tcPr>
          <w:p>
            <w:pPr>
              <w:pStyle w:val="Compact"/>
            </w:pPr>
            <w:r>
              <w:rPr>
                <w:sz w:val="17"/>
              </w:rPr>
              <w:t xml:space="preserve">Montant = solde ou panier explicite</w:t>
            </w:r>
          </w:p>
        </w:tc>
        <w:tc>
          <w:tcPr>
            <w:shd w:val="clear" w:color="auto" w:fill="F5F7FB"/>
          </w:tcPr>
          <w:p>
            <w:pPr>
              <w:pStyle w:val="Compact"/>
            </w:pPr>
            <w:r>
              <w:rPr>
                <w:sz w:val="17"/>
              </w:rPr>
              <w:t xml:space="preserve">ACTIVE→UTILISÉE / EXPIRÉE</w:t>
            </w:r>
          </w:p>
        </w:tc>
        <w:tc>
          <w:tcPr>
            <w:shd w:val="clear" w:color="auto" w:fill="F5F7FB"/>
          </w:tcPr>
          <w:p>
            <w:pPr>
              <w:pStyle w:val="Compact"/>
            </w:pPr>
            <w:r>
              <w:rPr>
                <w:sz w:val="17"/>
              </w:rPr>
              <w:t xml:space="preserve">Oui</w:t>
            </w:r>
          </w:p>
        </w:tc>
        <w:tc>
          <w:tcPr>
            <w:shd w:val="clear" w:color="auto" w:fill="F5F7FB"/>
          </w:tcPr>
          <w:p>
            <w:pPr>
              <w:pStyle w:val="Compact"/>
            </w:pPr>
            <w:r>
              <w:rPr>
                <w:sz w:val="17"/>
              </w:rPr>
              <w:t xml:space="preserve">10 ans</w:t>
            </w:r>
          </w:p>
        </w:tc>
        <w:tc>
          <w:tcPr>
            <w:shd w:val="clear" w:color="auto" w:fill="F5F7FB"/>
          </w:tcPr>
          <w:p>
            <w:pPr>
              <w:pStyle w:val="Compact"/>
            </w:pPr>
            <w:r>
              <w:rPr>
                <w:sz w:val="17"/>
              </w:rPr>
              <w:t xml:space="preserve">C3</w:t>
            </w:r>
          </w:p>
        </w:tc>
      </w:tr>
      <w:tr>
        <w:tc>
          <w:tcPr/>
          <w:p>
            <w:pPr>
              <w:pStyle w:val="Compact"/>
            </w:pPr>
            <w:r>
              <w:rPr>
                <w:b/>
                <w:bCs/>
                <w:sz w:val="17"/>
              </w:rPr>
              <w:t xml:space="preserve">PaymentEvent</w:t>
            </w:r>
          </w:p>
        </w:tc>
        <w:tc>
          <w:tcPr/>
          <w:p>
            <w:pPr>
              <w:pStyle w:val="Compact"/>
            </w:pPr>
            <w:r>
              <w:rPr>
                <w:sz w:val="17"/>
              </w:rPr>
              <w:t xml:space="preserve">Événement prestataire</w:t>
            </w:r>
          </w:p>
        </w:tc>
        <w:tc>
          <w:tcPr/>
          <w:p>
            <w:pPr>
              <w:pStyle w:val="Compact"/>
            </w:pPr>
            <w:r>
              <w:rPr>
                <w:sz w:val="17"/>
              </w:rPr>
              <w:t xml:space="preserve">provider, provider_txn_id (unique), amount, signature, nonce, received_at, state</w:t>
            </w:r>
          </w:p>
        </w:tc>
        <w:tc>
          <w:tcPr/>
          <w:p>
            <w:pPr>
              <w:pStyle w:val="Compact"/>
            </w:pPr>
            <w:r>
              <w:rPr>
                <w:sz w:val="17"/>
              </w:rPr>
              <w:t xml:space="preserve">Receipt, Reconciliation</w:t>
            </w:r>
          </w:p>
        </w:tc>
        <w:tc>
          <w:tcPr/>
          <w:p>
            <w:pPr>
              <w:pStyle w:val="Compact"/>
            </w:pPr>
            <w:r>
              <w:rPr>
                <w:sz w:val="17"/>
              </w:rPr>
              <w:t xml:space="preserve">Signature ; unicité</w:t>
            </w:r>
          </w:p>
        </w:tc>
        <w:tc>
          <w:tcPr/>
          <w:p>
            <w:pPr>
              <w:pStyle w:val="Compact"/>
            </w:pPr>
            <w:r>
              <w:rPr>
                <w:sz w:val="17"/>
              </w:rPr>
              <w:t xml:space="preserve">§ 18.4</w:t>
            </w:r>
          </w:p>
        </w:tc>
        <w:tc>
          <w:tcPr/>
          <w:p>
            <w:pPr>
              <w:pStyle w:val="Compact"/>
            </w:pPr>
            <w:r>
              <w:rPr>
                <w:sz w:val="17"/>
              </w:rPr>
              <w:t xml:space="preserve">Oui</w:t>
            </w:r>
          </w:p>
        </w:tc>
        <w:tc>
          <w:tcPr/>
          <w:p>
            <w:pPr>
              <w:pStyle w:val="Compact"/>
            </w:pPr>
            <w:r>
              <w:rPr>
                <w:sz w:val="17"/>
              </w:rPr>
              <w:t xml:space="preserve">10 ans</w:t>
            </w:r>
          </w:p>
        </w:tc>
        <w:tc>
          <w:tcPr/>
          <w:p>
            <w:pPr>
              <w:pStyle w:val="Compact"/>
            </w:pPr>
            <w:r>
              <w:rPr>
                <w:sz w:val="17"/>
              </w:rPr>
              <w:t xml:space="preserve">C3</w:t>
            </w:r>
          </w:p>
        </w:tc>
      </w:tr>
      <w:tr>
        <w:tc>
          <w:tcPr>
            <w:shd w:val="clear" w:color="auto" w:fill="F5F7FB"/>
          </w:tcPr>
          <w:p>
            <w:pPr>
              <w:pStyle w:val="Compact"/>
            </w:pPr>
            <w:r>
              <w:rPr>
                <w:b/>
                <w:bCs/>
                <w:sz w:val="17"/>
              </w:rPr>
              <w:t xml:space="preserve">Settlement</w:t>
            </w:r>
          </w:p>
        </w:tc>
        <w:tc>
          <w:tcPr>
            <w:shd w:val="clear" w:color="auto" w:fill="F5F7FB"/>
          </w:tcPr>
          <w:p>
            <w:pPr>
              <w:pStyle w:val="Compact"/>
            </w:pPr>
            <w:r>
              <w:rPr>
                <w:sz w:val="17"/>
              </w:rPr>
              <w:t xml:space="preserve">Règlement bancaire</w:t>
            </w:r>
          </w:p>
        </w:tc>
        <w:tc>
          <w:tcPr>
            <w:shd w:val="clear" w:color="auto" w:fill="F5F7FB"/>
          </w:tcPr>
          <w:p>
            <w:pPr>
              <w:pStyle w:val="Compact"/>
            </w:pPr>
            <w:r>
              <w:rPr>
                <w:sz w:val="17"/>
              </w:rPr>
              <w:t xml:space="preserve">account_alias, statement_line, value_date, amount</w:t>
            </w:r>
          </w:p>
        </w:tc>
        <w:tc>
          <w:tcPr>
            <w:shd w:val="clear" w:color="auto" w:fill="F5F7FB"/>
          </w:tcPr>
          <w:p>
            <w:pPr>
              <w:pStyle w:val="Compact"/>
            </w:pPr>
            <w:r>
              <w:rPr>
                <w:sz w:val="17"/>
              </w:rPr>
              <w:t xml:space="preserve">Reconciliation</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REÇU→APPARIÉ</w:t>
            </w:r>
          </w:p>
        </w:tc>
        <w:tc>
          <w:tcPr>
            <w:shd w:val="clear" w:color="auto" w:fill="F5F7FB"/>
          </w:tcPr>
          <w:p>
            <w:pPr>
              <w:pStyle w:val="Compact"/>
            </w:pPr>
            <w:r>
              <w:rPr>
                <w:sz w:val="17"/>
              </w:rPr>
              <w:t xml:space="preserve">Oui</w:t>
            </w:r>
          </w:p>
        </w:tc>
        <w:tc>
          <w:tcPr>
            <w:shd w:val="clear" w:color="auto" w:fill="F5F7FB"/>
          </w:tcPr>
          <w:p>
            <w:pPr>
              <w:pStyle w:val="Compact"/>
            </w:pPr>
            <w:r>
              <w:rPr>
                <w:sz w:val="17"/>
              </w:rPr>
              <w:t xml:space="preserve">10 ans</w:t>
            </w:r>
          </w:p>
        </w:tc>
        <w:tc>
          <w:tcPr>
            <w:shd w:val="clear" w:color="auto" w:fill="F5F7FB"/>
          </w:tcPr>
          <w:p>
            <w:pPr>
              <w:pStyle w:val="Compact"/>
            </w:pPr>
            <w:r>
              <w:rPr>
                <w:sz w:val="17"/>
              </w:rPr>
              <w:t xml:space="preserve">C2</w:t>
            </w:r>
          </w:p>
        </w:tc>
      </w:tr>
      <w:tr>
        <w:tc>
          <w:tcPr/>
          <w:p>
            <w:pPr>
              <w:pStyle w:val="Compact"/>
            </w:pPr>
            <w:r>
              <w:rPr>
                <w:b/>
                <w:bCs/>
                <w:sz w:val="17"/>
              </w:rPr>
              <w:t xml:space="preserve">Reconciliation</w:t>
            </w:r>
          </w:p>
        </w:tc>
        <w:tc>
          <w:tcPr/>
          <w:p>
            <w:pPr>
              <w:pStyle w:val="Compact"/>
            </w:pPr>
            <w:r>
              <w:rPr>
                <w:sz w:val="17"/>
              </w:rPr>
              <w:t xml:space="preserve">Appariement</w:t>
            </w:r>
          </w:p>
        </w:tc>
        <w:tc>
          <w:tcPr/>
          <w:p>
            <w:pPr>
              <w:pStyle w:val="Compact"/>
            </w:pPr>
            <w:r>
              <w:rPr>
                <w:sz w:val="17"/>
              </w:rPr>
              <w:t xml:space="preserve">links, tolerance_used, status, resolver, approver</w:t>
            </w:r>
          </w:p>
        </w:tc>
        <w:tc>
          <w:tcPr/>
          <w:p>
            <w:pPr>
              <w:pStyle w:val="Compact"/>
            </w:pPr>
            <w:r>
              <w:rPr>
                <w:sz w:val="17"/>
              </w:rPr>
              <w:t xml:space="preserve">LedgerEntry</w:t>
            </w:r>
          </w:p>
        </w:tc>
        <w:tc>
          <w:tcPr/>
          <w:p>
            <w:pPr>
              <w:pStyle w:val="Compact"/>
            </w:pPr>
            <w:r>
              <w:rPr>
                <w:sz w:val="17"/>
              </w:rPr>
              <w:t xml:space="preserve">Équilibre</w:t>
            </w:r>
          </w:p>
        </w:tc>
        <w:tc>
          <w:tcPr/>
          <w:p>
            <w:pPr>
              <w:pStyle w:val="Compact"/>
            </w:pPr>
            <w:r>
              <w:rPr>
                <w:sz w:val="17"/>
              </w:rPr>
              <w:t xml:space="preserve">AUTO / EXCEPTION→RÉSOLUE</w:t>
            </w:r>
          </w:p>
        </w:tc>
        <w:tc>
          <w:tcPr/>
          <w:p>
            <w:pPr>
              <w:pStyle w:val="Compact"/>
            </w:pPr>
            <w:r>
              <w:rPr>
                <w:sz w:val="17"/>
              </w:rPr>
              <w:t xml:space="preserve">Oui</w:t>
            </w:r>
          </w:p>
        </w:tc>
        <w:tc>
          <w:tcPr/>
          <w:p>
            <w:pPr>
              <w:pStyle w:val="Compact"/>
            </w:pPr>
            <w:r>
              <w:rPr>
                <w:sz w:val="17"/>
              </w:rPr>
              <w:t xml:space="preserve">10 ans</w:t>
            </w:r>
          </w:p>
        </w:tc>
        <w:tc>
          <w:tcPr/>
          <w:p>
            <w:pPr>
              <w:pStyle w:val="Compact"/>
            </w:pPr>
            <w:r>
              <w:rPr>
                <w:sz w:val="17"/>
              </w:rPr>
              <w:t xml:space="preserve">C2</w:t>
            </w:r>
          </w:p>
        </w:tc>
      </w:tr>
      <w:tr>
        <w:tc>
          <w:tcPr>
            <w:shd w:val="clear" w:color="auto" w:fill="F5F7FB"/>
          </w:tcPr>
          <w:p>
            <w:pPr>
              <w:pStyle w:val="Compact"/>
            </w:pPr>
            <w:r>
              <w:rPr>
                <w:b/>
                <w:bCs/>
                <w:sz w:val="17"/>
              </w:rPr>
              <w:t xml:space="preserve">LedgerEntry</w:t>
            </w:r>
          </w:p>
        </w:tc>
        <w:tc>
          <w:tcPr>
            <w:shd w:val="clear" w:color="auto" w:fill="F5F7FB"/>
          </w:tcPr>
          <w:p>
            <w:pPr>
              <w:pStyle w:val="Compact"/>
            </w:pPr>
            <w:r>
              <w:rPr>
                <w:sz w:val="17"/>
              </w:rPr>
              <w:t xml:space="preserve">Écriture</w:t>
            </w:r>
          </w:p>
        </w:tc>
        <w:tc>
          <w:tcPr>
            <w:shd w:val="clear" w:color="auto" w:fill="F5F7FB"/>
          </w:tcPr>
          <w:p>
            <w:pPr>
              <w:pStyle w:val="Compact"/>
            </w:pPr>
            <w:r>
              <w:rPr>
                <w:sz w:val="17"/>
              </w:rPr>
              <w:t xml:space="preserve">journal, debit, credit, amount, links, day_hash</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Débit = crédit</w:t>
            </w:r>
          </w:p>
        </w:tc>
        <w:tc>
          <w:tcPr>
            <w:shd w:val="clear" w:color="auto" w:fill="F5F7FB"/>
          </w:tcPr>
          <w:p>
            <w:pPr>
              <w:pStyle w:val="Compact"/>
            </w:pPr>
            <w:r>
              <w:rPr>
                <w:sz w:val="17"/>
              </w:rPr>
              <w:t xml:space="preserve">Ajout seul</w:t>
            </w:r>
          </w:p>
        </w:tc>
        <w:tc>
          <w:tcPr>
            <w:shd w:val="clear" w:color="auto" w:fill="F5F7FB"/>
          </w:tcPr>
          <w:p>
            <w:pPr>
              <w:pStyle w:val="Compact"/>
            </w:pPr>
            <w:r>
              <w:rPr>
                <w:sz w:val="17"/>
              </w:rPr>
              <w:t xml:space="preserve">Chaîné</w:t>
            </w:r>
          </w:p>
        </w:tc>
        <w:tc>
          <w:tcPr>
            <w:shd w:val="clear" w:color="auto" w:fill="F5F7FB"/>
          </w:tcPr>
          <w:p>
            <w:pPr>
              <w:pStyle w:val="Compact"/>
            </w:pPr>
            <w:r>
              <w:rPr>
                <w:sz w:val="17"/>
              </w:rPr>
              <w:t xml:space="preserve">10 ans minimum</w:t>
            </w:r>
          </w:p>
        </w:tc>
        <w:tc>
          <w:tcPr>
            <w:shd w:val="clear" w:color="auto" w:fill="F5F7FB"/>
          </w:tcPr>
          <w:p>
            <w:pPr>
              <w:pStyle w:val="Compact"/>
            </w:pPr>
            <w:r>
              <w:rPr>
                <w:sz w:val="17"/>
              </w:rPr>
              <w:t xml:space="preserve">C2</w:t>
            </w:r>
          </w:p>
        </w:tc>
      </w:tr>
      <w:tr>
        <w:tc>
          <w:tcPr/>
          <w:p>
            <w:pPr>
              <w:pStyle w:val="Compact"/>
            </w:pPr>
            <w:r>
              <w:rPr>
                <w:b/>
                <w:bCs/>
                <w:sz w:val="17"/>
              </w:rPr>
              <w:t xml:space="preserve">Receipt</w:t>
            </w:r>
          </w:p>
        </w:tc>
        <w:tc>
          <w:tcPr/>
          <w:p>
            <w:pPr>
              <w:pStyle w:val="Compact"/>
            </w:pPr>
            <w:r>
              <w:rPr>
                <w:sz w:val="17"/>
              </w:rPr>
              <w:t xml:space="preserve">Quittance</w:t>
            </w:r>
          </w:p>
        </w:tc>
        <w:tc>
          <w:tcPr/>
          <w:p>
            <w:pPr>
              <w:pStyle w:val="Compact"/>
            </w:pPr>
            <w:r>
              <w:rPr>
                <w:sz w:val="17"/>
              </w:rPr>
              <w:t xml:space="preserve">number, payment_event, qr_payload, signature, status</w:t>
            </w:r>
          </w:p>
        </w:tc>
        <w:tc>
          <w:tcPr/>
          <w:p>
            <w:pPr>
              <w:pStyle w:val="Compact"/>
            </w:pPr>
            <w:r>
              <w:rPr>
                <w:sz w:val="17"/>
              </w:rPr>
              <w:t xml:space="preserve">PaymentEvent</w:t>
            </w:r>
          </w:p>
        </w:tc>
        <w:tc>
          <w:tcPr/>
          <w:p>
            <w:pPr>
              <w:pStyle w:val="Compact"/>
            </w:pPr>
            <w:r>
              <w:rPr>
                <w:sz w:val="17"/>
              </w:rPr>
              <w:t xml:space="preserve">Émission seulement si état autorisé</w:t>
            </w:r>
          </w:p>
        </w:tc>
        <w:tc>
          <w:tcPr/>
          <w:p>
            <w:pPr>
              <w:pStyle w:val="Compact"/>
            </w:pPr>
            <w:r>
              <w:rPr>
                <w:sz w:val="17"/>
              </w:rPr>
              <w:t xml:space="preserve">PROVISOIRE→DÉFINITIVE / ANNULÉE / REMPLACÉE / SUSPECTE</w:t>
            </w:r>
          </w:p>
        </w:tc>
        <w:tc>
          <w:tcPr/>
          <w:p>
            <w:pPr>
              <w:pStyle w:val="Compact"/>
            </w:pPr>
            <w:r>
              <w:rPr>
                <w:sz w:val="17"/>
              </w:rPr>
              <w:t xml:space="preserve">Oui</w:t>
            </w:r>
          </w:p>
        </w:tc>
        <w:tc>
          <w:tcPr/>
          <w:p>
            <w:pPr>
              <w:pStyle w:val="Compact"/>
            </w:pPr>
            <w:r>
              <w:rPr>
                <w:sz w:val="17"/>
              </w:rPr>
              <w:t xml:space="preserve">10 ans</w:t>
            </w:r>
          </w:p>
        </w:tc>
        <w:tc>
          <w:tcPr/>
          <w:p>
            <w:pPr>
              <w:pStyle w:val="Compact"/>
            </w:pPr>
            <w:r>
              <w:rPr>
                <w:sz w:val="17"/>
              </w:rPr>
              <w:t xml:space="preserve">C3</w:t>
            </w:r>
          </w:p>
        </w:tc>
      </w:tr>
      <w:tr>
        <w:tc>
          <w:tcPr>
            <w:shd w:val="clear" w:color="auto" w:fill="F5F7FB"/>
          </w:tcPr>
          <w:p>
            <w:pPr>
              <w:pStyle w:val="Compact"/>
            </w:pPr>
            <w:r>
              <w:rPr>
                <w:b/>
                <w:bCs/>
                <w:sz w:val="17"/>
              </w:rPr>
              <w:t xml:space="preserve">Inspection</w:t>
            </w:r>
          </w:p>
        </w:tc>
        <w:tc>
          <w:tcPr>
            <w:shd w:val="clear" w:color="auto" w:fill="F5F7FB"/>
          </w:tcPr>
          <w:p>
            <w:pPr>
              <w:pStyle w:val="Compact"/>
            </w:pPr>
            <w:r>
              <w:rPr>
                <w:sz w:val="17"/>
              </w:rPr>
              <w:t xml:space="preserve">Constat</w:t>
            </w:r>
          </w:p>
        </w:tc>
        <w:tc>
          <w:tcPr>
            <w:shd w:val="clear" w:color="auto" w:fill="F5F7FB"/>
          </w:tcPr>
          <w:p>
            <w:pPr>
              <w:pStyle w:val="Compact"/>
            </w:pPr>
            <w:r>
              <w:rPr>
                <w:sz w:val="17"/>
              </w:rPr>
              <w:t xml:space="preserve">mission, object, observations, gps, photos, agent, device</w:t>
            </w:r>
          </w:p>
        </w:tc>
        <w:tc>
          <w:tcPr>
            <w:shd w:val="clear" w:color="auto" w:fill="F5F7FB"/>
          </w:tcPr>
          <w:p>
            <w:pPr>
              <w:pStyle w:val="Compact"/>
            </w:pPr>
            <w:r>
              <w:rPr>
                <w:sz w:val="17"/>
              </w:rPr>
              <w:t xml:space="preserve">Evidence</w:t>
            </w:r>
          </w:p>
        </w:tc>
        <w:tc>
          <w:tcPr>
            <w:shd w:val="clear" w:color="auto" w:fill="F5F7FB"/>
          </w:tcPr>
          <w:p>
            <w:pPr>
              <w:pStyle w:val="Compact"/>
            </w:pPr>
            <w:r>
              <w:rPr>
                <w:sz w:val="17"/>
              </w:rPr>
              <w:t xml:space="preserve">Plausibilité</w:t>
            </w:r>
          </w:p>
        </w:tc>
        <w:tc>
          <w:tcPr>
            <w:shd w:val="clear" w:color="auto" w:fill="F5F7FB"/>
          </w:tcPr>
          <w:p>
            <w:pPr>
              <w:pStyle w:val="Compact"/>
            </w:pPr>
            <w:r>
              <w:rPr>
                <w:sz w:val="17"/>
              </w:rPr>
              <w:t xml:space="preserve">BROUILLON→SYNCHRONISÉ→VALIDÉ / REJETÉ</w:t>
            </w:r>
          </w:p>
        </w:tc>
        <w:tc>
          <w:tcPr>
            <w:shd w:val="clear" w:color="auto" w:fill="F5F7FB"/>
          </w:tcPr>
          <w:p>
            <w:pPr>
              <w:pStyle w:val="Compact"/>
            </w:pPr>
            <w:r>
              <w:rPr>
                <w:sz w:val="17"/>
              </w:rPr>
              <w:t xml:space="preserve">Oui</w:t>
            </w:r>
          </w:p>
        </w:tc>
        <w:tc>
          <w:tcPr>
            <w:shd w:val="clear" w:color="auto" w:fill="F5F7FB"/>
          </w:tcPr>
          <w:p>
            <w:pPr>
              <w:pStyle w:val="Compact"/>
            </w:pPr>
            <w:r>
              <w:rPr>
                <w:sz w:val="17"/>
              </w:rPr>
              <w:t xml:space="preserve">Prescription + 10 ans</w:t>
            </w:r>
          </w:p>
        </w:tc>
        <w:tc>
          <w:tcPr>
            <w:shd w:val="clear" w:color="auto" w:fill="F5F7FB"/>
          </w:tcPr>
          <w:p>
            <w:pPr>
              <w:pStyle w:val="Compact"/>
            </w:pPr>
            <w:r>
              <w:rPr>
                <w:sz w:val="17"/>
              </w:rPr>
              <w:t xml:space="preserve">C4</w:t>
            </w:r>
          </w:p>
        </w:tc>
      </w:tr>
      <w:tr>
        <w:tc>
          <w:tcPr/>
          <w:p>
            <w:pPr>
              <w:pStyle w:val="Compact"/>
            </w:pPr>
            <w:r>
              <w:rPr>
                <w:b/>
                <w:bCs/>
                <w:sz w:val="17"/>
              </w:rPr>
              <w:t xml:space="preserve">FieldMission</w:t>
            </w:r>
          </w:p>
        </w:tc>
        <w:tc>
          <w:tcPr/>
          <w:p>
            <w:pPr>
              <w:pStyle w:val="Compact"/>
            </w:pPr>
            <w:r>
              <w:rPr>
                <w:sz w:val="17"/>
              </w:rPr>
              <w:t xml:space="preserve">Mission</w:t>
            </w:r>
          </w:p>
        </w:tc>
        <w:tc>
          <w:tcPr/>
          <w:p>
            <w:pPr>
              <w:pStyle w:val="Compact"/>
            </w:pPr>
            <w:r>
              <w:rPr>
                <w:sz w:val="17"/>
              </w:rPr>
              <w:t xml:space="preserve">polygon, objects[], team, window, status</w:t>
            </w:r>
          </w:p>
        </w:tc>
        <w:tc>
          <w:tcPr/>
          <w:p>
            <w:pPr>
              <w:pStyle w:val="Compact"/>
            </w:pPr>
            <w:r>
              <w:rPr>
                <w:sz w:val="17"/>
              </w:rPr>
              <w:t xml:space="preserve">Inspection</w:t>
            </w:r>
          </w:p>
        </w:tc>
        <w:tc>
          <w:tcPr/>
          <w:p>
            <w:pPr>
              <w:pStyle w:val="Compact"/>
            </w:pPr>
            <w:r>
              <w:rPr>
                <w:sz w:val="17"/>
              </w:rPr>
              <w:t xml:space="preserve">—</w:t>
            </w:r>
          </w:p>
        </w:tc>
        <w:tc>
          <w:tcPr/>
          <w:p>
            <w:pPr>
              <w:pStyle w:val="Compact"/>
            </w:pPr>
            <w:r>
              <w:rPr>
                <w:sz w:val="17"/>
              </w:rPr>
              <w:t xml:space="preserve">PLANIFIÉE→EN_COURS→CLOSE</w:t>
            </w:r>
          </w:p>
        </w:tc>
        <w:tc>
          <w:tcPr/>
          <w:p>
            <w:pPr>
              <w:pStyle w:val="Compact"/>
            </w:pPr>
            <w:r>
              <w:rPr>
                <w:sz w:val="17"/>
              </w:rPr>
              <w:t xml:space="preserve">Oui</w:t>
            </w:r>
          </w:p>
        </w:tc>
        <w:tc>
          <w:tcPr/>
          <w:p>
            <w:pPr>
              <w:pStyle w:val="Compact"/>
            </w:pPr>
            <w:r>
              <w:rPr>
                <w:sz w:val="17"/>
              </w:rPr>
              <w:t xml:space="preserve">5 ans</w:t>
            </w:r>
          </w:p>
        </w:tc>
        <w:tc>
          <w:tcPr/>
          <w:p>
            <w:pPr>
              <w:pStyle w:val="Compact"/>
            </w:pPr>
            <w:r>
              <w:rPr>
                <w:sz w:val="17"/>
              </w:rPr>
              <w:t xml:space="preserve">C2</w:t>
            </w:r>
          </w:p>
        </w:tc>
      </w:tr>
      <w:tr>
        <w:tc>
          <w:tcPr>
            <w:shd w:val="clear" w:color="auto" w:fill="F5F7FB"/>
          </w:tcPr>
          <w:p>
            <w:pPr>
              <w:pStyle w:val="Compact"/>
            </w:pPr>
            <w:r>
              <w:rPr>
                <w:b/>
                <w:bCs/>
                <w:sz w:val="17"/>
              </w:rPr>
              <w:t xml:space="preserve">Evidence</w:t>
            </w:r>
          </w:p>
        </w:tc>
        <w:tc>
          <w:tcPr>
            <w:shd w:val="clear" w:color="auto" w:fill="F5F7FB"/>
          </w:tcPr>
          <w:p>
            <w:pPr>
              <w:pStyle w:val="Compact"/>
            </w:pPr>
            <w:r>
              <w:rPr>
                <w:sz w:val="17"/>
              </w:rPr>
              <w:t xml:space="preserve">Preuve</w:t>
            </w:r>
          </w:p>
        </w:tc>
        <w:tc>
          <w:tcPr>
            <w:shd w:val="clear" w:color="auto" w:fill="F5F7FB"/>
          </w:tcPr>
          <w:p>
            <w:pPr>
              <w:pStyle w:val="Compact"/>
            </w:pPr>
            <w:r>
              <w:rPr>
                <w:sz w:val="17"/>
              </w:rPr>
              <w:t xml:space="preserve">type, file_ref, sha256, captured_at, device, seal</w:t>
            </w:r>
          </w:p>
        </w:tc>
        <w:tc>
          <w:tcPr>
            <w:shd w:val="clear" w:color="auto" w:fill="F5F7FB"/>
          </w:tcPr>
          <w:p>
            <w:pPr>
              <w:pStyle w:val="Compact"/>
            </w:pPr>
            <w:r>
              <w:rPr>
                <w:sz w:val="17"/>
              </w:rPr>
              <w:t xml:space="preserve">Inspection, Appeal</w:t>
            </w:r>
          </w:p>
        </w:tc>
        <w:tc>
          <w:tcPr>
            <w:shd w:val="clear" w:color="auto" w:fill="F5F7FB"/>
          </w:tcPr>
          <w:p>
            <w:pPr>
              <w:pStyle w:val="Compact"/>
            </w:pPr>
            <w:r>
              <w:rPr>
                <w:sz w:val="17"/>
              </w:rPr>
              <w:t xml:space="preserve">Hachage</w:t>
            </w:r>
          </w:p>
        </w:tc>
        <w:tc>
          <w:tcPr>
            <w:shd w:val="clear" w:color="auto" w:fill="F5F7FB"/>
          </w:tcPr>
          <w:p>
            <w:pPr>
              <w:pStyle w:val="Compact"/>
            </w:pPr>
            <w:r>
              <w:rPr>
                <w:sz w:val="17"/>
              </w:rPr>
              <w:t xml:space="preserve">SCELLÉE</w:t>
            </w:r>
          </w:p>
        </w:tc>
        <w:tc>
          <w:tcPr>
            <w:shd w:val="clear" w:color="auto" w:fill="F5F7FB"/>
          </w:tcPr>
          <w:p>
            <w:pPr>
              <w:pStyle w:val="Compact"/>
            </w:pPr>
            <w:r>
              <w:rPr>
                <w:sz w:val="17"/>
              </w:rPr>
              <w:t xml:space="preserve">Oui</w:t>
            </w:r>
          </w:p>
        </w:tc>
        <w:tc>
          <w:tcPr>
            <w:shd w:val="clear" w:color="auto" w:fill="F5F7FB"/>
          </w:tcPr>
          <w:p>
            <w:pPr>
              <w:pStyle w:val="Compact"/>
            </w:pPr>
            <w:r>
              <w:rPr>
                <w:sz w:val="17"/>
              </w:rPr>
              <w:t xml:space="preserve">Avec le dossier</w:t>
            </w:r>
          </w:p>
        </w:tc>
        <w:tc>
          <w:tcPr>
            <w:shd w:val="clear" w:color="auto" w:fill="F5F7FB"/>
          </w:tcPr>
          <w:p>
            <w:pPr>
              <w:pStyle w:val="Compact"/>
            </w:pPr>
            <w:r>
              <w:rPr>
                <w:sz w:val="17"/>
              </w:rPr>
              <w:t xml:space="preserve">C4</w:t>
            </w:r>
          </w:p>
        </w:tc>
      </w:tr>
      <w:tr>
        <w:tc>
          <w:tcPr/>
          <w:p>
            <w:pPr>
              <w:pStyle w:val="Compact"/>
            </w:pPr>
            <w:r>
              <w:rPr>
                <w:b/>
                <w:bCs/>
                <w:sz w:val="17"/>
              </w:rPr>
              <w:t xml:space="preserve">Notification</w:t>
            </w:r>
          </w:p>
        </w:tc>
        <w:tc>
          <w:tcPr/>
          <w:p>
            <w:pPr>
              <w:pStyle w:val="Compact"/>
            </w:pPr>
            <w:r>
              <w:rPr>
                <w:sz w:val="17"/>
              </w:rPr>
              <w:t xml:space="preserve">Message</w:t>
            </w:r>
          </w:p>
        </w:tc>
        <w:tc>
          <w:tcPr/>
          <w:p>
            <w:pPr>
              <w:pStyle w:val="Compact"/>
            </w:pPr>
            <w:r>
              <w:rPr>
                <w:sz w:val="17"/>
              </w:rPr>
              <w:t xml:space="preserve">event_code, channel, recipient, template_version, status, proof</w:t>
            </w:r>
          </w:p>
        </w:tc>
        <w:tc>
          <w:tcPr/>
          <w:p>
            <w:pPr>
              <w:pStyle w:val="Compact"/>
            </w:pPr>
            <w:r>
              <w:rPr>
                <w:sz w:val="17"/>
              </w:rPr>
              <w:t xml:space="preserve">—</w:t>
            </w:r>
          </w:p>
        </w:tc>
        <w:tc>
          <w:tcPr/>
          <w:p>
            <w:pPr>
              <w:pStyle w:val="Compact"/>
            </w:pPr>
            <w:r>
              <w:rPr>
                <w:sz w:val="17"/>
              </w:rPr>
              <w:t xml:space="preserve">Modèle approuvé</w:t>
            </w:r>
          </w:p>
        </w:tc>
        <w:tc>
          <w:tcPr/>
          <w:p>
            <w:pPr>
              <w:pStyle w:val="Compact"/>
            </w:pPr>
            <w:r>
              <w:rPr>
                <w:sz w:val="17"/>
              </w:rPr>
              <w:t xml:space="preserve">§ 11.4.7</w:t>
            </w:r>
          </w:p>
        </w:tc>
        <w:tc>
          <w:tcPr/>
          <w:p>
            <w:pPr>
              <w:pStyle w:val="Compact"/>
            </w:pPr>
            <w:r>
              <w:rPr>
                <w:sz w:val="17"/>
              </w:rPr>
              <w:t xml:space="preserve">Oui</w:t>
            </w:r>
          </w:p>
        </w:tc>
        <w:tc>
          <w:tcPr/>
          <w:p>
            <w:pPr>
              <w:pStyle w:val="Compact"/>
            </w:pPr>
            <w:r>
              <w:rPr>
                <w:sz w:val="17"/>
              </w:rPr>
              <w:t xml:space="preserve">5 ans (10 ans pour avis légaux)</w:t>
            </w:r>
          </w:p>
        </w:tc>
        <w:tc>
          <w:tcPr/>
          <w:p>
            <w:pPr>
              <w:pStyle w:val="Compact"/>
            </w:pPr>
            <w:r>
              <w:rPr>
                <w:sz w:val="17"/>
              </w:rPr>
              <w:t xml:space="preserve">C3</w:t>
            </w:r>
          </w:p>
        </w:tc>
      </w:tr>
      <w:tr>
        <w:tc>
          <w:tcPr>
            <w:shd w:val="clear" w:color="auto" w:fill="F5F7FB"/>
          </w:tcPr>
          <w:p>
            <w:pPr>
              <w:pStyle w:val="Compact"/>
            </w:pPr>
            <w:r>
              <w:rPr>
                <w:b/>
                <w:bCs/>
                <w:sz w:val="17"/>
              </w:rPr>
              <w:t xml:space="preserve">Appeal</w:t>
            </w:r>
          </w:p>
        </w:tc>
        <w:tc>
          <w:tcPr>
            <w:shd w:val="clear" w:color="auto" w:fill="F5F7FB"/>
          </w:tcPr>
          <w:p>
            <w:pPr>
              <w:pStyle w:val="Compact"/>
            </w:pPr>
            <w:r>
              <w:rPr>
                <w:sz w:val="17"/>
              </w:rPr>
              <w:t xml:space="preserve">Réclamation</w:t>
            </w:r>
          </w:p>
        </w:tc>
        <w:tc>
          <w:tcPr>
            <w:shd w:val="clear" w:color="auto" w:fill="F5F7FB"/>
          </w:tcPr>
          <w:p>
            <w:pPr>
              <w:pStyle w:val="Compact"/>
            </w:pPr>
            <w:r>
              <w:rPr>
                <w:sz w:val="17"/>
              </w:rPr>
              <w:t xml:space="preserve">reason_code, submitted_at, evidence, instructor, decider, decision</w:t>
            </w:r>
          </w:p>
        </w:tc>
        <w:tc>
          <w:tcPr>
            <w:shd w:val="clear" w:color="auto" w:fill="F5F7FB"/>
          </w:tcPr>
          <w:p>
            <w:pPr>
              <w:pStyle w:val="Compact"/>
            </w:pPr>
            <w:r>
              <w:rPr>
                <w:sz w:val="17"/>
              </w:rPr>
              <w:t xml:space="preserve">Obligation</w:t>
            </w:r>
          </w:p>
        </w:tc>
        <w:tc>
          <w:tcPr>
            <w:shd w:val="clear" w:color="auto" w:fill="F5F7FB"/>
          </w:tcPr>
          <w:p>
            <w:pPr>
              <w:pStyle w:val="Compact"/>
            </w:pPr>
            <w:r>
              <w:rPr>
                <w:sz w:val="17"/>
              </w:rPr>
              <w:t xml:space="preserve">Délai</w:t>
            </w:r>
          </w:p>
        </w:tc>
        <w:tc>
          <w:tcPr>
            <w:shd w:val="clear" w:color="auto" w:fill="F5F7FB"/>
          </w:tcPr>
          <w:p>
            <w:pPr>
              <w:pStyle w:val="Compact"/>
            </w:pPr>
            <w:r>
              <w:rPr>
                <w:sz w:val="17"/>
              </w:rPr>
              <w:t xml:space="preserve">§ 22.2</w:t>
            </w:r>
          </w:p>
        </w:tc>
        <w:tc>
          <w:tcPr>
            <w:shd w:val="clear" w:color="auto" w:fill="F5F7FB"/>
          </w:tcPr>
          <w:p>
            <w:pPr>
              <w:pStyle w:val="Compact"/>
            </w:pPr>
            <w:r>
              <w:rPr>
                <w:sz w:val="17"/>
              </w:rPr>
              <w:t xml:space="preserve">Oui</w:t>
            </w:r>
          </w:p>
        </w:tc>
        <w:tc>
          <w:tcPr>
            <w:shd w:val="clear" w:color="auto" w:fill="F5F7FB"/>
          </w:tcPr>
          <w:p>
            <w:pPr>
              <w:pStyle w:val="Compact"/>
            </w:pPr>
            <w:r>
              <w:rPr>
                <w:sz w:val="17"/>
              </w:rPr>
              <w:t xml:space="preserve">Décision + 10 ans</w:t>
            </w:r>
          </w:p>
        </w:tc>
        <w:tc>
          <w:tcPr>
            <w:shd w:val="clear" w:color="auto" w:fill="F5F7FB"/>
          </w:tcPr>
          <w:p>
            <w:pPr>
              <w:pStyle w:val="Compact"/>
            </w:pPr>
            <w:r>
              <w:rPr>
                <w:sz w:val="17"/>
              </w:rPr>
              <w:t xml:space="preserve">C4</w:t>
            </w:r>
          </w:p>
        </w:tc>
      </w:tr>
      <w:tr>
        <w:tc>
          <w:tcPr/>
          <w:p>
            <w:pPr>
              <w:pStyle w:val="Compact"/>
            </w:pPr>
            <w:r>
              <w:rPr>
                <w:b/>
                <w:bCs/>
                <w:sz w:val="17"/>
              </w:rPr>
              <w:t xml:space="preserve">Penalty</w:t>
            </w:r>
          </w:p>
        </w:tc>
        <w:tc>
          <w:tcPr/>
          <w:p>
            <w:pPr>
              <w:pStyle w:val="Compact"/>
            </w:pPr>
            <w:r>
              <w:rPr>
                <w:sz w:val="17"/>
              </w:rPr>
              <w:t xml:space="preserve">Pénalité</w:t>
            </w:r>
          </w:p>
        </w:tc>
        <w:tc>
          <w:tcPr/>
          <w:p>
            <w:pPr>
              <w:pStyle w:val="Compact"/>
            </w:pPr>
            <w:r>
              <w:rPr>
                <w:sz w:val="17"/>
              </w:rPr>
              <w:t xml:space="preserve">legal_basis, computation, decided_by</w:t>
            </w:r>
          </w:p>
        </w:tc>
        <w:tc>
          <w:tcPr/>
          <w:p>
            <w:pPr>
              <w:pStyle w:val="Compact"/>
            </w:pPr>
            <w:r>
              <w:rPr>
                <w:sz w:val="17"/>
              </w:rPr>
              <w:t xml:space="preserve">Obligation</w:t>
            </w:r>
          </w:p>
        </w:tc>
        <w:tc>
          <w:tcPr/>
          <w:p>
            <w:pPr>
              <w:pStyle w:val="Compact"/>
            </w:pPr>
            <w:r>
              <w:rPr>
                <w:sz w:val="17"/>
              </w:rPr>
              <w:t xml:space="preserve">Base légale</w:t>
            </w:r>
          </w:p>
        </w:tc>
        <w:tc>
          <w:tcPr/>
          <w:p>
            <w:pPr>
              <w:pStyle w:val="Compact"/>
            </w:pPr>
            <w:r>
              <w:rPr>
                <w:sz w:val="17"/>
              </w:rPr>
              <w:t xml:space="preserve">PROPOSÉE→DÉCIDÉE→ANNULÉE</w:t>
            </w:r>
          </w:p>
        </w:tc>
        <w:tc>
          <w:tcPr/>
          <w:p>
            <w:pPr>
              <w:pStyle w:val="Compact"/>
            </w:pPr>
            <w:r>
              <w:rPr>
                <w:sz w:val="17"/>
              </w:rPr>
              <w:t xml:space="preserve">Oui</w:t>
            </w:r>
          </w:p>
        </w:tc>
        <w:tc>
          <w:tcPr/>
          <w:p>
            <w:pPr>
              <w:pStyle w:val="Compact"/>
            </w:pPr>
            <w:r>
              <w:rPr>
                <w:sz w:val="17"/>
              </w:rPr>
              <w:t xml:space="preserve">Idem</w:t>
            </w:r>
          </w:p>
        </w:tc>
        <w:tc>
          <w:tcPr/>
          <w:p>
            <w:pPr>
              <w:pStyle w:val="Compact"/>
            </w:pPr>
            <w:r>
              <w:rPr>
                <w:sz w:val="17"/>
              </w:rPr>
              <w:t xml:space="preserve">C4</w:t>
            </w:r>
          </w:p>
        </w:tc>
      </w:tr>
      <w:tr>
        <w:tc>
          <w:tcPr>
            <w:shd w:val="clear" w:color="auto" w:fill="F5F7FB"/>
          </w:tcPr>
          <w:p>
            <w:pPr>
              <w:pStyle w:val="Compact"/>
            </w:pPr>
            <w:r>
              <w:rPr>
                <w:b/>
                <w:bCs/>
                <w:sz w:val="17"/>
              </w:rPr>
              <w:t xml:space="preserve">EnforcementCase</w:t>
            </w:r>
          </w:p>
        </w:tc>
        <w:tc>
          <w:tcPr>
            <w:shd w:val="clear" w:color="auto" w:fill="F5F7FB"/>
          </w:tcPr>
          <w:p>
            <w:pPr>
              <w:pStyle w:val="Compact"/>
            </w:pPr>
            <w:r>
              <w:rPr>
                <w:sz w:val="17"/>
              </w:rPr>
              <w:t xml:space="preserve">Dossier d’exécution</w:t>
            </w:r>
          </w:p>
        </w:tc>
        <w:tc>
          <w:tcPr>
            <w:shd w:val="clear" w:color="auto" w:fill="F5F7FB"/>
          </w:tcPr>
          <w:p>
            <w:pPr>
              <w:pStyle w:val="Compact"/>
            </w:pPr>
            <w:r>
              <w:rPr>
                <w:sz w:val="17"/>
              </w:rPr>
              <w:t xml:space="preserve">measures[], authority, status</w:t>
            </w:r>
          </w:p>
        </w:tc>
        <w:tc>
          <w:tcPr>
            <w:shd w:val="clear" w:color="auto" w:fill="F5F7FB"/>
          </w:tcPr>
          <w:p>
            <w:pPr>
              <w:pStyle w:val="Compact"/>
            </w:pPr>
            <w:r>
              <w:rPr>
                <w:sz w:val="17"/>
              </w:rPr>
              <w:t xml:space="preserve">Obligation</w:t>
            </w:r>
          </w:p>
        </w:tc>
        <w:tc>
          <w:tcPr>
            <w:shd w:val="clear" w:color="auto" w:fill="F5F7FB"/>
          </w:tcPr>
          <w:p>
            <w:pPr>
              <w:pStyle w:val="Compact"/>
            </w:pPr>
            <w:r>
              <w:rPr>
                <w:sz w:val="17"/>
              </w:rPr>
              <w:t xml:space="preserve">Procédure</w:t>
            </w:r>
          </w:p>
        </w:tc>
        <w:tc>
          <w:tcPr>
            <w:shd w:val="clear" w:color="auto" w:fill="F5F7FB"/>
          </w:tcPr>
          <w:p>
            <w:pPr>
              <w:pStyle w:val="Compact"/>
            </w:pPr>
            <w:r>
              <w:rPr>
                <w:sz w:val="17"/>
              </w:rPr>
              <w:t xml:space="preserve">OUVERT→DÉCIDÉ→LEVÉ / CLOS</w:t>
            </w:r>
          </w:p>
        </w:tc>
        <w:tc>
          <w:tcPr>
            <w:shd w:val="clear" w:color="auto" w:fill="F5F7FB"/>
          </w:tcPr>
          <w:p>
            <w:pPr>
              <w:pStyle w:val="Compact"/>
            </w:pPr>
            <w:r>
              <w:rPr>
                <w:sz w:val="17"/>
              </w:rPr>
              <w:t xml:space="preserve">Oui</w:t>
            </w:r>
          </w:p>
        </w:tc>
        <w:tc>
          <w:tcPr>
            <w:shd w:val="clear" w:color="auto" w:fill="F5F7FB"/>
          </w:tcPr>
          <w:p>
            <w:pPr>
              <w:pStyle w:val="Compact"/>
            </w:pPr>
            <w:r>
              <w:rPr>
                <w:sz w:val="17"/>
              </w:rPr>
              <w:t xml:space="preserve">Clôture + 10 ans</w:t>
            </w:r>
          </w:p>
        </w:tc>
        <w:tc>
          <w:tcPr>
            <w:shd w:val="clear" w:color="auto" w:fill="F5F7FB"/>
          </w:tcPr>
          <w:p>
            <w:pPr>
              <w:pStyle w:val="Compact"/>
            </w:pPr>
            <w:r>
              <w:rPr>
                <w:sz w:val="17"/>
              </w:rPr>
              <w:t xml:space="preserve">C4</w:t>
            </w:r>
          </w:p>
        </w:tc>
      </w:tr>
      <w:tr>
        <w:tc>
          <w:tcPr/>
          <w:p>
            <w:pPr>
              <w:pStyle w:val="Compact"/>
            </w:pPr>
            <w:r>
              <w:rPr>
                <w:b/>
                <w:bCs/>
                <w:sz w:val="17"/>
              </w:rPr>
              <w:t xml:space="preserve">AllocationRule</w:t>
            </w:r>
          </w:p>
        </w:tc>
        <w:tc>
          <w:tcPr/>
          <w:p>
            <w:pPr>
              <w:pStyle w:val="Compact"/>
            </w:pPr>
            <w:r>
              <w:rPr>
                <w:sz w:val="17"/>
              </w:rPr>
              <w:t xml:space="preserve">Clé légale de répartition</w:t>
            </w:r>
          </w:p>
        </w:tc>
        <w:tc>
          <w:tcPr/>
          <w:p>
            <w:pPr>
              <w:pStyle w:val="Compact"/>
            </w:pPr>
            <w:r>
              <w:rPr>
                <w:sz w:val="17"/>
              </w:rPr>
              <w:t xml:space="preserve">legal_basis, shares, effective dates</w:t>
            </w:r>
          </w:p>
        </w:tc>
        <w:tc>
          <w:tcPr/>
          <w:p>
            <w:pPr>
              <w:pStyle w:val="Compact"/>
            </w:pPr>
            <w:r>
              <w:rPr>
                <w:sz w:val="17"/>
              </w:rPr>
              <w:t xml:space="preserve">—</w:t>
            </w:r>
          </w:p>
        </w:tc>
        <w:tc>
          <w:tcPr/>
          <w:p>
            <w:pPr>
              <w:pStyle w:val="Compact"/>
            </w:pPr>
            <w:r>
              <w:rPr>
                <w:sz w:val="17"/>
              </w:rPr>
              <w:t xml:space="preserve">Somme = 100 %</w:t>
            </w:r>
          </w:p>
        </w:tc>
        <w:tc>
          <w:tcPr/>
          <w:p>
            <w:pPr>
              <w:pStyle w:val="Compact"/>
            </w:pPr>
            <w:r>
              <w:rPr>
                <w:sz w:val="17"/>
              </w:rPr>
              <w:t xml:space="preserve">Versionnée</w:t>
            </w:r>
          </w:p>
        </w:tc>
        <w:tc>
          <w:tcPr/>
          <w:p>
            <w:pPr>
              <w:pStyle w:val="Compact"/>
            </w:pPr>
            <w:r>
              <w:rPr>
                <w:sz w:val="17"/>
              </w:rPr>
              <w:t xml:space="preserve">Oui</w:t>
            </w:r>
          </w:p>
        </w:tc>
        <w:tc>
          <w:tcPr/>
          <w:p>
            <w:pPr>
              <w:pStyle w:val="Compact"/>
            </w:pPr>
            <w:r>
              <w:rPr>
                <w:sz w:val="17"/>
              </w:rPr>
              <w:t xml:space="preserve">Permanent</w:t>
            </w:r>
          </w:p>
        </w:tc>
        <w:tc>
          <w:tcPr/>
          <w:p>
            <w:pPr>
              <w:pStyle w:val="Compact"/>
            </w:pPr>
            <w:r>
              <w:rPr>
                <w:sz w:val="17"/>
              </w:rPr>
              <w:t xml:space="preserve">C1</w:t>
            </w:r>
          </w:p>
        </w:tc>
      </w:tr>
      <w:tr>
        <w:tc>
          <w:tcPr>
            <w:shd w:val="clear" w:color="auto" w:fill="F5F7FB"/>
          </w:tcPr>
          <w:p>
            <w:pPr>
              <w:pStyle w:val="Compact"/>
            </w:pPr>
            <w:r>
              <w:rPr>
                <w:b/>
                <w:bCs/>
                <w:sz w:val="17"/>
              </w:rPr>
              <w:t xml:space="preserve">BudgetRecommendation</w:t>
            </w:r>
          </w:p>
        </w:tc>
        <w:tc>
          <w:tcPr>
            <w:shd w:val="clear" w:color="auto" w:fill="F5F7FB"/>
          </w:tcPr>
          <w:p>
            <w:pPr>
              <w:pStyle w:val="Compact"/>
            </w:pPr>
            <w:r>
              <w:rPr>
                <w:sz w:val="17"/>
              </w:rPr>
              <w:t xml:space="preserve">Scénario d’emploi des fonds</w:t>
            </w:r>
          </w:p>
        </w:tc>
        <w:tc>
          <w:tcPr>
            <w:shd w:val="clear" w:color="auto" w:fill="F5F7FB"/>
          </w:tcPr>
          <w:p>
            <w:pPr>
              <w:pStyle w:val="Compact"/>
            </w:pPr>
            <w:r>
              <w:rPr>
                <w:sz w:val="17"/>
              </w:rPr>
              <w:t xml:space="preserve">available_amount, projects, rationale, model_version</w:t>
            </w:r>
          </w:p>
        </w:tc>
        <w:tc>
          <w:tcPr>
            <w:shd w:val="clear" w:color="auto" w:fill="F5F7FB"/>
          </w:tcPr>
          <w:p>
            <w:pPr>
              <w:pStyle w:val="Compact"/>
            </w:pPr>
            <w:r>
              <w:rPr>
                <w:sz w:val="17"/>
              </w:rPr>
              <w:t xml:space="preserve">PublicProject</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PROPOSÉE→EXAMINÉE→RETENUE / ÉCARTÉE</w:t>
            </w:r>
          </w:p>
        </w:tc>
        <w:tc>
          <w:tcPr>
            <w:shd w:val="clear" w:color="auto" w:fill="F5F7FB"/>
          </w:tcPr>
          <w:p>
            <w:pPr>
              <w:pStyle w:val="Compact"/>
            </w:pPr>
            <w:r>
              <w:rPr>
                <w:sz w:val="17"/>
              </w:rPr>
              <w:t xml:space="preserve">Oui</w:t>
            </w:r>
          </w:p>
        </w:tc>
        <w:tc>
          <w:tcPr>
            <w:shd w:val="clear" w:color="auto" w:fill="F5F7FB"/>
          </w:tcPr>
          <w:p>
            <w:pPr>
              <w:pStyle w:val="Compact"/>
            </w:pPr>
            <w:r>
              <w:rPr>
                <w:sz w:val="17"/>
              </w:rPr>
              <w:t xml:space="preserve">10 ans</w:t>
            </w:r>
          </w:p>
        </w:tc>
        <w:tc>
          <w:tcPr>
            <w:shd w:val="clear" w:color="auto" w:fill="F5F7FB"/>
          </w:tcPr>
          <w:p>
            <w:pPr>
              <w:pStyle w:val="Compact"/>
            </w:pPr>
            <w:r>
              <w:rPr>
                <w:sz w:val="17"/>
              </w:rPr>
              <w:t xml:space="preserve">C2</w:t>
            </w:r>
          </w:p>
        </w:tc>
      </w:tr>
      <w:tr>
        <w:tc>
          <w:tcPr/>
          <w:p>
            <w:pPr>
              <w:pStyle w:val="Compact"/>
            </w:pPr>
            <w:r>
              <w:rPr>
                <w:b/>
                <w:bCs/>
                <w:sz w:val="17"/>
              </w:rPr>
              <w:t xml:space="preserve">PublicProject</w:t>
            </w:r>
          </w:p>
        </w:tc>
        <w:tc>
          <w:tcPr/>
          <w:p>
            <w:pPr>
              <w:pStyle w:val="Compact"/>
            </w:pPr>
            <w:r>
              <w:rPr>
                <w:sz w:val="17"/>
              </w:rPr>
              <w:t xml:space="preserve">Projet</w:t>
            </w:r>
          </w:p>
        </w:tc>
        <w:tc>
          <w:tcPr/>
          <w:p>
            <w:pPr>
              <w:pStyle w:val="Compact"/>
            </w:pPr>
            <w:r>
              <w:rPr>
                <w:sz w:val="17"/>
              </w:rPr>
              <w:t xml:space="preserve">location, cost, recurrent_cost, readiness, indicators</w:t>
            </w:r>
          </w:p>
        </w:tc>
        <w:tc>
          <w:tcPr/>
          <w:p>
            <w:pPr>
              <w:pStyle w:val="Compact"/>
            </w:pPr>
            <w:r>
              <w:rPr>
                <w:sz w:val="17"/>
              </w:rPr>
              <w:t xml:space="preserve">—</w:t>
            </w:r>
          </w:p>
        </w:tc>
        <w:tc>
          <w:tcPr/>
          <w:p>
            <w:pPr>
              <w:pStyle w:val="Compact"/>
            </w:pPr>
            <w:r>
              <w:rPr>
                <w:sz w:val="17"/>
              </w:rPr>
              <w:t xml:space="preserve">—</w:t>
            </w:r>
          </w:p>
        </w:tc>
        <w:tc>
          <w:tcPr/>
          <w:p>
            <w:pPr>
              <w:pStyle w:val="Compact"/>
            </w:pPr>
            <w:r>
              <w:rPr>
                <w:sz w:val="17"/>
              </w:rPr>
              <w:t xml:space="preserve">IDÉE→PRÊT→FINANCÉ→RÉALISÉ</w:t>
            </w:r>
          </w:p>
        </w:tc>
        <w:tc>
          <w:tcPr/>
          <w:p>
            <w:pPr>
              <w:pStyle w:val="Compact"/>
            </w:pPr>
            <w:r>
              <w:rPr>
                <w:sz w:val="17"/>
              </w:rPr>
              <w:t xml:space="preserve">Oui</w:t>
            </w:r>
          </w:p>
        </w:tc>
        <w:tc>
          <w:tcPr/>
          <w:p>
            <w:pPr>
              <w:pStyle w:val="Compact"/>
            </w:pPr>
            <w:r>
              <w:rPr>
                <w:sz w:val="17"/>
              </w:rPr>
              <w:t xml:space="preserve">Permanent</w:t>
            </w:r>
          </w:p>
        </w:tc>
        <w:tc>
          <w:tcPr/>
          <w:p>
            <w:pPr>
              <w:pStyle w:val="Compact"/>
            </w:pPr>
            <w:r>
              <w:rPr>
                <w:sz w:val="17"/>
              </w:rPr>
              <w:t xml:space="preserve">C1</w:t>
            </w:r>
          </w:p>
        </w:tc>
      </w:tr>
      <w:tr>
        <w:tc>
          <w:tcPr>
            <w:shd w:val="clear" w:color="auto" w:fill="F5F7FB"/>
          </w:tcPr>
          <w:p>
            <w:pPr>
              <w:pStyle w:val="Compact"/>
            </w:pPr>
            <w:r>
              <w:rPr>
                <w:b/>
                <w:bCs/>
                <w:sz w:val="17"/>
              </w:rPr>
              <w:t xml:space="preserve">UserRole / Permission</w:t>
            </w:r>
          </w:p>
        </w:tc>
        <w:tc>
          <w:tcPr>
            <w:shd w:val="clear" w:color="auto" w:fill="F5F7FB"/>
          </w:tcPr>
          <w:p>
            <w:pPr>
              <w:pStyle w:val="Compact"/>
            </w:pPr>
            <w:r>
              <w:rPr>
                <w:sz w:val="17"/>
              </w:rPr>
              <w:t xml:space="preserve">Habilitation</w:t>
            </w:r>
          </w:p>
        </w:tc>
        <w:tc>
          <w:tcPr>
            <w:shd w:val="clear" w:color="auto" w:fill="F5F7FB"/>
          </w:tcPr>
          <w:p>
            <w:pPr>
              <w:pStyle w:val="Compact"/>
            </w:pPr>
            <w:r>
              <w:rPr>
                <w:sz w:val="17"/>
              </w:rPr>
              <w:t xml:space="preserve">role, scope attributes, from, to, granted_by</w:t>
            </w:r>
          </w:p>
        </w:tc>
        <w:tc>
          <w:tcPr>
            <w:shd w:val="clear" w:color="auto" w:fill="F5F7FB"/>
          </w:tcPr>
          <w:p>
            <w:pPr>
              <w:pStyle w:val="Compact"/>
            </w:pPr>
            <w:r>
              <w:rPr>
                <w:sz w:val="17"/>
              </w:rPr>
              <w:t xml:space="preserve">User</w:t>
            </w:r>
          </w:p>
        </w:tc>
        <w:tc>
          <w:tcPr>
            <w:shd w:val="clear" w:color="auto" w:fill="F5F7FB"/>
          </w:tcPr>
          <w:p>
            <w:pPr>
              <w:pStyle w:val="Compact"/>
            </w:pPr>
            <w:r>
              <w:rPr>
                <w:sz w:val="17"/>
              </w:rPr>
              <w:t xml:space="preserve">Incompatibilités</w:t>
            </w:r>
          </w:p>
        </w:tc>
        <w:tc>
          <w:tcPr>
            <w:shd w:val="clear" w:color="auto" w:fill="F5F7FB"/>
          </w:tcPr>
          <w:p>
            <w:pPr>
              <w:pStyle w:val="Compact"/>
            </w:pPr>
            <w:r>
              <w:rPr>
                <w:sz w:val="17"/>
              </w:rPr>
              <w:t xml:space="preserve">ACCORDÉE→EXPIRÉE / RETIRÉE</w:t>
            </w:r>
          </w:p>
        </w:tc>
        <w:tc>
          <w:tcPr>
            <w:shd w:val="clear" w:color="auto" w:fill="F5F7FB"/>
          </w:tcPr>
          <w:p>
            <w:pPr>
              <w:pStyle w:val="Compact"/>
            </w:pPr>
            <w:r>
              <w:rPr>
                <w:sz w:val="17"/>
              </w:rPr>
              <w:t xml:space="preserve">Oui</w:t>
            </w:r>
          </w:p>
        </w:tc>
        <w:tc>
          <w:tcPr>
            <w:shd w:val="clear" w:color="auto" w:fill="F5F7FB"/>
          </w:tcPr>
          <w:p>
            <w:pPr>
              <w:pStyle w:val="Compact"/>
            </w:pPr>
            <w:r>
              <w:rPr>
                <w:sz w:val="17"/>
              </w:rPr>
              <w:t xml:space="preserve">10 ans</w:t>
            </w:r>
          </w:p>
        </w:tc>
        <w:tc>
          <w:tcPr>
            <w:shd w:val="clear" w:color="auto" w:fill="F5F7FB"/>
          </w:tcPr>
          <w:p>
            <w:pPr>
              <w:pStyle w:val="Compact"/>
            </w:pPr>
            <w:r>
              <w:rPr>
                <w:sz w:val="17"/>
              </w:rPr>
              <w:t xml:space="preserve">C2</w:t>
            </w:r>
          </w:p>
        </w:tc>
      </w:tr>
      <w:tr>
        <w:tc>
          <w:tcPr/>
          <w:p>
            <w:pPr>
              <w:pStyle w:val="Compact"/>
            </w:pPr>
            <w:r>
              <w:rPr>
                <w:b/>
                <w:bCs/>
                <w:sz w:val="17"/>
              </w:rPr>
              <w:t xml:space="preserve">Delegation</w:t>
            </w:r>
          </w:p>
        </w:tc>
        <w:tc>
          <w:tcPr/>
          <w:p>
            <w:pPr>
              <w:pStyle w:val="Compact"/>
            </w:pPr>
            <w:r>
              <w:rPr>
                <w:sz w:val="17"/>
              </w:rPr>
              <w:t xml:space="preserve">Délégation</w:t>
            </w:r>
          </w:p>
        </w:tc>
        <w:tc>
          <w:tcPr/>
          <w:p>
            <w:pPr>
              <w:pStyle w:val="Compact"/>
            </w:pPr>
            <w:r>
              <w:rPr>
                <w:sz w:val="17"/>
              </w:rPr>
              <w:t xml:space="preserve">delegator, delegate, scope, from, to, reason</w:t>
            </w:r>
          </w:p>
        </w:tc>
        <w:tc>
          <w:tcPr/>
          <w:p>
            <w:pPr>
              <w:pStyle w:val="Compact"/>
            </w:pPr>
            <w:r>
              <w:rPr>
                <w:sz w:val="17"/>
              </w:rPr>
              <w:t xml:space="preserve">User</w:t>
            </w:r>
          </w:p>
        </w:tc>
        <w:tc>
          <w:tcPr/>
          <w:p>
            <w:pPr>
              <w:pStyle w:val="Compact"/>
            </w:pPr>
            <w:r>
              <w:rPr>
                <w:sz w:val="17"/>
              </w:rPr>
              <w:t xml:space="preserve">Non re-déléguable</w:t>
            </w:r>
          </w:p>
        </w:tc>
        <w:tc>
          <w:tcPr/>
          <w:p>
            <w:pPr>
              <w:pStyle w:val="Compact"/>
            </w:pPr>
            <w:r>
              <w:rPr>
                <w:sz w:val="17"/>
              </w:rPr>
              <w:t xml:space="preserve">ACTIVE→EXPIRÉE / RÉVOQUÉE</w:t>
            </w:r>
          </w:p>
        </w:tc>
        <w:tc>
          <w:tcPr/>
          <w:p>
            <w:pPr>
              <w:pStyle w:val="Compact"/>
            </w:pPr>
            <w:r>
              <w:rPr>
                <w:sz w:val="17"/>
              </w:rPr>
              <w:t xml:space="preserve">Oui</w:t>
            </w:r>
          </w:p>
        </w:tc>
        <w:tc>
          <w:tcPr/>
          <w:p>
            <w:pPr>
              <w:pStyle w:val="Compact"/>
            </w:pPr>
            <w:r>
              <w:rPr>
                <w:sz w:val="17"/>
              </w:rPr>
              <w:t xml:space="preserve">10 ans</w:t>
            </w:r>
          </w:p>
        </w:tc>
        <w:tc>
          <w:tcPr/>
          <w:p>
            <w:pPr>
              <w:pStyle w:val="Compact"/>
            </w:pPr>
            <w:r>
              <w:rPr>
                <w:sz w:val="17"/>
              </w:rPr>
              <w:t xml:space="preserve">C2</w:t>
            </w:r>
          </w:p>
        </w:tc>
      </w:tr>
      <w:tr>
        <w:tc>
          <w:tcPr>
            <w:shd w:val="clear" w:color="auto" w:fill="F5F7FB"/>
          </w:tcPr>
          <w:p>
            <w:pPr>
              <w:pStyle w:val="Compact"/>
            </w:pPr>
            <w:r>
              <w:rPr>
                <w:b/>
                <w:bCs/>
                <w:sz w:val="17"/>
              </w:rPr>
              <w:t xml:space="preserve">Device</w:t>
            </w:r>
          </w:p>
        </w:tc>
        <w:tc>
          <w:tcPr>
            <w:shd w:val="clear" w:color="auto" w:fill="F5F7FB"/>
          </w:tcPr>
          <w:p>
            <w:pPr>
              <w:pStyle w:val="Compact"/>
            </w:pPr>
            <w:r>
              <w:rPr>
                <w:sz w:val="17"/>
              </w:rPr>
              <w:t xml:space="preserve">Terminal</w:t>
            </w:r>
          </w:p>
        </w:tc>
        <w:tc>
          <w:tcPr>
            <w:shd w:val="clear" w:color="auto" w:fill="F5F7FB"/>
          </w:tcPr>
          <w:p>
            <w:pPr>
              <w:pStyle w:val="Compact"/>
            </w:pPr>
            <w:r>
              <w:rPr>
                <w:sz w:val="17"/>
              </w:rPr>
              <w:t xml:space="preserve">certificate, owner, mdm_status, last_sync</w:t>
            </w:r>
          </w:p>
        </w:tc>
        <w:tc>
          <w:tcPr>
            <w:shd w:val="clear" w:color="auto" w:fill="F5F7FB"/>
          </w:tcPr>
          <w:p>
            <w:pPr>
              <w:pStyle w:val="Compact"/>
            </w:pPr>
            <w:r>
              <w:rPr>
                <w:sz w:val="17"/>
              </w:rPr>
              <w:t xml:space="preserve">User</w:t>
            </w:r>
          </w:p>
        </w:tc>
        <w:tc>
          <w:tcPr>
            <w:shd w:val="clear" w:color="auto" w:fill="F5F7FB"/>
          </w:tcPr>
          <w:p>
            <w:pPr>
              <w:pStyle w:val="Compact"/>
            </w:pPr>
            <w:r>
              <w:rPr>
                <w:sz w:val="17"/>
              </w:rPr>
              <w:t xml:space="preserve">Enrôlement</w:t>
            </w:r>
          </w:p>
        </w:tc>
        <w:tc>
          <w:tcPr>
            <w:shd w:val="clear" w:color="auto" w:fill="F5F7FB"/>
          </w:tcPr>
          <w:p>
            <w:pPr>
              <w:pStyle w:val="Compact"/>
            </w:pPr>
            <w:r>
              <w:rPr>
                <w:sz w:val="17"/>
              </w:rPr>
              <w:t xml:space="preserve">ENRÔLÉ→RÉVOQUÉ</w:t>
            </w:r>
          </w:p>
        </w:tc>
        <w:tc>
          <w:tcPr>
            <w:shd w:val="clear" w:color="auto" w:fill="F5F7FB"/>
          </w:tcPr>
          <w:p>
            <w:pPr>
              <w:pStyle w:val="Compact"/>
            </w:pPr>
            <w:r>
              <w:rPr>
                <w:sz w:val="17"/>
              </w:rPr>
              <w:t xml:space="preserve">Oui</w:t>
            </w:r>
          </w:p>
        </w:tc>
        <w:tc>
          <w:tcPr>
            <w:shd w:val="clear" w:color="auto" w:fill="F5F7FB"/>
          </w:tcPr>
          <w:p>
            <w:pPr>
              <w:pStyle w:val="Compact"/>
            </w:pPr>
            <w:r>
              <w:rPr>
                <w:sz w:val="17"/>
              </w:rPr>
              <w:t xml:space="preserve">5 ans</w:t>
            </w:r>
          </w:p>
        </w:tc>
        <w:tc>
          <w:tcPr>
            <w:shd w:val="clear" w:color="auto" w:fill="F5F7FB"/>
          </w:tcPr>
          <w:p>
            <w:pPr>
              <w:pStyle w:val="Compact"/>
            </w:pPr>
            <w:r>
              <w:rPr>
                <w:sz w:val="17"/>
              </w:rPr>
              <w:t xml:space="preserve">C2</w:t>
            </w:r>
          </w:p>
        </w:tc>
      </w:tr>
      <w:tr>
        <w:tc>
          <w:tcPr/>
          <w:p>
            <w:pPr>
              <w:pStyle w:val="Compact"/>
            </w:pPr>
            <w:r>
              <w:rPr>
                <w:b/>
                <w:bCs/>
                <w:sz w:val="17"/>
              </w:rPr>
              <w:t xml:space="preserve">AIRecommendation</w:t>
            </w:r>
          </w:p>
        </w:tc>
        <w:tc>
          <w:tcPr/>
          <w:p>
            <w:pPr>
              <w:pStyle w:val="Compact"/>
            </w:pPr>
            <w:r>
              <w:rPr>
                <w:sz w:val="17"/>
              </w:rPr>
              <w:t xml:space="preserve">Sortie d’IA</w:t>
            </w:r>
          </w:p>
        </w:tc>
        <w:tc>
          <w:tcPr/>
          <w:p>
            <w:pPr>
              <w:pStyle w:val="Compact"/>
            </w:pPr>
            <w:r>
              <w:rPr>
                <w:sz w:val="17"/>
              </w:rPr>
              <w:t xml:space="preserve">agent, model_version, inputs_ref, output, explanation, confidence, human_decision</w:t>
            </w:r>
          </w:p>
        </w:tc>
        <w:tc>
          <w:tcPr/>
          <w:p>
            <w:pPr>
              <w:pStyle w:val="Compact"/>
            </w:pPr>
            <w:r>
              <w:rPr>
                <w:sz w:val="17"/>
              </w:rPr>
              <w:t xml:space="preserve">User</w:t>
            </w:r>
          </w:p>
        </w:tc>
        <w:tc>
          <w:tcPr/>
          <w:p>
            <w:pPr>
              <w:pStyle w:val="Compact"/>
            </w:pPr>
            <w:r>
              <w:rPr>
                <w:sz w:val="17"/>
              </w:rPr>
              <w:t xml:space="preserve">—</w:t>
            </w:r>
          </w:p>
        </w:tc>
        <w:tc>
          <w:tcPr/>
          <w:p>
            <w:pPr>
              <w:pStyle w:val="Compact"/>
            </w:pPr>
            <w:r>
              <w:rPr>
                <w:sz w:val="17"/>
              </w:rPr>
              <w:t xml:space="preserve">ÉMISE→ACCEPTÉE / MODIFIÉE / REJETÉE</w:t>
            </w:r>
          </w:p>
        </w:tc>
        <w:tc>
          <w:tcPr/>
          <w:p>
            <w:pPr>
              <w:pStyle w:val="Compact"/>
            </w:pPr>
            <w:r>
              <w:rPr>
                <w:sz w:val="17"/>
              </w:rPr>
              <w:t xml:space="preserve">Oui</w:t>
            </w:r>
          </w:p>
        </w:tc>
        <w:tc>
          <w:tcPr/>
          <w:p>
            <w:pPr>
              <w:pStyle w:val="Compact"/>
            </w:pPr>
            <w:r>
              <w:rPr>
                <w:sz w:val="17"/>
              </w:rPr>
              <w:t xml:space="preserve">10 ans</w:t>
            </w:r>
          </w:p>
        </w:tc>
        <w:tc>
          <w:tcPr/>
          <w:p>
            <w:pPr>
              <w:pStyle w:val="Compact"/>
            </w:pPr>
            <w:r>
              <w:rPr>
                <w:sz w:val="17"/>
              </w:rPr>
              <w:t xml:space="preserve">C2–C4</w:t>
            </w:r>
          </w:p>
        </w:tc>
      </w:tr>
      <w:tr>
        <w:tc>
          <w:tcPr>
            <w:shd w:val="clear" w:color="auto" w:fill="F5F7FB"/>
          </w:tcPr>
          <w:p>
            <w:pPr>
              <w:pStyle w:val="Compact"/>
            </w:pPr>
            <w:r>
              <w:rPr>
                <w:b/>
                <w:bCs/>
                <w:sz w:val="17"/>
              </w:rPr>
              <w:t xml:space="preserve">FraudAlert</w:t>
            </w:r>
          </w:p>
        </w:tc>
        <w:tc>
          <w:tcPr>
            <w:shd w:val="clear" w:color="auto" w:fill="F5F7FB"/>
          </w:tcPr>
          <w:p>
            <w:pPr>
              <w:pStyle w:val="Compact"/>
            </w:pPr>
            <w:r>
              <w:rPr>
                <w:sz w:val="17"/>
              </w:rPr>
              <w:t xml:space="preserve">Alerte</w:t>
            </w:r>
          </w:p>
        </w:tc>
        <w:tc>
          <w:tcPr>
            <w:shd w:val="clear" w:color="auto" w:fill="F5F7FB"/>
          </w:tcPr>
          <w:p>
            <w:pPr>
              <w:pStyle w:val="Compact"/>
            </w:pPr>
            <w:r>
              <w:rPr>
                <w:sz w:val="17"/>
              </w:rPr>
              <w:t xml:space="preserve">rule_or_model, score, factors, subject_refs, investigator</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OUVERTE→INSTRUITE→CLASSÉE / FONDÉE</w:t>
            </w:r>
          </w:p>
        </w:tc>
        <w:tc>
          <w:tcPr>
            <w:shd w:val="clear" w:color="auto" w:fill="F5F7FB"/>
          </w:tcPr>
          <w:p>
            <w:pPr>
              <w:pStyle w:val="Compact"/>
            </w:pPr>
            <w:r>
              <w:rPr>
                <w:sz w:val="17"/>
              </w:rPr>
              <w:t xml:space="preserve">Oui</w:t>
            </w:r>
          </w:p>
        </w:tc>
        <w:tc>
          <w:tcPr>
            <w:shd w:val="clear" w:color="auto" w:fill="F5F7FB"/>
          </w:tcPr>
          <w:p>
            <w:pPr>
              <w:pStyle w:val="Compact"/>
            </w:pPr>
            <w:r>
              <w:rPr>
                <w:sz w:val="17"/>
              </w:rPr>
              <w:t xml:space="preserve">10 ans</w:t>
            </w:r>
          </w:p>
        </w:tc>
        <w:tc>
          <w:tcPr>
            <w:shd w:val="clear" w:color="auto" w:fill="F5F7FB"/>
          </w:tcPr>
          <w:p>
            <w:pPr>
              <w:pStyle w:val="Compact"/>
            </w:pPr>
            <w:r>
              <w:rPr>
                <w:sz w:val="17"/>
              </w:rPr>
              <w:t xml:space="preserve">C5</w:t>
            </w:r>
          </w:p>
        </w:tc>
      </w:tr>
      <w:tr>
        <w:tc>
          <w:tcPr/>
          <w:p>
            <w:pPr>
              <w:pStyle w:val="Compact"/>
            </w:pPr>
            <w:r>
              <w:rPr>
                <w:b/>
                <w:bCs/>
                <w:sz w:val="17"/>
              </w:rPr>
              <w:t xml:space="preserve">AuditEvent</w:t>
            </w:r>
          </w:p>
        </w:tc>
        <w:tc>
          <w:tcPr/>
          <w:p>
            <w:pPr>
              <w:pStyle w:val="Compact"/>
            </w:pPr>
            <w:r>
              <w:rPr>
                <w:sz w:val="17"/>
              </w:rPr>
              <w:t xml:space="preserve">Journal</w:t>
            </w:r>
          </w:p>
        </w:tc>
        <w:tc>
          <w:tcPr/>
          <w:p>
            <w:pPr>
              <w:pStyle w:val="Compact"/>
            </w:pPr>
            <w:r>
              <w:rPr>
                <w:sz w:val="17"/>
              </w:rPr>
              <w:t xml:space="preserve">actor, action, resource, before_hash, after_hash, purpose, approvals, prev_hash, signature</w:t>
            </w:r>
          </w:p>
        </w:tc>
        <w:tc>
          <w:tcPr/>
          <w:p>
            <w:pPr>
              <w:pStyle w:val="Compact"/>
            </w:pPr>
            <w:r>
              <w:rPr>
                <w:sz w:val="17"/>
              </w:rPr>
              <w:t xml:space="preserve">—</w:t>
            </w:r>
          </w:p>
        </w:tc>
        <w:tc>
          <w:tcPr/>
          <w:p>
            <w:pPr>
              <w:pStyle w:val="Compact"/>
            </w:pPr>
            <w:r>
              <w:rPr>
                <w:sz w:val="17"/>
              </w:rPr>
              <w:t xml:space="preserve">Chaîne continue</w:t>
            </w:r>
          </w:p>
        </w:tc>
        <w:tc>
          <w:tcPr/>
          <w:p>
            <w:pPr>
              <w:pStyle w:val="Compact"/>
            </w:pPr>
            <w:r>
              <w:rPr>
                <w:sz w:val="17"/>
              </w:rPr>
              <w:t xml:space="preserve">Ajout seul</w:t>
            </w:r>
          </w:p>
        </w:tc>
        <w:tc>
          <w:tcPr/>
          <w:p>
            <w:pPr>
              <w:pStyle w:val="Compact"/>
            </w:pPr>
            <w:r>
              <w:rPr>
                <w:sz w:val="17"/>
              </w:rPr>
              <w:t xml:space="preserve">—</w:t>
            </w:r>
          </w:p>
        </w:tc>
        <w:tc>
          <w:tcPr/>
          <w:p>
            <w:pPr>
              <w:pStyle w:val="Compact"/>
            </w:pPr>
            <w:r>
              <w:rPr>
                <w:sz w:val="17"/>
              </w:rPr>
              <w:t xml:space="preserve">Permanent (archives)</w:t>
            </w:r>
          </w:p>
        </w:tc>
        <w:tc>
          <w:tcPr/>
          <w:p>
            <w:pPr>
              <w:pStyle w:val="Compact"/>
            </w:pPr>
            <w:r>
              <w:rPr>
                <w:sz w:val="17"/>
              </w:rPr>
              <w:t xml:space="preserve">C5</w:t>
            </w:r>
          </w:p>
        </w:tc>
      </w:tr>
      <w:tr>
        <w:tc>
          <w:tcPr>
            <w:shd w:val="clear" w:color="auto" w:fill="F5F7FB"/>
          </w:tcPr>
          <w:p>
            <w:pPr>
              <w:pStyle w:val="Compact"/>
            </w:pPr>
            <w:r>
              <w:rPr>
                <w:b/>
                <w:bCs/>
                <w:sz w:val="17"/>
              </w:rPr>
              <w:t xml:space="preserve">Money</w:t>
            </w:r>
            <w:r>
              <w:rPr>
                <w:sz w:val="17"/>
              </w:rPr>
              <w:t xml:space="preserve"> </w:t>
            </w:r>
            <w:r>
              <w:rPr>
                <w:sz w:val="17"/>
              </w:rPr>
              <w:t xml:space="preserve">(type valeur)</w:t>
            </w:r>
          </w:p>
        </w:tc>
        <w:tc>
          <w:tcPr>
            <w:shd w:val="clear" w:color="auto" w:fill="F5F7FB"/>
          </w:tcPr>
          <w:p>
            <w:pPr>
              <w:pStyle w:val="Compact"/>
            </w:pPr>
            <w:r>
              <w:rPr>
                <w:sz w:val="17"/>
              </w:rPr>
              <w:t xml:space="preserve">Montant</w:t>
            </w:r>
          </w:p>
        </w:tc>
        <w:tc>
          <w:tcPr>
            <w:shd w:val="clear" w:color="auto" w:fill="F5F7FB"/>
          </w:tcPr>
          <w:p>
            <w:pPr>
              <w:pStyle w:val="Compact"/>
            </w:pPr>
            <w:r>
              <w:rPr>
                <w:sz w:val="17"/>
              </w:rPr>
              <w:t xml:space="preserve">amount (décimal), currency (ISO 4217)</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Pas d’opération entre devises sans conversion</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w:t>
            </w:r>
          </w:p>
        </w:tc>
      </w:tr>
      <w:tr>
        <w:tc>
          <w:tcPr/>
          <w:p>
            <w:pPr>
              <w:pStyle w:val="Compact"/>
            </w:pPr>
            <w:r>
              <w:rPr>
                <w:b/>
                <w:bCs/>
                <w:sz w:val="17"/>
              </w:rPr>
              <w:t xml:space="preserve">ExchangeRate</w:t>
            </w:r>
          </w:p>
        </w:tc>
        <w:tc>
          <w:tcPr/>
          <w:p>
            <w:pPr>
              <w:pStyle w:val="Compact"/>
            </w:pPr>
            <w:r>
              <w:rPr>
                <w:sz w:val="17"/>
              </w:rPr>
              <w:t xml:space="preserve">Taux officiel</w:t>
            </w:r>
          </w:p>
        </w:tc>
        <w:tc>
          <w:tcPr/>
          <w:p>
            <w:pPr>
              <w:pStyle w:val="Compact"/>
            </w:pPr>
            <w:r>
              <w:rPr>
                <w:sz w:val="17"/>
              </w:rPr>
              <w:t xml:space="preserve">pair, rate, date, source, signature</w:t>
            </w:r>
          </w:p>
        </w:tc>
        <w:tc>
          <w:tcPr/>
          <w:p>
            <w:pPr>
              <w:pStyle w:val="Compact"/>
            </w:pPr>
            <w:r>
              <w:rPr>
                <w:sz w:val="17"/>
              </w:rPr>
              <w:t xml:space="preserve">—</w:t>
            </w:r>
          </w:p>
        </w:tc>
        <w:tc>
          <w:tcPr/>
          <w:p>
            <w:pPr>
              <w:pStyle w:val="Compact"/>
            </w:pPr>
            <w:r>
              <w:rPr>
                <w:sz w:val="17"/>
              </w:rPr>
              <w:t xml:space="preserve">Source officielle</w:t>
            </w:r>
          </w:p>
        </w:tc>
        <w:tc>
          <w:tcPr/>
          <w:p>
            <w:pPr>
              <w:pStyle w:val="Compact"/>
            </w:pPr>
            <w:r>
              <w:rPr>
                <w:sz w:val="17"/>
              </w:rPr>
              <w:t xml:space="preserve">Ajout seul</w:t>
            </w:r>
          </w:p>
        </w:tc>
        <w:tc>
          <w:tcPr/>
          <w:p>
            <w:pPr>
              <w:pStyle w:val="Compact"/>
            </w:pPr>
            <w:r>
              <w:rPr>
                <w:sz w:val="17"/>
              </w:rPr>
              <w:t xml:space="preserve">Oui</w:t>
            </w:r>
          </w:p>
        </w:tc>
        <w:tc>
          <w:tcPr/>
          <w:p>
            <w:pPr>
              <w:pStyle w:val="Compact"/>
            </w:pPr>
            <w:r>
              <w:rPr>
                <w:sz w:val="17"/>
              </w:rPr>
              <w:t xml:space="preserve">Permanent</w:t>
            </w:r>
          </w:p>
        </w:tc>
        <w:tc>
          <w:tcPr/>
          <w:p>
            <w:pPr>
              <w:pStyle w:val="Compact"/>
            </w:pPr>
            <w:r>
              <w:rPr>
                <w:sz w:val="17"/>
              </w:rPr>
              <w:t xml:space="preserve">C1</w:t>
            </w:r>
          </w:p>
        </w:tc>
      </w:tr>
    </w:tbl>
    <w:bookmarkEnd w:id="310"/>
    <w:bookmarkEnd w:id="311"/>
    <w:bookmarkStart w:id="315" w:name="catalogue-des-api"/>
    <w:p>
      <w:pPr>
        <w:pStyle w:val="Heading1"/>
      </w:pPr>
      <w:r>
        <w:t xml:space="preserve">30. Catalogue des API</w:t>
      </w:r>
    </w:p>
    <w:bookmarkStart w:id="312" w:name="normes-dinterface"/>
    <w:p>
      <w:pPr>
        <w:pStyle w:val="Heading2"/>
      </w:pPr>
      <w:r>
        <w:t xml:space="preserve">30.1 Normes d’interface</w:t>
      </w:r>
    </w:p>
    <w:p>
      <w:pPr>
        <w:pStyle w:val="FirstParagraph"/>
      </w:pPr>
      <w:r>
        <w:t xml:space="preserve">REST/JSON versionné (</w:t>
      </w:r>
      <w:r>
        <w:rPr>
          <w:rStyle w:val="VerbatimChar"/>
        </w:rPr>
        <w:t xml:space="preserve">/v1</w:t>
      </w:r>
      <w:r>
        <w:t xml:space="preserve">), spécification OpenAPI 3.1 publiée (</w:t>
      </w:r>
      <w:r>
        <w:rPr>
          <w:rStyle w:val="VerbatimChar"/>
        </w:rPr>
        <w:t xml:space="preserve">specs/openapi.yaml</w:t>
      </w:r>
      <w:r>
        <w:t xml:space="preserve">), OAuth 2.1 / OIDC, mTLS pour les partenaires sensibles, jetons à portée minimale (scopes), en-tête</w:t>
      </w:r>
      <w:r>
        <w:t xml:space="preserve"> </w:t>
      </w:r>
      <w:r>
        <w:rPr>
          <w:rStyle w:val="VerbatimChar"/>
        </w:rPr>
        <w:t xml:space="preserve">Idempotency-Key</w:t>
      </w:r>
      <w:r>
        <w:t xml:space="preserve"> </w:t>
      </w:r>
      <w:r>
        <w:t xml:space="preserve">obligatoire sur toute création financière,</w:t>
      </w:r>
      <w:r>
        <w:t xml:space="preserve"> </w:t>
      </w:r>
      <w:r>
        <w:rPr>
          <w:rStyle w:val="VerbatimChar"/>
        </w:rPr>
        <w:t xml:space="preserve">X-Request-Id</w:t>
      </w:r>
      <w:r>
        <w:t xml:space="preserve"> </w:t>
      </w:r>
      <w:r>
        <w:t xml:space="preserve">de corrélation, pagination par curseur, erreurs au format RFC 9457 (</w:t>
      </w:r>
      <w:r>
        <w:rPr>
          <w:rStyle w:val="VerbatimChar"/>
        </w:rPr>
        <w:t xml:space="preserve">application/problem+json</w:t>
      </w:r>
      <w:r>
        <w:t xml:space="preserve">), limites de débit par client, signatures de messages (JWS détaché) pour les rappels prestataires, horodatage serveur de référence, langue par</w:t>
      </w:r>
      <w:r>
        <w:t xml:space="preserve"> </w:t>
      </w:r>
      <w:r>
        <w:rPr>
          <w:rStyle w:val="VerbatimChar"/>
        </w:rPr>
        <w:t xml:space="preserve">Accept-Language</w:t>
      </w:r>
      <w:r>
        <w:t xml:space="preserve">, montants au format</w:t>
      </w:r>
      <w:r>
        <w:t xml:space="preserve"> </w:t>
      </w:r>
      <w:r>
        <w:rPr>
          <w:rStyle w:val="VerbatimChar"/>
        </w:rPr>
        <w:t xml:space="preserve">{ "amount": "1250000.00", "currency": "CDF" }</w:t>
      </w:r>
      <w:r>
        <w:t xml:space="preserve">.</w:t>
      </w:r>
    </w:p>
    <w:bookmarkEnd w:id="312"/>
    <w:bookmarkStart w:id="313" w:name="catalogue"/>
    <w:p>
      <w:pPr>
        <w:pStyle w:val="Heading2"/>
      </w:pPr>
      <w:r>
        <w:t xml:space="preserve">30.2 Catalogue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320"/>
        <w:gridCol w:w="1320"/>
        <w:gridCol w:w="1320"/>
        <w:gridCol w:w="1320"/>
        <w:gridCol w:w="1320"/>
        <w:gridCol w:w="1320"/>
      </w:tblGrid>
      <w:tr>
        <w:trPr>
          <w:tblHeader w:val="on"/>
        </w:trPr>
        <w:tc>
          <w:tcPr>
            <w:shd w:val="clear" w:color="auto" w:fill="232C6B"/>
          </w:tcPr>
          <w:p>
            <w:pPr>
              <w:pStyle w:val="Compact"/>
            </w:pPr>
            <w:r>
              <w:rPr>
                <w:b/>
                <w:color w:val="FFFFFF"/>
                <w:sz w:val="17"/>
              </w:rPr>
              <w:t xml:space="preserve">#</w:t>
            </w:r>
          </w:p>
        </w:tc>
        <w:tc>
          <w:tcPr>
            <w:shd w:val="clear" w:color="auto" w:fill="232C6B"/>
          </w:tcPr>
          <w:p>
            <w:pPr>
              <w:pStyle w:val="Compact"/>
            </w:pPr>
            <w:r>
              <w:rPr>
                <w:b/>
                <w:color w:val="FFFFFF"/>
                <w:sz w:val="17"/>
              </w:rPr>
              <w:t xml:space="preserve">Méthode et route</w:t>
            </w:r>
          </w:p>
        </w:tc>
        <w:tc>
          <w:tcPr>
            <w:shd w:val="clear" w:color="auto" w:fill="232C6B"/>
          </w:tcPr>
          <w:p>
            <w:pPr>
              <w:pStyle w:val="Compact"/>
            </w:pPr>
            <w:r>
              <w:rPr>
                <w:b/>
                <w:color w:val="FFFFFF"/>
                <w:sz w:val="17"/>
              </w:rPr>
              <w:t xml:space="preserve">Objet</w:t>
            </w:r>
          </w:p>
        </w:tc>
        <w:tc>
          <w:tcPr>
            <w:shd w:val="clear" w:color="auto" w:fill="232C6B"/>
          </w:tcPr>
          <w:p>
            <w:pPr>
              <w:pStyle w:val="Compact"/>
            </w:pPr>
            <w:r>
              <w:rPr>
                <w:b/>
                <w:color w:val="FFFFFF"/>
                <w:sz w:val="17"/>
              </w:rPr>
              <w:t xml:space="preserve">Acteur autorisé</w:t>
            </w:r>
          </w:p>
        </w:tc>
        <w:tc>
          <w:tcPr>
            <w:shd w:val="clear" w:color="auto" w:fill="232C6B"/>
          </w:tcPr>
          <w:p>
            <w:pPr>
              <w:pStyle w:val="Compact"/>
            </w:pPr>
            <w:r>
              <w:rPr>
                <w:b/>
                <w:color w:val="FFFFFF"/>
                <w:sz w:val="17"/>
              </w:rPr>
              <w:t xml:space="preserve">Idempotence</w:t>
            </w:r>
          </w:p>
        </w:tc>
        <w:tc>
          <w:tcPr>
            <w:shd w:val="clear" w:color="auto" w:fill="232C6B"/>
          </w:tcPr>
          <w:p>
            <w:pPr>
              <w:pStyle w:val="Compact"/>
            </w:pPr>
            <w:r>
              <w:rPr>
                <w:b/>
                <w:color w:val="FFFFFF"/>
                <w:sz w:val="17"/>
              </w:rPr>
              <w:t xml:space="preserve">Événement d’audit</w:t>
            </w:r>
          </w:p>
        </w:tc>
      </w:tr>
      <w:tr>
        <w:tc>
          <w:tcPr/>
          <w:p>
            <w:pPr>
              <w:pStyle w:val="Compact"/>
            </w:pPr>
            <w:r>
              <w:rPr>
                <w:sz w:val="17"/>
              </w:rPr>
              <w:t xml:space="preserve">1</w:t>
            </w:r>
          </w:p>
        </w:tc>
        <w:tc>
          <w:tcPr/>
          <w:p>
            <w:pPr>
              <w:pStyle w:val="Compact"/>
            </w:pPr>
            <w:r>
              <w:rPr>
                <w:rStyle w:val="VerbatimChar"/>
                <w:sz w:val="17"/>
              </w:rPr>
              <w:t xml:space="preserve">POST /v1/registrations</w:t>
            </w:r>
          </w:p>
        </w:tc>
        <w:tc>
          <w:tcPr/>
          <w:p>
            <w:pPr>
              <w:pStyle w:val="Compact"/>
            </w:pPr>
            <w:r>
              <w:rPr>
                <w:sz w:val="17"/>
              </w:rPr>
              <w:t xml:space="preserve">Inscription</w:t>
            </w:r>
          </w:p>
        </w:tc>
        <w:tc>
          <w:tcPr/>
          <w:p>
            <w:pPr>
              <w:pStyle w:val="Compact"/>
            </w:pPr>
            <w:r>
              <w:rPr>
                <w:sz w:val="17"/>
              </w:rPr>
              <w:t xml:space="preserve">Public (OTP)</w:t>
            </w:r>
          </w:p>
        </w:tc>
        <w:tc>
          <w:tcPr/>
          <w:p>
            <w:pPr>
              <w:pStyle w:val="Compact"/>
            </w:pPr>
            <w:r>
              <w:rPr>
                <w:sz w:val="17"/>
              </w:rPr>
              <w:t xml:space="preserve">Oui</w:t>
            </w:r>
          </w:p>
        </w:tc>
        <w:tc>
          <w:tcPr/>
          <w:p>
            <w:pPr>
              <w:pStyle w:val="Compact"/>
            </w:pPr>
            <w:r>
              <w:rPr>
                <w:rStyle w:val="VerbatimChar"/>
                <w:sz w:val="17"/>
              </w:rPr>
              <w:t xml:space="preserve">account.registration.requested</w:t>
            </w:r>
          </w:p>
        </w:tc>
      </w:tr>
      <w:tr>
        <w:tc>
          <w:tcPr>
            <w:shd w:val="clear" w:color="auto" w:fill="F5F7FB"/>
          </w:tcPr>
          <w:p>
            <w:pPr>
              <w:pStyle w:val="Compact"/>
            </w:pPr>
            <w:r>
              <w:rPr>
                <w:sz w:val="17"/>
              </w:rPr>
              <w:t xml:space="preserve">2</w:t>
            </w:r>
          </w:p>
        </w:tc>
        <w:tc>
          <w:tcPr>
            <w:shd w:val="clear" w:color="auto" w:fill="F5F7FB"/>
          </w:tcPr>
          <w:p>
            <w:pPr>
              <w:pStyle w:val="Compact"/>
            </w:pPr>
            <w:r>
              <w:rPr>
                <w:rStyle w:val="VerbatimChar"/>
                <w:sz w:val="17"/>
              </w:rPr>
              <w:t xml:space="preserve">POST /v1/identity-verifications</w:t>
            </w:r>
          </w:p>
        </w:tc>
        <w:tc>
          <w:tcPr>
            <w:shd w:val="clear" w:color="auto" w:fill="F5F7FB"/>
          </w:tcPr>
          <w:p>
            <w:pPr>
              <w:pStyle w:val="Compact"/>
            </w:pPr>
            <w:r>
              <w:rPr>
                <w:sz w:val="17"/>
              </w:rPr>
              <w:t xml:space="preserve">Vérification d’identité</w:t>
            </w:r>
          </w:p>
        </w:tc>
        <w:tc>
          <w:tcPr>
            <w:shd w:val="clear" w:color="auto" w:fill="F5F7FB"/>
          </w:tcPr>
          <w:p>
            <w:pPr>
              <w:pStyle w:val="Compact"/>
            </w:pPr>
            <w:r>
              <w:rPr>
                <w:sz w:val="17"/>
              </w:rPr>
              <w:t xml:space="preserve">Contribuable, guichet</w:t>
            </w:r>
          </w:p>
        </w:tc>
        <w:tc>
          <w:tcPr>
            <w:shd w:val="clear" w:color="auto" w:fill="F5F7FB"/>
          </w:tcPr>
          <w:p>
            <w:pPr>
              <w:pStyle w:val="Compact"/>
            </w:pPr>
            <w:r>
              <w:rPr>
                <w:sz w:val="17"/>
              </w:rPr>
              <w:t xml:space="preserve">Oui</w:t>
            </w:r>
          </w:p>
        </w:tc>
        <w:tc>
          <w:tcPr>
            <w:shd w:val="clear" w:color="auto" w:fill="F5F7FB"/>
          </w:tcPr>
          <w:p>
            <w:pPr>
              <w:pStyle w:val="Compact"/>
            </w:pPr>
            <w:r>
              <w:rPr>
                <w:rStyle w:val="VerbatimChar"/>
                <w:sz w:val="17"/>
              </w:rPr>
              <w:t xml:space="preserve">identity.verification.submitted</w:t>
            </w:r>
          </w:p>
        </w:tc>
      </w:tr>
      <w:tr>
        <w:tc>
          <w:tcPr/>
          <w:p>
            <w:pPr>
              <w:pStyle w:val="Compact"/>
            </w:pPr>
            <w:r>
              <w:rPr>
                <w:sz w:val="17"/>
              </w:rPr>
              <w:t xml:space="preserve">3</w:t>
            </w:r>
          </w:p>
        </w:tc>
        <w:tc>
          <w:tcPr/>
          <w:p>
            <w:pPr>
              <w:pStyle w:val="Compact"/>
            </w:pPr>
            <w:r>
              <w:rPr>
                <w:rStyle w:val="VerbatimChar"/>
                <w:sz w:val="17"/>
              </w:rPr>
              <w:t xml:space="preserve">POST /v1/account-recoveries</w:t>
            </w:r>
          </w:p>
        </w:tc>
        <w:tc>
          <w:tcPr/>
          <w:p>
            <w:pPr>
              <w:pStyle w:val="Compact"/>
            </w:pPr>
            <w:r>
              <w:rPr>
                <w:sz w:val="17"/>
              </w:rPr>
              <w:t xml:space="preserve">Récupération de compte</w:t>
            </w:r>
          </w:p>
        </w:tc>
        <w:tc>
          <w:tcPr/>
          <w:p>
            <w:pPr>
              <w:pStyle w:val="Compact"/>
            </w:pPr>
            <w:r>
              <w:rPr>
                <w:sz w:val="17"/>
              </w:rPr>
              <w:t xml:space="preserve">Contribuable</w:t>
            </w:r>
          </w:p>
        </w:tc>
        <w:tc>
          <w:tcPr/>
          <w:p>
            <w:pPr>
              <w:pStyle w:val="Compact"/>
            </w:pPr>
            <w:r>
              <w:rPr>
                <w:sz w:val="17"/>
              </w:rPr>
              <w:t xml:space="preserve">Oui</w:t>
            </w:r>
          </w:p>
        </w:tc>
        <w:tc>
          <w:tcPr/>
          <w:p>
            <w:pPr>
              <w:pStyle w:val="Compact"/>
            </w:pPr>
            <w:r>
              <w:rPr>
                <w:rStyle w:val="VerbatimChar"/>
                <w:sz w:val="17"/>
              </w:rPr>
              <w:t xml:space="preserve">auth.recovery.requested</w:t>
            </w:r>
          </w:p>
        </w:tc>
      </w:tr>
      <w:tr>
        <w:tc>
          <w:tcPr>
            <w:shd w:val="clear" w:color="auto" w:fill="F5F7FB"/>
          </w:tcPr>
          <w:p>
            <w:pPr>
              <w:pStyle w:val="Compact"/>
            </w:pPr>
            <w:r>
              <w:rPr>
                <w:sz w:val="17"/>
              </w:rPr>
              <w:t xml:space="preserve">4</w:t>
            </w:r>
          </w:p>
        </w:tc>
        <w:tc>
          <w:tcPr>
            <w:shd w:val="clear" w:color="auto" w:fill="F5F7FB"/>
          </w:tcPr>
          <w:p>
            <w:pPr>
              <w:pStyle w:val="Compact"/>
            </w:pPr>
            <w:r>
              <w:rPr>
                <w:rStyle w:val="VerbatimChar"/>
                <w:sz w:val="17"/>
              </w:rPr>
              <w:t xml:space="preserve">POST /v1/fiscal-objects</w:t>
            </w:r>
          </w:p>
        </w:tc>
        <w:tc>
          <w:tcPr>
            <w:shd w:val="clear" w:color="auto" w:fill="F5F7FB"/>
          </w:tcPr>
          <w:p>
            <w:pPr>
              <w:pStyle w:val="Compact"/>
            </w:pPr>
            <w:r>
              <w:rPr>
                <w:sz w:val="17"/>
              </w:rPr>
              <w:t xml:space="preserve">Déclaration / création d’objet</w:t>
            </w:r>
          </w:p>
        </w:tc>
        <w:tc>
          <w:tcPr>
            <w:shd w:val="clear" w:color="auto" w:fill="F5F7FB"/>
          </w:tcPr>
          <w:p>
            <w:pPr>
              <w:pStyle w:val="Compact"/>
            </w:pPr>
            <w:r>
              <w:rPr>
                <w:sz w:val="17"/>
              </w:rPr>
              <w:t xml:space="preserve">Contribuable, agent</w:t>
            </w:r>
          </w:p>
        </w:tc>
        <w:tc>
          <w:tcPr>
            <w:shd w:val="clear" w:color="auto" w:fill="F5F7FB"/>
          </w:tcPr>
          <w:p>
            <w:pPr>
              <w:pStyle w:val="Compact"/>
            </w:pPr>
            <w:r>
              <w:rPr>
                <w:sz w:val="17"/>
              </w:rPr>
              <w:t xml:space="preserve">Oui</w:t>
            </w:r>
          </w:p>
        </w:tc>
        <w:tc>
          <w:tcPr>
            <w:shd w:val="clear" w:color="auto" w:fill="F5F7FB"/>
          </w:tcPr>
          <w:p>
            <w:pPr>
              <w:pStyle w:val="Compact"/>
            </w:pPr>
            <w:r>
              <w:rPr>
                <w:rStyle w:val="VerbatimChar"/>
                <w:sz w:val="17"/>
              </w:rPr>
              <w:t xml:space="preserve">object.declared</w:t>
            </w:r>
          </w:p>
        </w:tc>
      </w:tr>
      <w:tr>
        <w:tc>
          <w:tcPr/>
          <w:p>
            <w:pPr>
              <w:pStyle w:val="Compact"/>
            </w:pPr>
            <w:r>
              <w:rPr>
                <w:sz w:val="17"/>
              </w:rPr>
              <w:t xml:space="preserve">5</w:t>
            </w:r>
          </w:p>
        </w:tc>
        <w:tc>
          <w:tcPr/>
          <w:p>
            <w:pPr>
              <w:pStyle w:val="Compact"/>
            </w:pPr>
            <w:r>
              <w:rPr>
                <w:rStyle w:val="VerbatimChar"/>
                <w:sz w:val="17"/>
              </w:rPr>
              <w:t xml:space="preserve">POST /v1/properties</w:t>
            </w:r>
          </w:p>
        </w:tc>
        <w:tc>
          <w:tcPr/>
          <w:p>
            <w:pPr>
              <w:pStyle w:val="Compact"/>
            </w:pPr>
            <w:r>
              <w:rPr>
                <w:sz w:val="17"/>
              </w:rPr>
              <w:t xml:space="preserve">Enregistrement de parcelle / bâtiment / unités</w:t>
            </w:r>
          </w:p>
        </w:tc>
        <w:tc>
          <w:tcPr/>
          <w:p>
            <w:pPr>
              <w:pStyle w:val="Compact"/>
            </w:pPr>
            <w:r>
              <w:rPr>
                <w:sz w:val="17"/>
              </w:rPr>
              <w:t xml:space="preserve">Contribuable, agent</w:t>
            </w:r>
          </w:p>
        </w:tc>
        <w:tc>
          <w:tcPr/>
          <w:p>
            <w:pPr>
              <w:pStyle w:val="Compact"/>
            </w:pPr>
            <w:r>
              <w:rPr>
                <w:sz w:val="17"/>
              </w:rPr>
              <w:t xml:space="preserve">Oui</w:t>
            </w:r>
          </w:p>
        </w:tc>
        <w:tc>
          <w:tcPr/>
          <w:p>
            <w:pPr>
              <w:pStyle w:val="Compact"/>
            </w:pPr>
            <w:r>
              <w:rPr>
                <w:rStyle w:val="VerbatimChar"/>
                <w:sz w:val="17"/>
              </w:rPr>
              <w:t xml:space="preserve">object.declared</w:t>
            </w:r>
          </w:p>
        </w:tc>
      </w:tr>
      <w:tr>
        <w:tc>
          <w:tcPr>
            <w:shd w:val="clear" w:color="auto" w:fill="F5F7FB"/>
          </w:tcPr>
          <w:p>
            <w:pPr>
              <w:pStyle w:val="Compact"/>
            </w:pPr>
            <w:r>
              <w:rPr>
                <w:sz w:val="17"/>
              </w:rPr>
              <w:t xml:space="preserve">6</w:t>
            </w:r>
          </w:p>
        </w:tc>
        <w:tc>
          <w:tcPr>
            <w:shd w:val="clear" w:color="auto" w:fill="F5F7FB"/>
          </w:tcPr>
          <w:p>
            <w:pPr>
              <w:pStyle w:val="Compact"/>
            </w:pPr>
            <w:r>
              <w:rPr>
                <w:rStyle w:val="VerbatimChar"/>
                <w:sz w:val="17"/>
              </w:rPr>
              <w:t xml:space="preserve">POST /v1/object-relations</w:t>
            </w:r>
          </w:p>
        </w:tc>
        <w:tc>
          <w:tcPr>
            <w:shd w:val="clear" w:color="auto" w:fill="F5F7FB"/>
          </w:tcPr>
          <w:p>
            <w:pPr>
              <w:pStyle w:val="Compact"/>
            </w:pPr>
            <w:r>
              <w:rPr>
                <w:sz w:val="17"/>
              </w:rPr>
              <w:t xml:space="preserve">Demande de rattachement (rôle)</w:t>
            </w:r>
          </w:p>
        </w:tc>
        <w:tc>
          <w:tcPr>
            <w:shd w:val="clear" w:color="auto" w:fill="F5F7FB"/>
          </w:tcPr>
          <w:p>
            <w:pPr>
              <w:pStyle w:val="Compact"/>
            </w:pPr>
            <w:r>
              <w:rPr>
                <w:sz w:val="17"/>
              </w:rPr>
              <w:t xml:space="preserve">Contribuable</w:t>
            </w:r>
          </w:p>
        </w:tc>
        <w:tc>
          <w:tcPr>
            <w:shd w:val="clear" w:color="auto" w:fill="F5F7FB"/>
          </w:tcPr>
          <w:p>
            <w:pPr>
              <w:pStyle w:val="Compact"/>
            </w:pPr>
            <w:r>
              <w:rPr>
                <w:sz w:val="17"/>
              </w:rPr>
              <w:t xml:space="preserve">Oui</w:t>
            </w:r>
          </w:p>
        </w:tc>
        <w:tc>
          <w:tcPr>
            <w:shd w:val="clear" w:color="auto" w:fill="F5F7FB"/>
          </w:tcPr>
          <w:p>
            <w:pPr>
              <w:pStyle w:val="Compact"/>
            </w:pPr>
            <w:r>
              <w:rPr>
                <w:rStyle w:val="VerbatimChar"/>
                <w:sz w:val="17"/>
              </w:rPr>
              <w:t xml:space="preserve">object.link.requested</w:t>
            </w:r>
          </w:p>
        </w:tc>
      </w:tr>
      <w:tr>
        <w:tc>
          <w:tcPr/>
          <w:p>
            <w:pPr>
              <w:pStyle w:val="Compact"/>
            </w:pPr>
            <w:r>
              <w:rPr>
                <w:sz w:val="17"/>
              </w:rPr>
              <w:t xml:space="preserve">7</w:t>
            </w:r>
          </w:p>
        </w:tc>
        <w:tc>
          <w:tcPr/>
          <w:p>
            <w:pPr>
              <w:pStyle w:val="Compact"/>
            </w:pPr>
            <w:r>
              <w:rPr>
                <w:rStyle w:val="VerbatimChar"/>
                <w:sz w:val="17"/>
              </w:rPr>
              <w:t xml:space="preserve">POST /v1/leases</w:t>
            </w:r>
          </w:p>
        </w:tc>
        <w:tc>
          <w:tcPr/>
          <w:p>
            <w:pPr>
              <w:pStyle w:val="Compact"/>
            </w:pPr>
            <w:r>
              <w:rPr>
                <w:sz w:val="17"/>
              </w:rPr>
              <w:t xml:space="preserve">Déclaration de bail</w:t>
            </w:r>
          </w:p>
        </w:tc>
        <w:tc>
          <w:tcPr/>
          <w:p>
            <w:pPr>
              <w:pStyle w:val="Compact"/>
            </w:pPr>
            <w:r>
              <w:rPr>
                <w:sz w:val="17"/>
              </w:rPr>
              <w:t xml:space="preserve">Bailleur, locataire</w:t>
            </w:r>
          </w:p>
        </w:tc>
        <w:tc>
          <w:tcPr/>
          <w:p>
            <w:pPr>
              <w:pStyle w:val="Compact"/>
            </w:pPr>
            <w:r>
              <w:rPr>
                <w:sz w:val="17"/>
              </w:rPr>
              <w:t xml:space="preserve">Oui</w:t>
            </w:r>
          </w:p>
        </w:tc>
        <w:tc>
          <w:tcPr/>
          <w:p>
            <w:pPr>
              <w:pStyle w:val="Compact"/>
            </w:pPr>
            <w:r>
              <w:rPr>
                <w:rStyle w:val="VerbatimChar"/>
                <w:sz w:val="17"/>
              </w:rPr>
              <w:t xml:space="preserve">lease.declared</w:t>
            </w:r>
          </w:p>
        </w:tc>
      </w:tr>
      <w:tr>
        <w:tc>
          <w:tcPr>
            <w:shd w:val="clear" w:color="auto" w:fill="F5F7FB"/>
          </w:tcPr>
          <w:p>
            <w:pPr>
              <w:pStyle w:val="Compact"/>
            </w:pPr>
            <w:r>
              <w:rPr>
                <w:sz w:val="17"/>
              </w:rPr>
              <w:t xml:space="preserve">8</w:t>
            </w:r>
          </w:p>
        </w:tc>
        <w:tc>
          <w:tcPr>
            <w:shd w:val="clear" w:color="auto" w:fill="F5F7FB"/>
          </w:tcPr>
          <w:p>
            <w:pPr>
              <w:pStyle w:val="Compact"/>
            </w:pPr>
            <w:r>
              <w:rPr>
                <w:rStyle w:val="VerbatimChar"/>
                <w:sz w:val="17"/>
              </w:rPr>
              <w:t xml:space="preserve">POST /v1/activities</w:t>
            </w:r>
          </w:p>
        </w:tc>
        <w:tc>
          <w:tcPr>
            <w:shd w:val="clear" w:color="auto" w:fill="F5F7FB"/>
          </w:tcPr>
          <w:p>
            <w:pPr>
              <w:pStyle w:val="Compact"/>
            </w:pPr>
            <w:r>
              <w:rPr>
                <w:sz w:val="17"/>
              </w:rPr>
              <w:t xml:space="preserve">Enregistrement d’activité</w:t>
            </w:r>
          </w:p>
        </w:tc>
        <w:tc>
          <w:tcPr>
            <w:shd w:val="clear" w:color="auto" w:fill="F5F7FB"/>
          </w:tcPr>
          <w:p>
            <w:pPr>
              <w:pStyle w:val="Compact"/>
            </w:pPr>
            <w:r>
              <w:rPr>
                <w:sz w:val="17"/>
              </w:rPr>
              <w:t xml:space="preserve">Contribuable, agent</w:t>
            </w:r>
          </w:p>
        </w:tc>
        <w:tc>
          <w:tcPr>
            <w:shd w:val="clear" w:color="auto" w:fill="F5F7FB"/>
          </w:tcPr>
          <w:p>
            <w:pPr>
              <w:pStyle w:val="Compact"/>
            </w:pPr>
            <w:r>
              <w:rPr>
                <w:sz w:val="17"/>
              </w:rPr>
              <w:t xml:space="preserve">Oui</w:t>
            </w:r>
          </w:p>
        </w:tc>
        <w:tc>
          <w:tcPr>
            <w:shd w:val="clear" w:color="auto" w:fill="F5F7FB"/>
          </w:tcPr>
          <w:p>
            <w:pPr>
              <w:pStyle w:val="Compact"/>
            </w:pPr>
            <w:r>
              <w:rPr>
                <w:rStyle w:val="VerbatimChar"/>
                <w:sz w:val="17"/>
              </w:rPr>
              <w:t xml:space="preserve">object.declared</w:t>
            </w:r>
          </w:p>
        </w:tc>
      </w:tr>
      <w:tr>
        <w:tc>
          <w:tcPr/>
          <w:p>
            <w:pPr>
              <w:pStyle w:val="Compact"/>
            </w:pPr>
            <w:r>
              <w:rPr>
                <w:sz w:val="17"/>
              </w:rPr>
              <w:t xml:space="preserve">9</w:t>
            </w:r>
          </w:p>
        </w:tc>
        <w:tc>
          <w:tcPr/>
          <w:p>
            <w:pPr>
              <w:pStyle w:val="Compact"/>
            </w:pPr>
            <w:r>
              <w:rPr>
                <w:rStyle w:val="VerbatimChar"/>
                <w:sz w:val="17"/>
              </w:rPr>
              <w:t xml:space="preserve">POST /v1/assessments:calculate</w:t>
            </w:r>
          </w:p>
        </w:tc>
        <w:tc>
          <w:tcPr/>
          <w:p>
            <w:pPr>
              <w:pStyle w:val="Compact"/>
            </w:pPr>
            <w:r>
              <w:rPr>
                <w:sz w:val="17"/>
              </w:rPr>
              <w:t xml:space="preserve">Calcul (simulation ou liquidation)</w:t>
            </w:r>
          </w:p>
        </w:tc>
        <w:tc>
          <w:tcPr/>
          <w:p>
            <w:pPr>
              <w:pStyle w:val="Compact"/>
            </w:pPr>
            <w:r>
              <w:rPr>
                <w:sz w:val="17"/>
              </w:rPr>
              <w:t xml:space="preserve">Moteur, contrôleur</w:t>
            </w:r>
          </w:p>
        </w:tc>
        <w:tc>
          <w:tcPr/>
          <w:p>
            <w:pPr>
              <w:pStyle w:val="Compact"/>
            </w:pPr>
            <w:r>
              <w:rPr>
                <w:sz w:val="17"/>
              </w:rPr>
              <w:t xml:space="preserve">Oui</w:t>
            </w:r>
          </w:p>
        </w:tc>
        <w:tc>
          <w:tcPr/>
          <w:p>
            <w:pPr>
              <w:pStyle w:val="Compact"/>
            </w:pPr>
            <w:r>
              <w:rPr>
                <w:rStyle w:val="VerbatimChar"/>
                <w:sz w:val="17"/>
              </w:rPr>
              <w:t xml:space="preserve">assessment.calculated</w:t>
            </w:r>
          </w:p>
        </w:tc>
      </w:tr>
      <w:tr>
        <w:tc>
          <w:tcPr>
            <w:shd w:val="clear" w:color="auto" w:fill="F5F7FB"/>
          </w:tcPr>
          <w:p>
            <w:pPr>
              <w:pStyle w:val="Compact"/>
            </w:pPr>
            <w:r>
              <w:rPr>
                <w:sz w:val="17"/>
              </w:rPr>
              <w:t xml:space="preserve">10</w:t>
            </w:r>
          </w:p>
        </w:tc>
        <w:tc>
          <w:tcPr>
            <w:shd w:val="clear" w:color="auto" w:fill="F5F7FB"/>
          </w:tcPr>
          <w:p>
            <w:pPr>
              <w:pStyle w:val="Compact"/>
            </w:pPr>
            <w:r>
              <w:rPr>
                <w:rStyle w:val="VerbatimChar"/>
                <w:sz w:val="17"/>
              </w:rPr>
              <w:t xml:space="preserve">POST /v1/legal-rules</w:t>
            </w:r>
            <w:r>
              <w:rPr>
                <w:sz w:val="17"/>
              </w:rPr>
              <w:t xml:space="preserve"> </w:t>
            </w:r>
            <w:r>
              <w:rPr>
                <w:sz w:val="17"/>
              </w:rPr>
              <w:t xml:space="preserve">·</w:t>
            </w:r>
            <w:r>
              <w:rPr>
                <w:sz w:val="17"/>
              </w:rPr>
              <w:t xml:space="preserve"> </w:t>
            </w:r>
            <w:r>
              <w:rPr>
                <w:rStyle w:val="VerbatimChar"/>
                <w:sz w:val="17"/>
              </w:rPr>
              <w:t xml:space="preserve">POST /v1/legal-rules/{id}:submit</w:t>
            </w:r>
            <w:r>
              <w:rPr>
                <w:sz w:val="17"/>
              </w:rPr>
              <w:t xml:space="preserve"> </w:t>
            </w:r>
            <w:r>
              <w:rPr>
                <w:sz w:val="17"/>
              </w:rPr>
              <w:t xml:space="preserve">·</w:t>
            </w:r>
            <w:r>
              <w:rPr>
                <w:sz w:val="17"/>
              </w:rPr>
              <w:t xml:space="preserve"> </w:t>
            </w:r>
            <w:r>
              <w:rPr>
                <w:rStyle w:val="VerbatimChar"/>
                <w:sz w:val="17"/>
              </w:rPr>
              <w:t xml:space="preserve">:approve</w:t>
            </w:r>
            <w:r>
              <w:rPr>
                <w:sz w:val="17"/>
              </w:rPr>
              <w:t xml:space="preserve"> </w:t>
            </w:r>
            <w:r>
              <w:rPr>
                <w:sz w:val="17"/>
              </w:rPr>
              <w:t xml:space="preserve">·</w:t>
            </w:r>
            <w:r>
              <w:rPr>
                <w:sz w:val="17"/>
              </w:rPr>
              <w:t xml:space="preserve"> </w:t>
            </w:r>
            <w:r>
              <w:rPr>
                <w:rStyle w:val="VerbatimChar"/>
                <w:sz w:val="17"/>
              </w:rPr>
              <w:t xml:space="preserve">:publish</w:t>
            </w:r>
          </w:p>
        </w:tc>
        <w:tc>
          <w:tcPr>
            <w:shd w:val="clear" w:color="auto" w:fill="F5F7FB"/>
          </w:tcPr>
          <w:p>
            <w:pPr>
              <w:pStyle w:val="Compact"/>
            </w:pPr>
            <w:r>
              <w:rPr>
                <w:sz w:val="17"/>
              </w:rPr>
              <w:t xml:space="preserve">Cycle de publication de règle</w:t>
            </w:r>
          </w:p>
        </w:tc>
        <w:tc>
          <w:tcPr>
            <w:shd w:val="clear" w:color="auto" w:fill="F5F7FB"/>
          </w:tcPr>
          <w:p>
            <w:pPr>
              <w:pStyle w:val="Compact"/>
            </w:pPr>
            <w:r>
              <w:rPr>
                <w:sz w:val="17"/>
              </w:rPr>
              <w:t xml:space="preserve">Juristes, validateur, autorité</w:t>
            </w:r>
          </w:p>
        </w:tc>
        <w:tc>
          <w:tcPr>
            <w:shd w:val="clear" w:color="auto" w:fill="F5F7FB"/>
          </w:tcPr>
          <w:p>
            <w:pPr>
              <w:pStyle w:val="Compact"/>
            </w:pPr>
            <w:r>
              <w:rPr>
                <w:sz w:val="17"/>
              </w:rPr>
              <w:t xml:space="preserve">Oui</w:t>
            </w:r>
          </w:p>
        </w:tc>
        <w:tc>
          <w:tcPr>
            <w:shd w:val="clear" w:color="auto" w:fill="F5F7FB"/>
          </w:tcPr>
          <w:p>
            <w:pPr>
              <w:pStyle w:val="Compact"/>
            </w:pPr>
            <w:r>
              <w:rPr>
                <w:rStyle w:val="VerbatimChar"/>
                <w:sz w:val="17"/>
              </w:rPr>
              <w:t xml:space="preserve">rule.*</w:t>
            </w:r>
          </w:p>
        </w:tc>
      </w:tr>
      <w:tr>
        <w:tc>
          <w:tcPr/>
          <w:p>
            <w:pPr>
              <w:pStyle w:val="Compact"/>
            </w:pPr>
            <w:r>
              <w:rPr>
                <w:sz w:val="17"/>
              </w:rPr>
              <w:t xml:space="preserve">11</w:t>
            </w:r>
          </w:p>
        </w:tc>
        <w:tc>
          <w:tcPr/>
          <w:p>
            <w:pPr>
              <w:pStyle w:val="Compact"/>
            </w:pPr>
            <w:r>
              <w:rPr>
                <w:rStyle w:val="VerbatimChar"/>
                <w:sz w:val="17"/>
              </w:rPr>
              <w:t xml:space="preserve">POST /v1/obligations/{id}/payment-orders</w:t>
            </w:r>
          </w:p>
        </w:tc>
        <w:tc>
          <w:tcPr/>
          <w:p>
            <w:pPr>
              <w:pStyle w:val="Compact"/>
            </w:pPr>
            <w:r>
              <w:rPr>
                <w:sz w:val="17"/>
              </w:rPr>
              <w:t xml:space="preserve">Création de référence de paiement</w:t>
            </w:r>
          </w:p>
        </w:tc>
        <w:tc>
          <w:tcPr/>
          <w:p>
            <w:pPr>
              <w:pStyle w:val="Compact"/>
            </w:pPr>
            <w:r>
              <w:rPr>
                <w:sz w:val="17"/>
              </w:rPr>
              <w:t xml:space="preserve">Contribuable, mandataire, guichet</w:t>
            </w:r>
          </w:p>
        </w:tc>
        <w:tc>
          <w:tcPr/>
          <w:p>
            <w:pPr>
              <w:pStyle w:val="Compact"/>
            </w:pPr>
            <w:r>
              <w:rPr>
                <w:b/>
                <w:bCs/>
                <w:sz w:val="17"/>
              </w:rPr>
              <w:t xml:space="preserve">Obligatoire</w:t>
            </w:r>
          </w:p>
        </w:tc>
        <w:tc>
          <w:tcPr/>
          <w:p>
            <w:pPr>
              <w:pStyle w:val="Compact"/>
            </w:pPr>
            <w:r>
              <w:rPr>
                <w:rStyle w:val="VerbatimChar"/>
                <w:sz w:val="17"/>
              </w:rPr>
              <w:t xml:space="preserve">payment.reference.issued</w:t>
            </w:r>
          </w:p>
        </w:tc>
      </w:tr>
      <w:tr>
        <w:tc>
          <w:tcPr>
            <w:shd w:val="clear" w:color="auto" w:fill="F5F7FB"/>
          </w:tcPr>
          <w:p>
            <w:pPr>
              <w:pStyle w:val="Compact"/>
            </w:pPr>
            <w:r>
              <w:rPr>
                <w:sz w:val="17"/>
              </w:rPr>
              <w:t xml:space="preserve">12</w:t>
            </w:r>
          </w:p>
        </w:tc>
        <w:tc>
          <w:tcPr>
            <w:shd w:val="clear" w:color="auto" w:fill="F5F7FB"/>
          </w:tcPr>
          <w:p>
            <w:pPr>
              <w:pStyle w:val="Compact"/>
            </w:pPr>
            <w:r>
              <w:rPr>
                <w:rStyle w:val="VerbatimChar"/>
                <w:sz w:val="17"/>
              </w:rPr>
              <w:t xml:space="preserve">POST /v1/providers/{provider}/callbacks</w:t>
            </w:r>
          </w:p>
        </w:tc>
        <w:tc>
          <w:tcPr>
            <w:shd w:val="clear" w:color="auto" w:fill="F5F7FB"/>
          </w:tcPr>
          <w:p>
            <w:pPr>
              <w:pStyle w:val="Compact"/>
            </w:pPr>
            <w:r>
              <w:rPr>
                <w:sz w:val="17"/>
              </w:rPr>
              <w:t xml:space="preserve">Confirmation prestataire</w:t>
            </w:r>
          </w:p>
        </w:tc>
        <w:tc>
          <w:tcPr>
            <w:shd w:val="clear" w:color="auto" w:fill="F5F7FB"/>
          </w:tcPr>
          <w:p>
            <w:pPr>
              <w:pStyle w:val="Compact"/>
            </w:pPr>
            <w:r>
              <w:rPr>
                <w:sz w:val="17"/>
              </w:rPr>
              <w:t xml:space="preserve">Prestataire (mTLS + JWS)</w:t>
            </w:r>
          </w:p>
        </w:tc>
        <w:tc>
          <w:tcPr>
            <w:shd w:val="clear" w:color="auto" w:fill="F5F7FB"/>
          </w:tcPr>
          <w:p>
            <w:pPr>
              <w:pStyle w:val="Compact"/>
            </w:pPr>
            <w:r>
              <w:rPr>
                <w:sz w:val="17"/>
              </w:rPr>
              <w:t xml:space="preserve">Par</w:t>
            </w:r>
            <w:r>
              <w:rPr>
                <w:sz w:val="17"/>
              </w:rPr>
              <w:t xml:space="preserve"> </w:t>
            </w:r>
            <w:r>
              <w:rPr>
                <w:rStyle w:val="VerbatimChar"/>
                <w:sz w:val="17"/>
              </w:rPr>
              <w:t xml:space="preserve">provider_txn_id</w:t>
            </w:r>
          </w:p>
        </w:tc>
        <w:tc>
          <w:tcPr>
            <w:shd w:val="clear" w:color="auto" w:fill="F5F7FB"/>
          </w:tcPr>
          <w:p>
            <w:pPr>
              <w:pStyle w:val="Compact"/>
            </w:pPr>
            <w:r>
              <w:rPr>
                <w:rStyle w:val="VerbatimChar"/>
                <w:sz w:val="17"/>
              </w:rPr>
              <w:t xml:space="preserve">payment.confirmed</w:t>
            </w:r>
          </w:p>
        </w:tc>
      </w:tr>
      <w:tr>
        <w:tc>
          <w:tcPr/>
          <w:p>
            <w:pPr>
              <w:pStyle w:val="Compact"/>
            </w:pPr>
            <w:r>
              <w:rPr>
                <w:sz w:val="17"/>
              </w:rPr>
              <w:t xml:space="preserve">13</w:t>
            </w:r>
          </w:p>
        </w:tc>
        <w:tc>
          <w:tcPr/>
          <w:p>
            <w:pPr>
              <w:pStyle w:val="Compact"/>
            </w:pPr>
            <w:r>
              <w:rPr>
                <w:rStyle w:val="VerbatimChar"/>
                <w:sz w:val="17"/>
              </w:rPr>
              <w:t xml:space="preserve">POST /v1/settlements/statements</w:t>
            </w:r>
          </w:p>
        </w:tc>
        <w:tc>
          <w:tcPr/>
          <w:p>
            <w:pPr>
              <w:pStyle w:val="Compact"/>
            </w:pPr>
            <w:r>
              <w:rPr>
                <w:sz w:val="17"/>
              </w:rPr>
              <w:t xml:space="preserve">Import de relevé bancaire</w:t>
            </w:r>
          </w:p>
        </w:tc>
        <w:tc>
          <w:tcPr/>
          <w:p>
            <w:pPr>
              <w:pStyle w:val="Compact"/>
            </w:pPr>
            <w:r>
              <w:rPr>
                <w:sz w:val="17"/>
              </w:rPr>
              <w:t xml:space="preserve">Banque, Trésor</w:t>
            </w:r>
          </w:p>
        </w:tc>
        <w:tc>
          <w:tcPr/>
          <w:p>
            <w:pPr>
              <w:pStyle w:val="Compact"/>
            </w:pPr>
            <w:r>
              <w:rPr>
                <w:sz w:val="17"/>
              </w:rPr>
              <w:t xml:space="preserve">Par identifiant de relevé</w:t>
            </w:r>
          </w:p>
        </w:tc>
        <w:tc>
          <w:tcPr/>
          <w:p>
            <w:pPr>
              <w:pStyle w:val="Compact"/>
            </w:pPr>
            <w:r>
              <w:rPr>
                <w:rStyle w:val="VerbatimChar"/>
                <w:sz w:val="17"/>
              </w:rPr>
              <w:t xml:space="preserve">settlement.received</w:t>
            </w:r>
          </w:p>
        </w:tc>
      </w:tr>
      <w:tr>
        <w:tc>
          <w:tcPr>
            <w:shd w:val="clear" w:color="auto" w:fill="F5F7FB"/>
          </w:tcPr>
          <w:p>
            <w:pPr>
              <w:pStyle w:val="Compact"/>
            </w:pPr>
            <w:r>
              <w:rPr>
                <w:sz w:val="17"/>
              </w:rPr>
              <w:t xml:space="preserve">14</w:t>
            </w:r>
          </w:p>
        </w:tc>
        <w:tc>
          <w:tcPr>
            <w:shd w:val="clear" w:color="auto" w:fill="F5F7FB"/>
          </w:tcPr>
          <w:p>
            <w:pPr>
              <w:pStyle w:val="Compact"/>
            </w:pPr>
            <w:r>
              <w:rPr>
                <w:rStyle w:val="VerbatimChar"/>
                <w:sz w:val="17"/>
              </w:rPr>
              <w:t xml:space="preserve">POST /v1/reconciliations:run</w:t>
            </w:r>
            <w:r>
              <w:rPr>
                <w:sz w:val="17"/>
              </w:rPr>
              <w:t xml:space="preserve"> </w:t>
            </w:r>
            <w:r>
              <w:rPr>
                <w:sz w:val="17"/>
              </w:rPr>
              <w:t xml:space="preserve">·</w:t>
            </w:r>
            <w:r>
              <w:rPr>
                <w:sz w:val="17"/>
              </w:rPr>
              <w:t xml:space="preserve"> </w:t>
            </w:r>
            <w:r>
              <w:rPr>
                <w:rStyle w:val="VerbatimChar"/>
                <w:sz w:val="17"/>
              </w:rPr>
              <w:t xml:space="preserve">PATCH /v1/reconciliation-exceptions/{id}</w:t>
            </w:r>
          </w:p>
        </w:tc>
        <w:tc>
          <w:tcPr>
            <w:shd w:val="clear" w:color="auto" w:fill="F5F7FB"/>
          </w:tcPr>
          <w:p>
            <w:pPr>
              <w:pStyle w:val="Compact"/>
            </w:pPr>
            <w:r>
              <w:rPr>
                <w:sz w:val="17"/>
              </w:rPr>
              <w:t xml:space="preserve">Rapprochement, traitement d’exception</w:t>
            </w:r>
          </w:p>
        </w:tc>
        <w:tc>
          <w:tcPr>
            <w:shd w:val="clear" w:color="auto" w:fill="F5F7FB"/>
          </w:tcPr>
          <w:p>
            <w:pPr>
              <w:pStyle w:val="Compact"/>
            </w:pPr>
            <w:r>
              <w:rPr>
                <w:sz w:val="17"/>
              </w:rPr>
              <w:t xml:space="preserve">Trésor (quatre yeux)</w:t>
            </w:r>
          </w:p>
        </w:tc>
        <w:tc>
          <w:tcPr>
            <w:shd w:val="clear" w:color="auto" w:fill="F5F7FB"/>
          </w:tcPr>
          <w:p>
            <w:pPr>
              <w:pStyle w:val="Compact"/>
            </w:pPr>
            <w:r>
              <w:rPr>
                <w:sz w:val="17"/>
              </w:rPr>
              <w:t xml:space="preserve">Oui</w:t>
            </w:r>
          </w:p>
        </w:tc>
        <w:tc>
          <w:tcPr>
            <w:shd w:val="clear" w:color="auto" w:fill="F5F7FB"/>
          </w:tcPr>
          <w:p>
            <w:pPr>
              <w:pStyle w:val="Compact"/>
            </w:pPr>
            <w:r>
              <w:rPr>
                <w:rStyle w:val="VerbatimChar"/>
                <w:sz w:val="17"/>
              </w:rPr>
              <w:t xml:space="preserve">reconciliation.*</w:t>
            </w:r>
          </w:p>
        </w:tc>
      </w:tr>
      <w:tr>
        <w:tc>
          <w:tcPr/>
          <w:p>
            <w:pPr>
              <w:pStyle w:val="Compact"/>
            </w:pPr>
            <w:r>
              <w:rPr>
                <w:sz w:val="17"/>
              </w:rPr>
              <w:t xml:space="preserve">15</w:t>
            </w:r>
          </w:p>
        </w:tc>
        <w:tc>
          <w:tcPr/>
          <w:p>
            <w:pPr>
              <w:pStyle w:val="Compact"/>
            </w:pPr>
            <w:r>
              <w:rPr>
                <w:rStyle w:val="VerbatimChar"/>
                <w:sz w:val="17"/>
              </w:rPr>
              <w:t xml:space="preserve">GET /v1/public/receipts/{code}</w:t>
            </w:r>
          </w:p>
        </w:tc>
        <w:tc>
          <w:tcPr/>
          <w:p>
            <w:pPr>
              <w:pStyle w:val="Compact"/>
            </w:pPr>
            <w:r>
              <w:rPr>
                <w:sz w:val="17"/>
              </w:rPr>
              <w:t xml:space="preserve">Vérification publique de quittance</w:t>
            </w:r>
          </w:p>
        </w:tc>
        <w:tc>
          <w:tcPr/>
          <w:p>
            <w:pPr>
              <w:pStyle w:val="Compact"/>
            </w:pPr>
            <w:r>
              <w:rPr>
                <w:sz w:val="17"/>
              </w:rPr>
              <w:t xml:space="preserve">Public</w:t>
            </w:r>
          </w:p>
        </w:tc>
        <w:tc>
          <w:tcPr/>
          <w:p>
            <w:pPr>
              <w:pStyle w:val="Compact"/>
            </w:pPr>
            <w:r>
              <w:rPr>
                <w:sz w:val="17"/>
              </w:rPr>
              <w:t xml:space="preserve">—</w:t>
            </w:r>
          </w:p>
        </w:tc>
        <w:tc>
          <w:tcPr/>
          <w:p>
            <w:pPr>
              <w:pStyle w:val="Compact"/>
            </w:pPr>
            <w:r>
              <w:rPr>
                <w:rStyle w:val="VerbatimChar"/>
                <w:sz w:val="17"/>
              </w:rPr>
              <w:t xml:space="preserve">receipt.verified</w:t>
            </w:r>
          </w:p>
        </w:tc>
      </w:tr>
      <w:tr>
        <w:tc>
          <w:tcPr>
            <w:shd w:val="clear" w:color="auto" w:fill="F5F7FB"/>
          </w:tcPr>
          <w:p>
            <w:pPr>
              <w:pStyle w:val="Compact"/>
            </w:pPr>
            <w:r>
              <w:rPr>
                <w:sz w:val="17"/>
              </w:rPr>
              <w:t xml:space="preserve">16</w:t>
            </w:r>
          </w:p>
        </w:tc>
        <w:tc>
          <w:tcPr>
            <w:shd w:val="clear" w:color="auto" w:fill="F5F7FB"/>
          </w:tcPr>
          <w:p>
            <w:pPr>
              <w:pStyle w:val="Compact"/>
            </w:pPr>
            <w:r>
              <w:rPr>
                <w:rStyle w:val="VerbatimChar"/>
                <w:sz w:val="17"/>
              </w:rPr>
              <w:t xml:space="preserve">POST /v1/field-sync/batches</w:t>
            </w:r>
          </w:p>
        </w:tc>
        <w:tc>
          <w:tcPr>
            <w:shd w:val="clear" w:color="auto" w:fill="F5F7FB"/>
          </w:tcPr>
          <w:p>
            <w:pPr>
              <w:pStyle w:val="Compact"/>
            </w:pPr>
            <w:r>
              <w:rPr>
                <w:sz w:val="17"/>
              </w:rPr>
              <w:t xml:space="preserve">Synchronisation terrain</w:t>
            </w:r>
          </w:p>
        </w:tc>
        <w:tc>
          <w:tcPr>
            <w:shd w:val="clear" w:color="auto" w:fill="F5F7FB"/>
          </w:tcPr>
          <w:p>
            <w:pPr>
              <w:pStyle w:val="Compact"/>
            </w:pPr>
            <w:r>
              <w:rPr>
                <w:sz w:val="17"/>
              </w:rPr>
              <w:t xml:space="preserve">Terminal enrôlé</w:t>
            </w:r>
          </w:p>
        </w:tc>
        <w:tc>
          <w:tcPr>
            <w:shd w:val="clear" w:color="auto" w:fill="F5F7FB"/>
          </w:tcPr>
          <w:p>
            <w:pPr>
              <w:pStyle w:val="Compact"/>
            </w:pPr>
            <w:r>
              <w:rPr>
                <w:sz w:val="17"/>
              </w:rPr>
              <w:t xml:space="preserve">Par identifiant de lot</w:t>
            </w:r>
          </w:p>
        </w:tc>
        <w:tc>
          <w:tcPr>
            <w:shd w:val="clear" w:color="auto" w:fill="F5F7FB"/>
          </w:tcPr>
          <w:p>
            <w:pPr>
              <w:pStyle w:val="Compact"/>
            </w:pPr>
            <w:r>
              <w:rPr>
                <w:rStyle w:val="VerbatimChar"/>
                <w:sz w:val="17"/>
              </w:rPr>
              <w:t xml:space="preserve">mission.sync.completed</w:t>
            </w:r>
          </w:p>
        </w:tc>
      </w:tr>
      <w:tr>
        <w:tc>
          <w:tcPr/>
          <w:p>
            <w:pPr>
              <w:pStyle w:val="Compact"/>
            </w:pPr>
            <w:r>
              <w:rPr>
                <w:sz w:val="17"/>
              </w:rPr>
              <w:t xml:space="preserve">17</w:t>
            </w:r>
          </w:p>
        </w:tc>
        <w:tc>
          <w:tcPr/>
          <w:p>
            <w:pPr>
              <w:pStyle w:val="Compact"/>
            </w:pPr>
            <w:r>
              <w:rPr>
                <w:rStyle w:val="VerbatimChar"/>
                <w:sz w:val="17"/>
              </w:rPr>
              <w:t xml:space="preserve">POST /v1/appeals</w:t>
            </w:r>
            <w:r>
              <w:rPr>
                <w:sz w:val="17"/>
              </w:rPr>
              <w:t xml:space="preserve"> </w:t>
            </w:r>
            <w:r>
              <w:rPr>
                <w:sz w:val="17"/>
              </w:rPr>
              <w:t xml:space="preserve">·</w:t>
            </w:r>
            <w:r>
              <w:rPr>
                <w:sz w:val="17"/>
              </w:rPr>
              <w:t xml:space="preserve"> </w:t>
            </w:r>
            <w:r>
              <w:rPr>
                <w:rStyle w:val="VerbatimChar"/>
                <w:sz w:val="17"/>
              </w:rPr>
              <w:t xml:space="preserve">POST /v1/appeals/{id}:decide</w:t>
            </w:r>
          </w:p>
        </w:tc>
        <w:tc>
          <w:tcPr/>
          <w:p>
            <w:pPr>
              <w:pStyle w:val="Compact"/>
            </w:pPr>
            <w:r>
              <w:rPr>
                <w:sz w:val="17"/>
              </w:rPr>
              <w:t xml:space="preserve">Réclamation, décision</w:t>
            </w:r>
          </w:p>
        </w:tc>
        <w:tc>
          <w:tcPr/>
          <w:p>
            <w:pPr>
              <w:pStyle w:val="Compact"/>
            </w:pPr>
            <w:r>
              <w:rPr>
                <w:sz w:val="17"/>
              </w:rPr>
              <w:t xml:space="preserve">Contribuable ; autorité</w:t>
            </w:r>
          </w:p>
        </w:tc>
        <w:tc>
          <w:tcPr/>
          <w:p>
            <w:pPr>
              <w:pStyle w:val="Compact"/>
            </w:pPr>
            <w:r>
              <w:rPr>
                <w:sz w:val="17"/>
              </w:rPr>
              <w:t xml:space="preserve">Oui</w:t>
            </w:r>
          </w:p>
        </w:tc>
        <w:tc>
          <w:tcPr/>
          <w:p>
            <w:pPr>
              <w:pStyle w:val="Compact"/>
            </w:pPr>
            <w:r>
              <w:rPr>
                <w:rStyle w:val="VerbatimChar"/>
                <w:sz w:val="17"/>
              </w:rPr>
              <w:t xml:space="preserve">appeal.*</w:t>
            </w:r>
          </w:p>
        </w:tc>
      </w:tr>
      <w:tr>
        <w:tc>
          <w:tcPr>
            <w:shd w:val="clear" w:color="auto" w:fill="F5F7FB"/>
          </w:tcPr>
          <w:p>
            <w:pPr>
              <w:pStyle w:val="Compact"/>
            </w:pPr>
            <w:r>
              <w:rPr>
                <w:sz w:val="17"/>
              </w:rPr>
              <w:t xml:space="preserve">18</w:t>
            </w:r>
          </w:p>
        </w:tc>
        <w:tc>
          <w:tcPr>
            <w:shd w:val="clear" w:color="auto" w:fill="F5F7FB"/>
          </w:tcPr>
          <w:p>
            <w:pPr>
              <w:pStyle w:val="Compact"/>
            </w:pPr>
            <w:r>
              <w:rPr>
                <w:rStyle w:val="VerbatimChar"/>
                <w:sz w:val="17"/>
              </w:rPr>
              <w:t xml:space="preserve">POST /v1/inspections</w:t>
            </w:r>
          </w:p>
        </w:tc>
        <w:tc>
          <w:tcPr>
            <w:shd w:val="clear" w:color="auto" w:fill="F5F7FB"/>
          </w:tcPr>
          <w:p>
            <w:pPr>
              <w:pStyle w:val="Compact"/>
            </w:pPr>
            <w:r>
              <w:rPr>
                <w:sz w:val="17"/>
              </w:rPr>
              <w:t xml:space="preserve">Constat</w:t>
            </w:r>
          </w:p>
        </w:tc>
        <w:tc>
          <w:tcPr>
            <w:shd w:val="clear" w:color="auto" w:fill="F5F7FB"/>
          </w:tcPr>
          <w:p>
            <w:pPr>
              <w:pStyle w:val="Compact"/>
            </w:pPr>
            <w:r>
              <w:rPr>
                <w:sz w:val="17"/>
              </w:rPr>
              <w:t xml:space="preserve">Agent, contrôleur</w:t>
            </w:r>
          </w:p>
        </w:tc>
        <w:tc>
          <w:tcPr>
            <w:shd w:val="clear" w:color="auto" w:fill="F5F7FB"/>
          </w:tcPr>
          <w:p>
            <w:pPr>
              <w:pStyle w:val="Compact"/>
            </w:pPr>
            <w:r>
              <w:rPr>
                <w:sz w:val="17"/>
              </w:rPr>
              <w:t xml:space="preserve">Oui</w:t>
            </w:r>
          </w:p>
        </w:tc>
        <w:tc>
          <w:tcPr>
            <w:shd w:val="clear" w:color="auto" w:fill="F5F7FB"/>
          </w:tcPr>
          <w:p>
            <w:pPr>
              <w:pStyle w:val="Compact"/>
            </w:pPr>
            <w:r>
              <w:rPr>
                <w:rStyle w:val="VerbatimChar"/>
                <w:sz w:val="17"/>
              </w:rPr>
              <w:t xml:space="preserve">inspection.created</w:t>
            </w:r>
          </w:p>
        </w:tc>
      </w:tr>
      <w:tr>
        <w:tc>
          <w:tcPr/>
          <w:p>
            <w:pPr>
              <w:pStyle w:val="Compact"/>
            </w:pPr>
            <w:r>
              <w:rPr>
                <w:sz w:val="17"/>
              </w:rPr>
              <w:t xml:space="preserve">19</w:t>
            </w:r>
          </w:p>
        </w:tc>
        <w:tc>
          <w:tcPr/>
          <w:p>
            <w:pPr>
              <w:pStyle w:val="Compact"/>
            </w:pPr>
            <w:r>
              <w:rPr>
                <w:rStyle w:val="VerbatimChar"/>
                <w:sz w:val="17"/>
              </w:rPr>
              <w:t xml:space="preserve">GET /v1/fraud-alerts</w:t>
            </w:r>
            <w:r>
              <w:rPr>
                <w:sz w:val="17"/>
              </w:rPr>
              <w:t xml:space="preserve"> </w:t>
            </w:r>
            <w:r>
              <w:rPr>
                <w:sz w:val="17"/>
              </w:rPr>
              <w:t xml:space="preserve">·</w:t>
            </w:r>
            <w:r>
              <w:rPr>
                <w:sz w:val="17"/>
              </w:rPr>
              <w:t xml:space="preserve"> </w:t>
            </w:r>
            <w:r>
              <w:rPr>
                <w:rStyle w:val="VerbatimChar"/>
                <w:sz w:val="17"/>
              </w:rPr>
              <w:t xml:space="preserve">PATCH /v1/fraud-alerts/{id}</w:t>
            </w:r>
          </w:p>
        </w:tc>
        <w:tc>
          <w:tcPr/>
          <w:p>
            <w:pPr>
              <w:pStyle w:val="Compact"/>
            </w:pPr>
            <w:r>
              <w:rPr>
                <w:sz w:val="17"/>
              </w:rPr>
              <w:t xml:space="preserve">Alertes de fraude</w:t>
            </w:r>
          </w:p>
        </w:tc>
        <w:tc>
          <w:tcPr/>
          <w:p>
            <w:pPr>
              <w:pStyle w:val="Compact"/>
            </w:pPr>
            <w:r>
              <w:rPr>
                <w:sz w:val="17"/>
              </w:rPr>
              <w:t xml:space="preserve">Enquêteur</w:t>
            </w:r>
          </w:p>
        </w:tc>
        <w:tc>
          <w:tcPr/>
          <w:p>
            <w:pPr>
              <w:pStyle w:val="Compact"/>
            </w:pPr>
            <w:r>
              <w:rPr>
                <w:sz w:val="17"/>
              </w:rPr>
              <w:t xml:space="preserve">Oui</w:t>
            </w:r>
          </w:p>
        </w:tc>
        <w:tc>
          <w:tcPr/>
          <w:p>
            <w:pPr>
              <w:pStyle w:val="Compact"/>
            </w:pPr>
            <w:r>
              <w:rPr>
                <w:rStyle w:val="VerbatimChar"/>
                <w:sz w:val="17"/>
              </w:rPr>
              <w:t xml:space="preserve">fraud.*</w:t>
            </w:r>
          </w:p>
        </w:tc>
      </w:tr>
      <w:tr>
        <w:tc>
          <w:tcPr>
            <w:shd w:val="clear" w:color="auto" w:fill="F5F7FB"/>
          </w:tcPr>
          <w:p>
            <w:pPr>
              <w:pStyle w:val="Compact"/>
            </w:pPr>
            <w:r>
              <w:rPr>
                <w:sz w:val="17"/>
              </w:rPr>
              <w:t xml:space="preserve">20</w:t>
            </w:r>
          </w:p>
        </w:tc>
        <w:tc>
          <w:tcPr>
            <w:shd w:val="clear" w:color="auto" w:fill="F5F7FB"/>
          </w:tcPr>
          <w:p>
            <w:pPr>
              <w:pStyle w:val="Compact"/>
            </w:pPr>
            <w:r>
              <w:rPr>
                <w:rStyle w:val="VerbatimChar"/>
                <w:sz w:val="17"/>
              </w:rPr>
              <w:t xml:space="preserve">GET /v1/dashboards/{board}</w:t>
            </w:r>
          </w:p>
        </w:tc>
        <w:tc>
          <w:tcPr>
            <w:shd w:val="clear" w:color="auto" w:fill="F5F7FB"/>
          </w:tcPr>
          <w:p>
            <w:pPr>
              <w:pStyle w:val="Compact"/>
            </w:pPr>
            <w:r>
              <w:rPr>
                <w:sz w:val="17"/>
              </w:rPr>
              <w:t xml:space="preserve">Tableaux de bord</w:t>
            </w:r>
          </w:p>
        </w:tc>
        <w:tc>
          <w:tcPr>
            <w:shd w:val="clear" w:color="auto" w:fill="F5F7FB"/>
          </w:tcPr>
          <w:p>
            <w:pPr>
              <w:pStyle w:val="Compact"/>
            </w:pPr>
            <w:r>
              <w:rPr>
                <w:sz w:val="17"/>
              </w:rPr>
              <w:t xml:space="preserve">Selon rôle</w:t>
            </w:r>
          </w:p>
        </w:tc>
        <w:tc>
          <w:tcPr>
            <w:shd w:val="clear" w:color="auto" w:fill="F5F7FB"/>
          </w:tcPr>
          <w:p>
            <w:pPr>
              <w:pStyle w:val="Compact"/>
            </w:pPr>
            <w:r>
              <w:rPr>
                <w:sz w:val="17"/>
              </w:rPr>
              <w:t xml:space="preserve">—</w:t>
            </w:r>
          </w:p>
        </w:tc>
        <w:tc>
          <w:tcPr>
            <w:shd w:val="clear" w:color="auto" w:fill="F5F7FB"/>
          </w:tcPr>
          <w:p>
            <w:pPr>
              <w:pStyle w:val="Compact"/>
            </w:pPr>
            <w:r>
              <w:rPr>
                <w:rStyle w:val="VerbatimChar"/>
                <w:sz w:val="17"/>
              </w:rPr>
              <w:t xml:space="preserve">dashboard.viewed</w:t>
            </w:r>
            <w:r>
              <w:rPr>
                <w:sz w:val="17"/>
              </w:rPr>
              <w:t xml:space="preserve"> </w:t>
            </w:r>
            <w:r>
              <w:rPr>
                <w:sz w:val="17"/>
              </w:rPr>
              <w:t xml:space="preserve">(C4 uniquement)</w:t>
            </w:r>
          </w:p>
        </w:tc>
      </w:tr>
      <w:tr>
        <w:tc>
          <w:tcPr/>
          <w:p>
            <w:pPr>
              <w:pStyle w:val="Compact"/>
            </w:pPr>
            <w:r>
              <w:rPr>
                <w:sz w:val="17"/>
              </w:rPr>
              <w:t xml:space="preserve">21</w:t>
            </w:r>
          </w:p>
        </w:tc>
        <w:tc>
          <w:tcPr/>
          <w:p>
            <w:pPr>
              <w:pStyle w:val="Compact"/>
            </w:pPr>
            <w:r>
              <w:rPr>
                <w:rStyle w:val="VerbatimChar"/>
                <w:sz w:val="17"/>
              </w:rPr>
              <w:t xml:space="preserve">POST /v1/forecasts:run</w:t>
            </w:r>
          </w:p>
        </w:tc>
        <w:tc>
          <w:tcPr/>
          <w:p>
            <w:pPr>
              <w:pStyle w:val="Compact"/>
            </w:pPr>
            <w:r>
              <w:rPr>
                <w:sz w:val="17"/>
              </w:rPr>
              <w:t xml:space="preserve">Prévision</w:t>
            </w:r>
          </w:p>
        </w:tc>
        <w:tc>
          <w:tcPr/>
          <w:p>
            <w:pPr>
              <w:pStyle w:val="Compact"/>
            </w:pPr>
            <w:r>
              <w:rPr>
                <w:sz w:val="17"/>
              </w:rPr>
              <w:t xml:space="preserve">Direction financière</w:t>
            </w:r>
          </w:p>
        </w:tc>
        <w:tc>
          <w:tcPr/>
          <w:p>
            <w:pPr>
              <w:pStyle w:val="Compact"/>
            </w:pPr>
            <w:r>
              <w:rPr>
                <w:sz w:val="17"/>
              </w:rPr>
              <w:t xml:space="preserve">Oui</w:t>
            </w:r>
          </w:p>
        </w:tc>
        <w:tc>
          <w:tcPr/>
          <w:p>
            <w:pPr>
              <w:pStyle w:val="Compact"/>
            </w:pPr>
            <w:r>
              <w:rPr>
                <w:rStyle w:val="VerbatimChar"/>
                <w:sz w:val="17"/>
              </w:rPr>
              <w:t xml:space="preserve">ai.forecast.updated</w:t>
            </w:r>
          </w:p>
        </w:tc>
      </w:tr>
      <w:tr>
        <w:tc>
          <w:tcPr>
            <w:shd w:val="clear" w:color="auto" w:fill="F5F7FB"/>
          </w:tcPr>
          <w:p>
            <w:pPr>
              <w:pStyle w:val="Compact"/>
            </w:pPr>
            <w:r>
              <w:rPr>
                <w:sz w:val="17"/>
              </w:rPr>
              <w:t xml:space="preserve">22</w:t>
            </w:r>
          </w:p>
        </w:tc>
        <w:tc>
          <w:tcPr>
            <w:shd w:val="clear" w:color="auto" w:fill="F5F7FB"/>
          </w:tcPr>
          <w:p>
            <w:pPr>
              <w:pStyle w:val="Compact"/>
            </w:pPr>
            <w:r>
              <w:rPr>
                <w:rStyle w:val="VerbatimChar"/>
                <w:sz w:val="17"/>
              </w:rPr>
              <w:t xml:space="preserve">POST /v1/allocation-scenarios</w:t>
            </w:r>
          </w:p>
        </w:tc>
        <w:tc>
          <w:tcPr>
            <w:shd w:val="clear" w:color="auto" w:fill="F5F7FB"/>
          </w:tcPr>
          <w:p>
            <w:pPr>
              <w:pStyle w:val="Compact"/>
            </w:pPr>
            <w:r>
              <w:rPr>
                <w:sz w:val="17"/>
              </w:rPr>
              <w:t xml:space="preserve">Scénario d’emploi des fonds</w:t>
            </w:r>
          </w:p>
        </w:tc>
        <w:tc>
          <w:tcPr>
            <w:shd w:val="clear" w:color="auto" w:fill="F5F7FB"/>
          </w:tcPr>
          <w:p>
            <w:pPr>
              <w:pStyle w:val="Compact"/>
            </w:pPr>
            <w:r>
              <w:rPr>
                <w:sz w:val="17"/>
              </w:rPr>
              <w:t xml:space="preserve">Planification</w:t>
            </w:r>
          </w:p>
        </w:tc>
        <w:tc>
          <w:tcPr>
            <w:shd w:val="clear" w:color="auto" w:fill="F5F7FB"/>
          </w:tcPr>
          <w:p>
            <w:pPr>
              <w:pStyle w:val="Compact"/>
            </w:pPr>
            <w:r>
              <w:rPr>
                <w:sz w:val="17"/>
              </w:rPr>
              <w:t xml:space="preserve">Oui</w:t>
            </w:r>
          </w:p>
        </w:tc>
        <w:tc>
          <w:tcPr>
            <w:shd w:val="clear" w:color="auto" w:fill="F5F7FB"/>
          </w:tcPr>
          <w:p>
            <w:pPr>
              <w:pStyle w:val="Compact"/>
            </w:pPr>
            <w:r>
              <w:rPr>
                <w:rStyle w:val="VerbatimChar"/>
                <w:sz w:val="17"/>
              </w:rPr>
              <w:t xml:space="preserve">allocation.scenario.created</w:t>
            </w:r>
          </w:p>
        </w:tc>
      </w:tr>
      <w:tr>
        <w:tc>
          <w:tcPr/>
          <w:p>
            <w:pPr>
              <w:pStyle w:val="Compact"/>
            </w:pPr>
            <w:r>
              <w:rPr>
                <w:sz w:val="17"/>
              </w:rPr>
              <w:t xml:space="preserve">23</w:t>
            </w:r>
          </w:p>
        </w:tc>
        <w:tc>
          <w:tcPr/>
          <w:p>
            <w:pPr>
              <w:pStyle w:val="Compact"/>
            </w:pPr>
            <w:r>
              <w:rPr>
                <w:rStyle w:val="VerbatimChar"/>
                <w:sz w:val="17"/>
              </w:rPr>
              <w:t xml:space="preserve">GET /v1/ai-recommendations</w:t>
            </w:r>
            <w:r>
              <w:rPr>
                <w:sz w:val="17"/>
              </w:rPr>
              <w:t xml:space="preserve"> </w:t>
            </w:r>
            <w:r>
              <w:rPr>
                <w:sz w:val="17"/>
              </w:rPr>
              <w:t xml:space="preserve">·</w:t>
            </w:r>
            <w:r>
              <w:rPr>
                <w:sz w:val="17"/>
              </w:rPr>
              <w:t xml:space="preserve"> </w:t>
            </w:r>
            <w:r>
              <w:rPr>
                <w:rStyle w:val="VerbatimChar"/>
                <w:sz w:val="17"/>
              </w:rPr>
              <w:t xml:space="preserve">POST /v1/ai-recommendations/{id}:decide</w:t>
            </w:r>
          </w:p>
        </w:tc>
        <w:tc>
          <w:tcPr/>
          <w:p>
            <w:pPr>
              <w:pStyle w:val="Compact"/>
            </w:pPr>
            <w:r>
              <w:rPr>
                <w:sz w:val="17"/>
              </w:rPr>
              <w:t xml:space="preserve">Recommandations IA</w:t>
            </w:r>
          </w:p>
        </w:tc>
        <w:tc>
          <w:tcPr/>
          <w:p>
            <w:pPr>
              <w:pStyle w:val="Compact"/>
            </w:pPr>
            <w:r>
              <w:rPr>
                <w:sz w:val="17"/>
              </w:rPr>
              <w:t xml:space="preserve">Utilisateur habilité</w:t>
            </w:r>
          </w:p>
        </w:tc>
        <w:tc>
          <w:tcPr/>
          <w:p>
            <w:pPr>
              <w:pStyle w:val="Compact"/>
            </w:pPr>
            <w:r>
              <w:rPr>
                <w:sz w:val="17"/>
              </w:rPr>
              <w:t xml:space="preserve">Oui</w:t>
            </w:r>
          </w:p>
        </w:tc>
        <w:tc>
          <w:tcPr/>
          <w:p>
            <w:pPr>
              <w:pStyle w:val="Compact"/>
            </w:pPr>
            <w:r>
              <w:rPr>
                <w:rStyle w:val="VerbatimChar"/>
                <w:sz w:val="17"/>
              </w:rPr>
              <w:t xml:space="preserve">ai.recommendation.decided</w:t>
            </w:r>
          </w:p>
        </w:tc>
      </w:tr>
      <w:tr>
        <w:tc>
          <w:tcPr>
            <w:shd w:val="clear" w:color="auto" w:fill="F5F7FB"/>
          </w:tcPr>
          <w:p>
            <w:pPr>
              <w:pStyle w:val="Compact"/>
            </w:pPr>
            <w:r>
              <w:rPr>
                <w:sz w:val="17"/>
              </w:rPr>
              <w:t xml:space="preserve">24</w:t>
            </w:r>
          </w:p>
        </w:tc>
        <w:tc>
          <w:tcPr>
            <w:shd w:val="clear" w:color="auto" w:fill="F5F7FB"/>
          </w:tcPr>
          <w:p>
            <w:pPr>
              <w:pStyle w:val="Compact"/>
            </w:pPr>
            <w:r>
              <w:rPr>
                <w:rStyle w:val="VerbatimChar"/>
                <w:sz w:val="17"/>
              </w:rPr>
              <w:t xml:space="preserve">GET /v1/clearances/{code}:verify</w:t>
            </w:r>
          </w:p>
        </w:tc>
        <w:tc>
          <w:tcPr>
            <w:shd w:val="clear" w:color="auto" w:fill="F5F7FB"/>
          </w:tcPr>
          <w:p>
            <w:pPr>
              <w:pStyle w:val="Compact"/>
            </w:pPr>
            <w:r>
              <w:rPr>
                <w:sz w:val="17"/>
              </w:rPr>
              <w:t xml:space="preserve">Vérification de quitus</w:t>
            </w:r>
          </w:p>
        </w:tc>
        <w:tc>
          <w:tcPr>
            <w:shd w:val="clear" w:color="auto" w:fill="F5F7FB"/>
          </w:tcPr>
          <w:p>
            <w:pPr>
              <w:pStyle w:val="Compact"/>
            </w:pPr>
            <w:r>
              <w:rPr>
                <w:sz w:val="17"/>
              </w:rPr>
              <w:t xml:space="preserve">Service habilité</w:t>
            </w:r>
          </w:p>
        </w:tc>
        <w:tc>
          <w:tcPr>
            <w:shd w:val="clear" w:color="auto" w:fill="F5F7FB"/>
          </w:tcPr>
          <w:p>
            <w:pPr>
              <w:pStyle w:val="Compact"/>
            </w:pPr>
            <w:r>
              <w:rPr>
                <w:sz w:val="17"/>
              </w:rPr>
              <w:t xml:space="preserve">—</w:t>
            </w:r>
          </w:p>
        </w:tc>
        <w:tc>
          <w:tcPr>
            <w:shd w:val="clear" w:color="auto" w:fill="F5F7FB"/>
          </w:tcPr>
          <w:p>
            <w:pPr>
              <w:pStyle w:val="Compact"/>
            </w:pPr>
            <w:r>
              <w:rPr>
                <w:rStyle w:val="VerbatimChar"/>
                <w:sz w:val="17"/>
              </w:rPr>
              <w:t xml:space="preserve">clearance.verified_by_service</w:t>
            </w:r>
          </w:p>
        </w:tc>
      </w:tr>
      <w:tr>
        <w:tc>
          <w:tcPr/>
          <w:p>
            <w:pPr>
              <w:pStyle w:val="Compact"/>
            </w:pPr>
            <w:r>
              <w:rPr>
                <w:sz w:val="17"/>
              </w:rPr>
              <w:t xml:space="preserve">25</w:t>
            </w:r>
          </w:p>
        </w:tc>
        <w:tc>
          <w:tcPr/>
          <w:p>
            <w:pPr>
              <w:pStyle w:val="Compact"/>
            </w:pPr>
            <w:r>
              <w:rPr>
                <w:rStyle w:val="VerbatimChar"/>
                <w:sz w:val="17"/>
              </w:rPr>
              <w:t xml:space="preserve">POST /v1/beneficiary-accounts/change-requests</w:t>
            </w:r>
            <w:r>
              <w:rPr>
                <w:sz w:val="17"/>
              </w:rPr>
              <w:t xml:space="preserve"> </w:t>
            </w:r>
            <w:r>
              <w:rPr>
                <w:sz w:val="17"/>
              </w:rPr>
              <w:t xml:space="preserve">·</w:t>
            </w:r>
            <w:r>
              <w:rPr>
                <w:sz w:val="17"/>
              </w:rPr>
              <w:t xml:space="preserve"> </w:t>
            </w:r>
            <w:r>
              <w:rPr>
                <w:rStyle w:val="VerbatimChar"/>
                <w:sz w:val="17"/>
              </w:rPr>
              <w:t xml:space="preserve">:approve</w:t>
            </w:r>
          </w:p>
        </w:tc>
        <w:tc>
          <w:tcPr/>
          <w:p>
            <w:pPr>
              <w:pStyle w:val="Compact"/>
            </w:pPr>
            <w:r>
              <w:rPr>
                <w:sz w:val="17"/>
              </w:rPr>
              <w:t xml:space="preserve">Changement de compte bénéficiaire</w:t>
            </w:r>
          </w:p>
        </w:tc>
        <w:tc>
          <w:tcPr/>
          <w:p>
            <w:pPr>
              <w:pStyle w:val="Compact"/>
            </w:pPr>
            <w:r>
              <w:rPr>
                <w:sz w:val="17"/>
              </w:rPr>
              <w:t xml:space="preserve">Trésor ; gestionnaires du coffre</w:t>
            </w:r>
          </w:p>
        </w:tc>
        <w:tc>
          <w:tcPr/>
          <w:p>
            <w:pPr>
              <w:pStyle w:val="Compact"/>
            </w:pPr>
            <w:r>
              <w:rPr>
                <w:sz w:val="17"/>
              </w:rPr>
              <w:t xml:space="preserve">Oui</w:t>
            </w:r>
          </w:p>
        </w:tc>
        <w:tc>
          <w:tcPr/>
          <w:p>
            <w:pPr>
              <w:pStyle w:val="Compact"/>
            </w:pPr>
            <w:r>
              <w:rPr>
                <w:rStyle w:val="VerbatimChar"/>
                <w:sz w:val="17"/>
              </w:rPr>
              <w:t xml:space="preserve">beneficiary.change.*</w:t>
            </w:r>
          </w:p>
        </w:tc>
      </w:tr>
      <w:tr>
        <w:tc>
          <w:tcPr>
            <w:shd w:val="clear" w:color="auto" w:fill="F5F7FB"/>
          </w:tcPr>
          <w:p>
            <w:pPr>
              <w:pStyle w:val="Compact"/>
            </w:pPr>
            <w:r>
              <w:rPr>
                <w:sz w:val="17"/>
              </w:rPr>
              <w:t xml:space="preserve">26</w:t>
            </w:r>
          </w:p>
        </w:tc>
        <w:tc>
          <w:tcPr>
            <w:shd w:val="clear" w:color="auto" w:fill="F5F7FB"/>
          </w:tcPr>
          <w:p>
            <w:pPr>
              <w:pStyle w:val="Compact"/>
            </w:pPr>
            <w:r>
              <w:rPr>
                <w:rStyle w:val="VerbatimChar"/>
                <w:sz w:val="17"/>
              </w:rPr>
              <w:t xml:space="preserve">POST /v1/refunds</w:t>
            </w:r>
            <w:r>
              <w:rPr>
                <w:sz w:val="17"/>
              </w:rPr>
              <w:t xml:space="preserve"> </w:t>
            </w:r>
            <w:r>
              <w:rPr>
                <w:sz w:val="17"/>
              </w:rPr>
              <w:t xml:space="preserve">·</w:t>
            </w:r>
            <w:r>
              <w:rPr>
                <w:sz w:val="17"/>
              </w:rPr>
              <w:t xml:space="preserve"> </w:t>
            </w:r>
            <w:r>
              <w:rPr>
                <w:rStyle w:val="VerbatimChar"/>
                <w:sz w:val="17"/>
              </w:rPr>
              <w:t xml:space="preserve">:approve</w:t>
            </w:r>
          </w:p>
        </w:tc>
        <w:tc>
          <w:tcPr>
            <w:shd w:val="clear" w:color="auto" w:fill="F5F7FB"/>
          </w:tcPr>
          <w:p>
            <w:pPr>
              <w:pStyle w:val="Compact"/>
            </w:pPr>
            <w:r>
              <w:rPr>
                <w:sz w:val="17"/>
              </w:rPr>
              <w:t xml:space="preserve">Remboursement</w:t>
            </w:r>
          </w:p>
        </w:tc>
        <w:tc>
          <w:tcPr>
            <w:shd w:val="clear" w:color="auto" w:fill="F5F7FB"/>
          </w:tcPr>
          <w:p>
            <w:pPr>
              <w:pStyle w:val="Compact"/>
            </w:pPr>
            <w:r>
              <w:rPr>
                <w:sz w:val="17"/>
              </w:rPr>
              <w:t xml:space="preserve">Régie ; Trésor</w:t>
            </w:r>
          </w:p>
        </w:tc>
        <w:tc>
          <w:tcPr>
            <w:shd w:val="clear" w:color="auto" w:fill="F5F7FB"/>
          </w:tcPr>
          <w:p>
            <w:pPr>
              <w:pStyle w:val="Compact"/>
            </w:pPr>
            <w:r>
              <w:rPr>
                <w:sz w:val="17"/>
              </w:rPr>
              <w:t xml:space="preserve">Oui</w:t>
            </w:r>
          </w:p>
        </w:tc>
        <w:tc>
          <w:tcPr>
            <w:shd w:val="clear" w:color="auto" w:fill="F5F7FB"/>
          </w:tcPr>
          <w:p>
            <w:pPr>
              <w:pStyle w:val="Compact"/>
            </w:pPr>
            <w:r>
              <w:rPr>
                <w:rStyle w:val="VerbatimChar"/>
                <w:sz w:val="17"/>
              </w:rPr>
              <w:t xml:space="preserve">refund.*</w:t>
            </w:r>
          </w:p>
        </w:tc>
      </w:tr>
      <w:tr>
        <w:tc>
          <w:tcPr/>
          <w:p>
            <w:pPr>
              <w:pStyle w:val="Compact"/>
            </w:pPr>
            <w:r>
              <w:rPr>
                <w:sz w:val="17"/>
              </w:rPr>
              <w:t xml:space="preserve">27</w:t>
            </w:r>
          </w:p>
        </w:tc>
        <w:tc>
          <w:tcPr/>
          <w:p>
            <w:pPr>
              <w:pStyle w:val="Compact"/>
            </w:pPr>
            <w:r>
              <w:rPr>
                <w:rStyle w:val="VerbatimChar"/>
                <w:sz w:val="17"/>
              </w:rPr>
              <w:t xml:space="preserve">GET /v1/exchange-rates/{date}</w:t>
            </w:r>
          </w:p>
        </w:tc>
        <w:tc>
          <w:tcPr/>
          <w:p>
            <w:pPr>
              <w:pStyle w:val="Compact"/>
            </w:pPr>
            <w:r>
              <w:rPr>
                <w:sz w:val="17"/>
              </w:rPr>
              <w:t xml:space="preserve">Taux officiels</w:t>
            </w:r>
          </w:p>
        </w:tc>
        <w:tc>
          <w:tcPr/>
          <w:p>
            <w:pPr>
              <w:pStyle w:val="Compact"/>
            </w:pPr>
            <w:r>
              <w:rPr>
                <w:sz w:val="17"/>
              </w:rPr>
              <w:t xml:space="preserve">Tous</w:t>
            </w:r>
          </w:p>
        </w:tc>
        <w:tc>
          <w:tcPr/>
          <w:p>
            <w:pPr>
              <w:pStyle w:val="Compact"/>
            </w:pPr>
            <w:r>
              <w:rPr>
                <w:sz w:val="17"/>
              </w:rPr>
              <w:t xml:space="preserve">—</w:t>
            </w:r>
          </w:p>
        </w:tc>
        <w:tc>
          <w:tcPr/>
          <w:p>
            <w:pPr>
              <w:pStyle w:val="Compact"/>
            </w:pPr>
            <w:r>
              <w:rPr>
                <w:sz w:val="17"/>
              </w:rPr>
              <w:t xml:space="preserve">—</w:t>
            </w:r>
          </w:p>
        </w:tc>
      </w:tr>
      <w:tr>
        <w:tc>
          <w:tcPr>
            <w:shd w:val="clear" w:color="auto" w:fill="F5F7FB"/>
          </w:tcPr>
          <w:p>
            <w:pPr>
              <w:pStyle w:val="Compact"/>
            </w:pPr>
            <w:r>
              <w:rPr>
                <w:sz w:val="17"/>
              </w:rPr>
              <w:t xml:space="preserve">28</w:t>
            </w:r>
          </w:p>
        </w:tc>
        <w:tc>
          <w:tcPr>
            <w:shd w:val="clear" w:color="auto" w:fill="F5F7FB"/>
          </w:tcPr>
          <w:p>
            <w:pPr>
              <w:pStyle w:val="Compact"/>
            </w:pPr>
            <w:r>
              <w:rPr>
                <w:rStyle w:val="VerbatimChar"/>
                <w:sz w:val="17"/>
              </w:rPr>
              <w:t xml:space="preserve">POST /v1/notifications:test</w:t>
            </w:r>
          </w:p>
        </w:tc>
        <w:tc>
          <w:tcPr>
            <w:shd w:val="clear" w:color="auto" w:fill="F5F7FB"/>
          </w:tcPr>
          <w:p>
            <w:pPr>
              <w:pStyle w:val="Compact"/>
            </w:pPr>
            <w:r>
              <w:rPr>
                <w:sz w:val="17"/>
              </w:rPr>
              <w:t xml:space="preserve">Envoi de test d’un modèle</w:t>
            </w:r>
          </w:p>
        </w:tc>
        <w:tc>
          <w:tcPr>
            <w:shd w:val="clear" w:color="auto" w:fill="F5F7FB"/>
          </w:tcPr>
          <w:p>
            <w:pPr>
              <w:pStyle w:val="Compact"/>
            </w:pPr>
            <w:r>
              <w:rPr>
                <w:sz w:val="17"/>
              </w:rPr>
              <w:t xml:space="preserve">Administrateur communication</w:t>
            </w:r>
          </w:p>
        </w:tc>
        <w:tc>
          <w:tcPr>
            <w:shd w:val="clear" w:color="auto" w:fill="F5F7FB"/>
          </w:tcPr>
          <w:p>
            <w:pPr>
              <w:pStyle w:val="Compact"/>
            </w:pPr>
            <w:r>
              <w:rPr>
                <w:sz w:val="17"/>
              </w:rPr>
              <w:t xml:space="preserve">Oui</w:t>
            </w:r>
          </w:p>
        </w:tc>
        <w:tc>
          <w:tcPr>
            <w:shd w:val="clear" w:color="auto" w:fill="F5F7FB"/>
          </w:tcPr>
          <w:p>
            <w:pPr>
              <w:pStyle w:val="Compact"/>
            </w:pPr>
            <w:r>
              <w:rPr>
                <w:rStyle w:val="VerbatimChar"/>
                <w:sz w:val="17"/>
              </w:rPr>
              <w:t xml:space="preserve">notification.test_sent</w:t>
            </w:r>
          </w:p>
        </w:tc>
      </w:tr>
    </w:tbl>
    <w:bookmarkEnd w:id="313"/>
    <w:bookmarkStart w:id="314" w:name="spécifications-de-référence"/>
    <w:p>
      <w:pPr>
        <w:pStyle w:val="Heading2"/>
      </w:pPr>
      <w:r>
        <w:t xml:space="preserve">30.3 Spécifications de référence</w:t>
      </w:r>
    </w:p>
    <w:p>
      <w:pPr>
        <w:pStyle w:val="FirstParagraph"/>
      </w:pPr>
      <w:r>
        <w:rPr>
          <w:b/>
          <w:bCs/>
        </w:rPr>
        <w:t xml:space="preserve">Création d’une référence de paiement</w:t>
      </w:r>
    </w:p>
    <w:p>
      <w:pPr>
        <w:pStyle w:val="SourceCode"/>
      </w:pPr>
      <w:r>
        <w:rPr>
          <w:rStyle w:val="VerbatimChar"/>
        </w:rPr>
        <w:t xml:space="preserve">POST /v1/obligations/OBL-2027-IF-00012345/payment-orders</w:t>
      </w:r>
      <w:r>
        <w:br/>
      </w:r>
      <w:r>
        <w:rPr>
          <w:rStyle w:val="VerbatimChar"/>
        </w:rPr>
        <w:t xml:space="preserve">Authorization: Bearer &lt;jeton contribuable, scope payments:create&gt;</w:t>
      </w:r>
      <w:r>
        <w:br/>
      </w:r>
      <w:r>
        <w:rPr>
          <w:rStyle w:val="VerbatimChar"/>
        </w:rPr>
        <w:t xml:space="preserve">Idempotency-Key: 5f0c2f7e-2b1a-4b8e-9a51-3c9d2e7a1b10</w:t>
      </w:r>
      <w:r>
        <w:br/>
      </w:r>
      <w:r>
        <w:rPr>
          <w:rStyle w:val="VerbatimChar"/>
        </w:rPr>
        <w:t xml:space="preserve">Content-Type: application/json</w:t>
      </w:r>
      <w:r>
        <w:br/>
      </w:r>
      <w:r>
        <w:br/>
      </w:r>
      <w:r>
        <w:rPr>
          <w:rStyle w:val="VerbatimChar"/>
        </w:rPr>
        <w:t xml:space="preserve">{ "channel": "MOBILE_MONEY", "payer_msisdn": "+243810000000", "display_currency": "CDF" }</w:t>
      </w:r>
    </w:p>
    <w:p>
      <w:pPr>
        <w:pStyle w:val="SourceCode"/>
      </w:pPr>
      <w:r>
        <w:rPr>
          <w:rStyle w:val="FunctionTok"/>
        </w:rPr>
        <w:t xml:space="preserve">{</w:t>
      </w:r>
      <w:r>
        <w:br/>
      </w:r>
      <w:r>
        <w:rPr>
          <w:rStyle w:val="NormalTok"/>
        </w:rPr>
        <w:t xml:space="preserve">  </w:t>
      </w:r>
      <w:r>
        <w:rPr>
          <w:rStyle w:val="DataTypeTok"/>
        </w:rPr>
        <w:t xml:space="preserve">"payment_reference"</w:t>
      </w:r>
      <w:r>
        <w:rPr>
          <w:rStyle w:val="FunctionTok"/>
        </w:rPr>
        <w:t xml:space="preserve">:</w:t>
      </w:r>
      <w:r>
        <w:rPr>
          <w:rStyle w:val="NormalTok"/>
        </w:rPr>
        <w:t xml:space="preserve"> </w:t>
      </w:r>
      <w:r>
        <w:rPr>
          <w:rStyle w:val="StringTok"/>
        </w:rPr>
        <w:t xml:space="preserve">"PR-7F3K-9Q2M"</w:t>
      </w:r>
      <w:r>
        <w:rPr>
          <w:rStyle w:val="FunctionTok"/>
        </w:rPr>
        <w:t xml:space="preserve">,</w:t>
      </w:r>
      <w:r>
        <w:br/>
      </w:r>
      <w:r>
        <w:rPr>
          <w:rStyle w:val="NormalTok"/>
        </w:rPr>
        <w:t xml:space="preserve">  </w:t>
      </w:r>
      <w:r>
        <w:rPr>
          <w:rStyle w:val="DataTypeTok"/>
        </w:rPr>
        <w:t xml:space="preserve">"obligation_id"</w:t>
      </w:r>
      <w:r>
        <w:rPr>
          <w:rStyle w:val="FunctionTok"/>
        </w:rPr>
        <w:t xml:space="preserve">:</w:t>
      </w:r>
      <w:r>
        <w:rPr>
          <w:rStyle w:val="NormalTok"/>
        </w:rPr>
        <w:t xml:space="preserve"> </w:t>
      </w:r>
      <w:r>
        <w:rPr>
          <w:rStyle w:val="StringTok"/>
        </w:rPr>
        <w:t xml:space="preserve">"OBL-2027-IF-00012345"</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StringTok"/>
        </w:rPr>
        <w:t xml:space="preserve">"150.00"</w:t>
      </w:r>
      <w:r>
        <w:rPr>
          <w:rStyle w:val="FunctionTok"/>
        </w:rPr>
        <w:t xml:space="preserve">,</w:t>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rPr>
          <w:rStyle w:val="NormalTok"/>
        </w:rPr>
        <w:t xml:space="preserve"> </w:t>
      </w:r>
      <w:r>
        <w:rPr>
          <w:rStyle w:val="FunctionTok"/>
        </w:rPr>
        <w:t xml:space="preserve">},</w:t>
      </w:r>
      <w:r>
        <w:br/>
      </w:r>
      <w:r>
        <w:rPr>
          <w:rStyle w:val="NormalTok"/>
        </w:rPr>
        <w:t xml:space="preserve">  </w:t>
      </w:r>
      <w:r>
        <w:rPr>
          <w:rStyle w:val="DataTypeTok"/>
        </w:rPr>
        <w:t xml:space="preserve">"indicative_amount"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StringTok"/>
        </w:rPr>
        <w:t xml:space="preserve">"340162.50"</w:t>
      </w:r>
      <w:r>
        <w:rPr>
          <w:rStyle w:val="FunctionTok"/>
        </w:rPr>
        <w:t xml:space="preserve">,</w:t>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"CDF"</w:t>
      </w:r>
      <w:r>
        <w:rPr>
          <w:rStyle w:val="FunctionTok"/>
        </w:rPr>
        <w:t xml:space="preserve">,</w:t>
      </w:r>
      <w:r>
        <w:rPr>
          <w:rStyle w:val="NormalTok"/>
        </w:rPr>
        <w:t xml:space="preserve"> </w:t>
      </w:r>
      <w:r>
        <w:rPr>
          <w:rStyle w:val="DataTypeTok"/>
        </w:rPr>
        <w:t xml:space="preserve">"fx_rate_date"</w:t>
      </w:r>
      <w:r>
        <w:rPr>
          <w:rStyle w:val="FunctionTok"/>
        </w:rPr>
        <w:t xml:space="preserve">:</w:t>
      </w:r>
      <w:r>
        <w:rPr>
          <w:rStyle w:val="NormalTok"/>
        </w:rPr>
        <w:t xml:space="preserve"> </w:t>
      </w:r>
      <w:r>
        <w:rPr>
          <w:rStyle w:val="StringTok"/>
        </w:rPr>
        <w:t xml:space="preserve">"2027-02-10"</w:t>
      </w:r>
      <w:r>
        <w:rPr>
          <w:rStyle w:val="FunctionTok"/>
        </w:rPr>
        <w:t xml:space="preserve">,</w:t>
      </w:r>
      <w:r>
        <w:rPr>
          <w:rStyle w:val="NormalTok"/>
        </w:rPr>
        <w:t xml:space="preserve"> </w:t>
      </w:r>
      <w:r>
        <w:rPr>
          <w:rStyle w:val="DataTypeTok"/>
        </w:rPr>
        <w:t xml:space="preserve">"fx_source"</w:t>
      </w:r>
      <w:r>
        <w:rPr>
          <w:rStyle w:val="FunctionTok"/>
        </w:rPr>
        <w:t xml:space="preserve">:</w:t>
      </w:r>
      <w:r>
        <w:rPr>
          <w:rStyle w:val="NormalTok"/>
        </w:rPr>
        <w:t xml:space="preserve"> </w:t>
      </w:r>
      <w:r>
        <w:rPr>
          <w:rStyle w:val="StringTok"/>
        </w:rPr>
        <w:t xml:space="preserve">"BCC"</w:t>
      </w:r>
      <w:r>
        <w:rPr>
          <w:rStyle w:val="NormalTok"/>
        </w:rPr>
        <w:t xml:space="preserve"> </w:t>
      </w:r>
      <w:r>
        <w:rPr>
          <w:rStyle w:val="FunctionTok"/>
        </w:rPr>
        <w:t xml:space="preserve">},</w:t>
      </w:r>
      <w:r>
        <w:br/>
      </w:r>
      <w:r>
        <w:rPr>
          <w:rStyle w:val="NormalTok"/>
        </w:rPr>
        <w:t xml:space="preserve">  </w:t>
      </w:r>
      <w:r>
        <w:rPr>
          <w:rStyle w:val="DataTypeTok"/>
        </w:rPr>
        <w:t xml:space="preserve">"beneficiary_alias"</w:t>
      </w:r>
      <w:r>
        <w:rPr>
          <w:rStyle w:val="FunctionTok"/>
        </w:rPr>
        <w:t xml:space="preserve">:</w:t>
      </w:r>
      <w:r>
        <w:rPr>
          <w:rStyle w:val="NormalTok"/>
        </w:rPr>
        <w:t xml:space="preserve"> </w:t>
      </w:r>
      <w:r>
        <w:rPr>
          <w:rStyle w:val="StringTok"/>
        </w:rPr>
        <w:t xml:space="preserve">"KIN-DGIPK-RECETTES-01"</w:t>
      </w:r>
      <w:r>
        <w:rPr>
          <w:rStyle w:val="FunctionTok"/>
        </w:rPr>
        <w:t xml:space="preserve">,</w:t>
      </w:r>
      <w:r>
        <w:br/>
      </w:r>
      <w:r>
        <w:rPr>
          <w:rStyle w:val="NormalTok"/>
        </w:rPr>
        <w:t xml:space="preserve">  </w:t>
      </w:r>
      <w:r>
        <w:rPr>
          <w:rStyle w:val="DataTypeTok"/>
        </w:rPr>
        <w:t xml:space="preserve">"expires_at"</w:t>
      </w:r>
      <w:r>
        <w:rPr>
          <w:rStyle w:val="FunctionTok"/>
        </w:rPr>
        <w:t xml:space="preserve">:</w:t>
      </w:r>
      <w:r>
        <w:rPr>
          <w:rStyle w:val="NormalTok"/>
        </w:rPr>
        <w:t xml:space="preserve"> </w:t>
      </w:r>
      <w:r>
        <w:rPr>
          <w:rStyle w:val="StringTok"/>
        </w:rPr>
        <w:t xml:space="preserve">"2027-02-11T23:59:59+01:00"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"ussd_instructions"</w:t>
      </w:r>
      <w:r>
        <w:rPr>
          <w:rStyle w:val="FunctionTok"/>
        </w:rPr>
        <w:t xml:space="preserve">:</w:t>
      </w:r>
      <w:r>
        <w:rPr>
          <w:rStyle w:val="NormalTok"/>
        </w:rPr>
        <w:t xml:space="preserve"> </w:t>
      </w:r>
      <w:r>
        <w:rPr>
          <w:rStyle w:val="StringTok"/>
        </w:rPr>
        <w:t xml:space="preserve">"Composez *XXX# et saisissez PR7F3K9Q2M"</w:t>
      </w:r>
      <w:r>
        <w:br/>
      </w:r>
      <w:r>
        <w:rPr>
          <w:rStyle w:val="FunctionTok"/>
        </w:rPr>
        <w:t xml:space="preserv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Aspect</w:t>
            </w:r>
          </w:p>
        </w:tc>
        <w:tc>
          <w:tcPr>
            <w:shd w:val="clear" w:color="auto" w:fill="232C6B"/>
          </w:tcPr>
          <w:p>
            <w:pPr>
              <w:pStyle w:val="Compact"/>
            </w:pPr>
            <w:r>
              <w:rPr>
                <w:b/>
                <w:color w:val="FFFFFF"/>
                <w:sz w:val="17"/>
              </w:rPr>
              <w:t xml:space="preserve">Spécification</w:t>
            </w:r>
          </w:p>
        </w:tc>
      </w:tr>
      <w:tr>
        <w:tc>
          <w:tcPr/>
          <w:p>
            <w:pPr>
              <w:pStyle w:val="Compact"/>
            </w:pPr>
            <w:r>
              <w:rPr>
                <w:sz w:val="17"/>
              </w:rPr>
              <w:t xml:space="preserve">Validation</w:t>
            </w:r>
          </w:p>
        </w:tc>
        <w:tc>
          <w:tcPr/>
          <w:p>
            <w:pPr>
              <w:pStyle w:val="Compact"/>
            </w:pPr>
            <w:r>
              <w:rPr>
                <w:sz w:val="17"/>
              </w:rPr>
              <w:t xml:space="preserve">Obligation exigible et non soldée ; montant = solde (pas de saisie libre) ; canal activé ; payeur autorisé (titulaire ou mandataire)</w:t>
            </w:r>
          </w:p>
        </w:tc>
      </w:tr>
      <w:tr>
        <w:tc>
          <w:tcPr>
            <w:shd w:val="clear" w:color="auto" w:fill="F5F7FB"/>
          </w:tcPr>
          <w:p>
            <w:pPr>
              <w:pStyle w:val="Compact"/>
            </w:pPr>
            <w:r>
              <w:rPr>
                <w:sz w:val="17"/>
              </w:rPr>
              <w:t xml:space="preserve">Idempotence</w:t>
            </w:r>
          </w:p>
        </w:tc>
        <w:tc>
          <w:tcPr>
            <w:shd w:val="clear" w:color="auto" w:fill="F5F7FB"/>
          </w:tcPr>
          <w:p>
            <w:pPr>
              <w:pStyle w:val="Compact"/>
            </w:pPr>
            <w:r>
              <w:rPr>
                <w:sz w:val="17"/>
              </w:rPr>
              <w:t xml:space="preserve">Même clé + même contenu → même réponse ; même clé + contenu différent →</w:t>
            </w:r>
            <w:r>
              <w:rPr>
                <w:sz w:val="17"/>
              </w:rPr>
              <w:t xml:space="preserve"> </w:t>
            </w:r>
            <w:r>
              <w:rPr>
                <w:rStyle w:val="VerbatimChar"/>
                <w:sz w:val="17"/>
              </w:rPr>
              <w:t xml:space="preserve">409</w:t>
            </w:r>
          </w:p>
        </w:tc>
      </w:tr>
      <w:tr>
        <w:tc>
          <w:tcPr/>
          <w:p>
            <w:pPr>
              <w:pStyle w:val="Compact"/>
            </w:pPr>
            <w:r>
              <w:rPr>
                <w:sz w:val="17"/>
              </w:rPr>
              <w:t xml:space="preserve">Sécurité</w:t>
            </w:r>
          </w:p>
        </w:tc>
        <w:tc>
          <w:tcPr/>
          <w:p>
            <w:pPr>
              <w:pStyle w:val="Compact"/>
            </w:pPr>
            <w:r>
              <w:rPr>
                <w:sz w:val="17"/>
              </w:rPr>
              <w:t xml:space="preserve">Bénéficiaire résolu dans le coffre (alias), jamais fourni par le client ; limite de débit ; journal</w:t>
            </w:r>
          </w:p>
        </w:tc>
      </w:tr>
      <w:tr>
        <w:tc>
          <w:tcPr>
            <w:shd w:val="clear" w:color="auto" w:fill="F5F7FB"/>
          </w:tcPr>
          <w:p>
            <w:pPr>
              <w:pStyle w:val="Compact"/>
            </w:pPr>
            <w:r>
              <w:rPr>
                <w:sz w:val="17"/>
              </w:rPr>
              <w:t xml:space="preserve">Erreurs</w:t>
            </w:r>
          </w:p>
        </w:tc>
        <w:tc>
          <w:tcPr>
            <w:shd w:val="clear" w:color="auto" w:fill="F5F7FB"/>
          </w:tcPr>
          <w:p>
            <w:pPr>
              <w:pStyle w:val="Compact"/>
            </w:pPr>
            <w:r>
              <w:rPr>
                <w:rStyle w:val="VerbatimChar"/>
                <w:sz w:val="17"/>
              </w:rPr>
              <w:t xml:space="preserve">400</w:t>
            </w:r>
            <w:r>
              <w:rPr>
                <w:sz w:val="17"/>
              </w:rPr>
              <w:t xml:space="preserve"> </w:t>
            </w:r>
            <w:r>
              <w:rPr>
                <w:sz w:val="17"/>
              </w:rPr>
              <w:t xml:space="preserve">validation ;</w:t>
            </w:r>
            <w:r>
              <w:rPr>
                <w:sz w:val="17"/>
              </w:rPr>
              <w:t xml:space="preserve"> </w:t>
            </w:r>
            <w:r>
              <w:rPr>
                <w:rStyle w:val="VerbatimChar"/>
                <w:sz w:val="17"/>
              </w:rPr>
              <w:t xml:space="preserve">401/403</w:t>
            </w:r>
            <w:r>
              <w:rPr>
                <w:sz w:val="17"/>
              </w:rPr>
              <w:t xml:space="preserve"> </w:t>
            </w:r>
            <w:r>
              <w:rPr>
                <w:sz w:val="17"/>
              </w:rPr>
              <w:t xml:space="preserve">authentification/portée ;</w:t>
            </w:r>
            <w:r>
              <w:rPr>
                <w:sz w:val="17"/>
              </w:rPr>
              <w:t xml:space="preserve"> </w:t>
            </w:r>
            <w:r>
              <w:rPr>
                <w:rStyle w:val="VerbatimChar"/>
                <w:sz w:val="17"/>
              </w:rPr>
              <w:t xml:space="preserve">404</w:t>
            </w:r>
            <w:r>
              <w:rPr>
                <w:sz w:val="17"/>
              </w:rPr>
              <w:t xml:space="preserve"> </w:t>
            </w:r>
            <w:r>
              <w:rPr>
                <w:sz w:val="17"/>
              </w:rPr>
              <w:t xml:space="preserve">obligation inconnue ;</w:t>
            </w:r>
            <w:r>
              <w:rPr>
                <w:sz w:val="17"/>
              </w:rPr>
              <w:t xml:space="preserve"> </w:t>
            </w:r>
            <w:r>
              <w:rPr>
                <w:rStyle w:val="VerbatimChar"/>
                <w:sz w:val="17"/>
              </w:rPr>
              <w:t xml:space="preserve">409</w:t>
            </w:r>
            <w:r>
              <w:rPr>
                <w:sz w:val="17"/>
              </w:rPr>
              <w:t xml:space="preserve"> </w:t>
            </w:r>
            <w:r>
              <w:rPr>
                <w:sz w:val="17"/>
              </w:rPr>
              <w:t xml:space="preserve">conflit d’idempotence ou référence active existante ;</w:t>
            </w:r>
            <w:r>
              <w:rPr>
                <w:sz w:val="17"/>
              </w:rPr>
              <w:t xml:space="preserve"> </w:t>
            </w:r>
            <w:r>
              <w:rPr>
                <w:rStyle w:val="VerbatimChar"/>
                <w:sz w:val="17"/>
              </w:rPr>
              <w:t xml:space="preserve">422</w:t>
            </w:r>
            <w:r>
              <w:rPr>
                <w:sz w:val="17"/>
              </w:rPr>
              <w:t xml:space="preserve"> </w:t>
            </w:r>
            <w:r>
              <w:rPr>
                <w:sz w:val="17"/>
              </w:rPr>
              <w:t xml:space="preserve">obligation non payable (contestée avec effet suspensif, soldée) ;</w:t>
            </w:r>
            <w:r>
              <w:rPr>
                <w:sz w:val="17"/>
              </w:rPr>
              <w:t xml:space="preserve"> </w:t>
            </w:r>
            <w:r>
              <w:rPr>
                <w:rStyle w:val="VerbatimChar"/>
                <w:sz w:val="17"/>
              </w:rPr>
              <w:t xml:space="preserve">429</w:t>
            </w:r>
            <w:r>
              <w:rPr>
                <w:sz w:val="17"/>
              </w:rPr>
              <w:t xml:space="preserve"> </w:t>
            </w:r>
            <w:r>
              <w:rPr>
                <w:sz w:val="17"/>
              </w:rPr>
              <w:t xml:space="preserve">débit</w:t>
            </w:r>
          </w:p>
        </w:tc>
      </w:tr>
    </w:tbl>
    <w:p>
      <w:pPr>
        <w:pStyle w:val="BodyText"/>
      </w:pPr>
      <w:r>
        <w:rPr>
          <w:b/>
          <w:bCs/>
        </w:rPr>
        <w:t xml:space="preserve">Rappel d’un prestataire de paiement</w:t>
      </w:r>
    </w:p>
    <w:p>
      <w:pPr>
        <w:pStyle w:val="SourceCode"/>
      </w:pPr>
      <w:r>
        <w:rPr>
          <w:rStyle w:val="VerbatimChar"/>
        </w:rPr>
        <w:t xml:space="preserve">POST /v1/providers/mm-operator-a/callbacks</w:t>
      </w:r>
      <w:r>
        <w:br/>
      </w:r>
      <w:r>
        <w:rPr>
          <w:rStyle w:val="VerbatimChar"/>
        </w:rPr>
        <w:t xml:space="preserve">(mTLS : certificat client du prestataire)</w:t>
      </w:r>
      <w:r>
        <w:br/>
      </w:r>
      <w:r>
        <w:rPr>
          <w:rStyle w:val="VerbatimChar"/>
        </w:rPr>
        <w:t xml:space="preserve">X-Signature: &lt;JWS détaché, clé du prestataire&gt;</w:t>
      </w:r>
      <w:r>
        <w:br/>
      </w:r>
      <w:r>
        <w:rPr>
          <w:rStyle w:val="VerbatimChar"/>
        </w:rPr>
        <w:t xml:space="preserve">X-Nonce: 8c1e…   X-Timestamp: 2027-02-10T09:14:03Z</w:t>
      </w:r>
      <w:r>
        <w:br/>
      </w:r>
      <w:r>
        <w:br/>
      </w:r>
      <w:r>
        <w:rPr>
          <w:rStyle w:val="VerbatimChar"/>
        </w:rPr>
        <w:t xml:space="preserve">{ "provider_txn_id": "MP270210.0914.A1B2C3", "payment_reference": "PR-7F3K-9Q2M",</w:t>
      </w:r>
      <w:r>
        <w:br/>
      </w:r>
      <w:r>
        <w:rPr>
          <w:rStyle w:val="VerbatimChar"/>
        </w:rPr>
        <w:t xml:space="preserve">  "amount": { "amount": "150.00", "currency": "USD" }, "status": "SUCCESS",</w:t>
      </w:r>
      <w:r>
        <w:br/>
      </w:r>
      <w:r>
        <w:rPr>
          <w:rStyle w:val="VerbatimChar"/>
        </w:rPr>
        <w:t xml:space="preserve">  "payer_msisdn_hash": "sha256:…", "completed_at": "2027-02-10T09:14:01Z" }</w:t>
      </w:r>
    </w:p>
    <w:p>
      <w:pPr>
        <w:pStyle w:val="FirstParagraph"/>
      </w:pPr>
      <w:r>
        <w:t xml:space="preserve">Traitement : vérification du certificat, de la signature, de la fenêtre temporelle (± 5 minutes), de l’unicité du nonce et de</w:t>
      </w:r>
      <w:r>
        <w:t xml:space="preserve"> </w:t>
      </w:r>
      <w:r>
        <w:rPr>
          <w:rStyle w:val="VerbatimChar"/>
        </w:rPr>
        <w:t xml:space="preserve">provider_txn_id</w:t>
      </w:r>
      <w:r>
        <w:t xml:space="preserve"> </w:t>
      </w:r>
      <w:r>
        <w:t xml:space="preserve">; contrôle montant/référence ;</w:t>
      </w:r>
      <w:r>
        <w:t xml:space="preserve"> </w:t>
      </w:r>
      <w:r>
        <w:rPr>
          <w:b/>
          <w:bCs/>
        </w:rPr>
        <w:t xml:space="preserve">appel de contrôle</w:t>
      </w:r>
      <w:r>
        <w:t xml:space="preserve"> </w:t>
      </w:r>
      <w:r>
        <w:t xml:space="preserve">de l’état auprès du prestataire ; puis état</w:t>
      </w:r>
      <w:r>
        <w:t xml:space="preserve"> </w:t>
      </w:r>
      <w:r>
        <w:rPr>
          <w:rStyle w:val="VerbatimChar"/>
        </w:rPr>
        <w:t xml:space="preserve">CONFIRME</w:t>
      </w:r>
      <w:r>
        <w:t xml:space="preserve"> </w:t>
      </w:r>
      <w:r>
        <w:t xml:space="preserve">et quittance provisoire. Réponse</w:t>
      </w:r>
      <w:r>
        <w:t xml:space="preserve"> </w:t>
      </w:r>
      <w:r>
        <w:rPr>
          <w:rStyle w:val="VerbatimChar"/>
        </w:rPr>
        <w:t xml:space="preserve">200</w:t>
      </w:r>
      <w:r>
        <w:t xml:space="preserve"> </w:t>
      </w:r>
      <w:r>
        <w:t xml:space="preserve">idempotente même en cas de rejeu (sans double effet).</w:t>
      </w:r>
    </w:p>
    <w:p>
      <w:pPr>
        <w:pStyle w:val="BodyText"/>
      </w:pPr>
      <w:r>
        <w:rPr>
          <w:b/>
          <w:bCs/>
        </w:rPr>
        <w:t xml:space="preserve">Vérification publique de quittance</w:t>
      </w:r>
    </w:p>
    <w:p>
      <w:pPr>
        <w:pStyle w:val="SourceCode"/>
      </w:pPr>
      <w:r>
        <w:rPr>
          <w:rStyle w:val="VerbatimChar"/>
        </w:rPr>
        <w:t xml:space="preserve">GET /v1/public/receipts/Q27KIN0001234567</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"VALID"</w:t>
      </w:r>
      <w:r>
        <w:rPr>
          <w:rStyle w:val="FunctionTok"/>
        </w:rPr>
        <w:t xml:space="preserve">,</w:t>
      </w:r>
      <w:r>
        <w:rPr>
          <w:rStyle w:val="NormalTok"/>
        </w:rPr>
        <w:t xml:space="preserve"> </w:t>
      </w:r>
      <w:r>
        <w:rPr>
          <w:rStyle w:val="DataTypeTok"/>
        </w:rPr>
        <w:t xml:space="preserve">"settlement_status"</w:t>
      </w:r>
      <w:r>
        <w:rPr>
          <w:rStyle w:val="FunctionTok"/>
        </w:rPr>
        <w:t xml:space="preserve">:</w:t>
      </w:r>
      <w:r>
        <w:rPr>
          <w:rStyle w:val="NormalTok"/>
        </w:rPr>
        <w:t xml:space="preserve"> </w:t>
      </w:r>
      <w:r>
        <w:rPr>
          <w:rStyle w:val="StringTok"/>
        </w:rPr>
        <w:t xml:space="preserve">"RECONCILED"</w:t>
      </w:r>
      <w:r>
        <w:rPr>
          <w:rStyle w:val="FunctionTok"/>
        </w:rPr>
        <w:t xml:space="preserve">,</w:t>
      </w:r>
      <w:r>
        <w:rPr>
          <w:rStyle w:val="NormalTok"/>
        </w:rPr>
        <w:t xml:space="preserve"> </w:t>
      </w:r>
      <w:r>
        <w:rPr>
          <w:rStyle w:val="DataTypeTok"/>
        </w:rPr>
        <w:t xml:space="preserve">"revenue_category"</w:t>
      </w:r>
      <w:r>
        <w:rPr>
          <w:rStyle w:val="FunctionTok"/>
        </w:rPr>
        <w:t xml:space="preserve">:</w:t>
      </w:r>
      <w:r>
        <w:rPr>
          <w:rStyle w:val="NormalTok"/>
        </w:rPr>
        <w:t xml:space="preserve"> </w:t>
      </w:r>
      <w:r>
        <w:rPr>
          <w:rStyle w:val="StringTok"/>
        </w:rPr>
        <w:t xml:space="preserve">"Impôt foncier 2027"</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StringTok"/>
        </w:rPr>
        <w:t xml:space="preserve">"150.00"</w:t>
      </w:r>
      <w:r>
        <w:rPr>
          <w:rStyle w:val="FunctionTok"/>
        </w:rPr>
        <w:t xml:space="preserve">,</w:t>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rPr>
          <w:rStyle w:val="NormalTok"/>
        </w:rPr>
        <w:t xml:space="preserve"> </w:t>
      </w:r>
      <w:r>
        <w:rPr>
          <w:rStyle w:val="FunctionTok"/>
        </w:rPr>
        <w:t xml:space="preserve">},</w:t>
      </w:r>
      <w:r>
        <w:rPr>
          <w:rStyle w:val="NormalTok"/>
        </w:rPr>
        <w:t xml:space="preserve"> </w:t>
      </w:r>
      <w:r>
        <w:rPr>
          <w:rStyle w:val="DataTypeTok"/>
        </w:rPr>
        <w:t xml:space="preserve">"paid_on"</w:t>
      </w:r>
      <w:r>
        <w:rPr>
          <w:rStyle w:val="FunctionTok"/>
        </w:rPr>
        <w:t xml:space="preserve">:</w:t>
      </w:r>
      <w:r>
        <w:rPr>
          <w:rStyle w:val="NormalTok"/>
        </w:rPr>
        <w:t xml:space="preserve"> </w:t>
      </w:r>
      <w:r>
        <w:rPr>
          <w:rStyle w:val="StringTok"/>
        </w:rPr>
        <w:t xml:space="preserve">"2027-02-10"</w:t>
      </w:r>
      <w:r>
        <w:rPr>
          <w:rStyle w:val="FunctionTok"/>
        </w:rPr>
        <w:t xml:space="preserve">,</w:t>
      </w:r>
      <w:r>
        <w:br/>
      </w:r>
      <w:r>
        <w:rPr>
          <w:rStyle w:val="NormalTok"/>
        </w:rPr>
        <w:t xml:space="preserve">  </w:t>
      </w:r>
      <w:r>
        <w:rPr>
          <w:rStyle w:val="DataTypeTok"/>
        </w:rPr>
        <w:t xml:space="preserve">"beneficiary_administration"</w:t>
      </w:r>
      <w:r>
        <w:rPr>
          <w:rStyle w:val="FunctionTok"/>
        </w:rPr>
        <w:t xml:space="preserve">:</w:t>
      </w:r>
      <w:r>
        <w:rPr>
          <w:rStyle w:val="NormalTok"/>
        </w:rPr>
        <w:t xml:space="preserve"> </w:t>
      </w:r>
      <w:r>
        <w:rPr>
          <w:rStyle w:val="StringTok"/>
        </w:rPr>
        <w:t xml:space="preserve">"DGIPK"</w:t>
      </w:r>
      <w:r>
        <w:rPr>
          <w:rStyle w:val="FunctionTok"/>
        </w:rPr>
        <w:t xml:space="preserve">,</w:t>
      </w:r>
      <w:r>
        <w:rPr>
          <w:rStyle w:val="NormalTok"/>
        </w:rPr>
        <w:t xml:space="preserve"> </w:t>
      </w:r>
      <w:r>
        <w:rPr>
          <w:rStyle w:val="DataTypeTok"/>
        </w:rPr>
        <w:t xml:space="preserve">"taxpayer_ref_suffix"</w:t>
      </w:r>
      <w:r>
        <w:rPr>
          <w:rStyle w:val="FunctionTok"/>
        </w:rPr>
        <w:t xml:space="preserve">:</w:t>
      </w:r>
      <w:r>
        <w:rPr>
          <w:rStyle w:val="NormalTok"/>
        </w:rPr>
        <w:t xml:space="preserve"> </w:t>
      </w:r>
      <w:r>
        <w:rPr>
          <w:rStyle w:val="StringTok"/>
        </w:rPr>
        <w:t xml:space="preserve">"…7K2Q"</w:t>
      </w:r>
      <w:r>
        <w:rPr>
          <w:rStyle w:val="FunctionTok"/>
        </w:rPr>
        <w:t xml:space="preserve">,</w:t>
      </w:r>
      <w:r>
        <w:rPr>
          <w:rStyle w:val="NormalTok"/>
        </w:rPr>
        <w:t xml:space="preserve"> </w:t>
      </w:r>
      <w:r>
        <w:rPr>
          <w:rStyle w:val="DataTypeTok"/>
        </w:rPr>
        <w:t xml:space="preserve">"verified_at"</w:t>
      </w:r>
      <w:r>
        <w:rPr>
          <w:rStyle w:val="FunctionTok"/>
        </w:rPr>
        <w:t xml:space="preserve">:</w:t>
      </w:r>
      <w:r>
        <w:rPr>
          <w:rStyle w:val="NormalTok"/>
        </w:rPr>
        <w:t xml:space="preserve"> </w:t>
      </w:r>
      <w:r>
        <w:rPr>
          <w:rStyle w:val="StringTok"/>
        </w:rPr>
        <w:t xml:space="preserve">"2027-03-01T10:22:00Z"</w:t>
      </w:r>
      <w:r>
        <w:rPr>
          <w:rStyle w:val="NormalTok"/>
        </w:rPr>
        <w:t xml:space="preserve"> </w:t>
      </w:r>
      <w:r>
        <w:rPr>
          <w:rStyle w:val="FunctionTok"/>
        </w:rPr>
        <w:t xml:space="preserve">}</w:t>
      </w:r>
    </w:p>
    <w:p>
      <w:pPr>
        <w:pStyle w:val="FirstParagraph"/>
      </w:pPr>
      <w:r>
        <w:t xml:space="preserve">La spécification OpenAPI complète des routes principales figure dans</w:t>
      </w:r>
      <w:r>
        <w:t xml:space="preserve"> </w:t>
      </w:r>
      <w:r>
        <w:rPr>
          <w:rStyle w:val="VerbatimChar"/>
        </w:rPr>
        <w:t xml:space="preserve">specs/openapi.yaml</w:t>
      </w:r>
      <w:r>
        <w:t xml:space="preserve"> </w:t>
      </w:r>
      <w:r>
        <w:t xml:space="preserve">(dépôt du programme).</w:t>
      </w:r>
    </w:p>
    <w:bookmarkEnd w:id="314"/>
    <w:bookmarkEnd w:id="315"/>
    <w:bookmarkStart w:id="318" w:name="architecture-de-sécurité"/>
    <w:p>
      <w:pPr>
        <w:pStyle w:val="Heading1"/>
      </w:pPr>
      <w:r>
        <w:t xml:space="preserve">31. Architecture de sécurité</w:t>
      </w:r>
    </w:p>
    <w:bookmarkStart w:id="316" w:name="zéro-confiance"/>
    <w:p>
      <w:pPr>
        <w:pStyle w:val="Heading2"/>
      </w:pPr>
      <w:r>
        <w:t xml:space="preserve">31.1 Zéro confiance</w:t>
      </w:r>
    </w:p>
    <w:p>
      <w:pPr>
        <w:pStyle w:val="FirstParagraph"/>
      </w:pPr>
      <w:r>
        <w:t xml:space="preserve">Aucun réseau n’est présumé sûr : chaque requête est authentifiée, autorisée et chiffrée ; chaque appareil est identifié ; chaque accès est minimal et journalisé.</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Domaine</w:t>
            </w:r>
          </w:p>
        </w:tc>
        <w:tc>
          <w:tcPr>
            <w:shd w:val="clear" w:color="auto" w:fill="232C6B"/>
          </w:tcPr>
          <w:p>
            <w:pPr>
              <w:pStyle w:val="Compact"/>
            </w:pPr>
            <w:r>
              <w:rPr>
                <w:b/>
                <w:color w:val="FFFFFF"/>
                <w:sz w:val="17"/>
              </w:rPr>
              <w:t xml:space="preserve">Exigences</w:t>
            </w:r>
          </w:p>
        </w:tc>
      </w:tr>
      <w:tr>
        <w:tc>
          <w:tcPr/>
          <w:p>
            <w:pPr>
              <w:pStyle w:val="Compact"/>
            </w:pPr>
            <w:r>
              <w:rPr>
                <w:sz w:val="17"/>
              </w:rPr>
              <w:t xml:space="preserve">Authentification</w:t>
            </w:r>
          </w:p>
        </w:tc>
        <w:tc>
          <w:tcPr/>
          <w:p>
            <w:pPr>
              <w:pStyle w:val="Compact"/>
            </w:pPr>
            <w:r>
              <w:rPr>
                <w:sz w:val="17"/>
              </w:rPr>
              <w:t xml:space="preserve">MFA pour tous les comptes de travail ;</w:t>
            </w:r>
            <w:r>
              <w:rPr>
                <w:sz w:val="17"/>
              </w:rPr>
              <w:t xml:space="preserve"> </w:t>
            </w:r>
            <w:r>
              <w:rPr>
                <w:b/>
                <w:bCs/>
                <w:sz w:val="17"/>
              </w:rPr>
              <w:t xml:space="preserve">passkeys (WebAuthn) ou clés matérielles FIDO2</w:t>
            </w:r>
            <w:r>
              <w:rPr>
                <w:sz w:val="17"/>
              </w:rPr>
              <w:t xml:space="preserve"> </w:t>
            </w:r>
            <w:r>
              <w:rPr>
                <w:sz w:val="17"/>
              </w:rPr>
              <w:t xml:space="preserve">obligatoires pour les rôles sensibles (Trésor, coffre, juristes publicateurs, administrateurs, direction) ; OTP par SMS réservé aux contribuables et comme facteur de secours</w:t>
            </w:r>
          </w:p>
        </w:tc>
      </w:tr>
      <w:tr>
        <w:tc>
          <w:tcPr>
            <w:shd w:val="clear" w:color="auto" w:fill="F5F7FB"/>
          </w:tcPr>
          <w:p>
            <w:pPr>
              <w:pStyle w:val="Compact"/>
            </w:pPr>
            <w:r>
              <w:rPr>
                <w:sz w:val="17"/>
              </w:rPr>
              <w:t xml:space="preserve">Autorisation</w:t>
            </w:r>
          </w:p>
        </w:tc>
        <w:tc>
          <w:tcPr>
            <w:shd w:val="clear" w:color="auto" w:fill="F5F7FB"/>
          </w:tcPr>
          <w:p>
            <w:pPr>
              <w:pStyle w:val="Compact"/>
            </w:pPr>
            <w:r>
              <w:rPr>
                <w:sz w:val="17"/>
              </w:rPr>
              <w:t xml:space="preserve">RBAC + ABAC centralisés (OPA) ; décisions journalisées</w:t>
            </w:r>
          </w:p>
        </w:tc>
      </w:tr>
      <w:tr>
        <w:tc>
          <w:tcPr/>
          <w:p>
            <w:pPr>
              <w:pStyle w:val="Compact"/>
            </w:pPr>
            <w:r>
              <w:rPr>
                <w:sz w:val="17"/>
              </w:rPr>
              <w:t xml:space="preserve">Chiffrement en transit</w:t>
            </w:r>
          </w:p>
        </w:tc>
        <w:tc>
          <w:tcPr/>
          <w:p>
            <w:pPr>
              <w:pStyle w:val="Compact"/>
            </w:pPr>
            <w:r>
              <w:rPr>
                <w:sz w:val="17"/>
              </w:rPr>
              <w:t xml:space="preserve">TLS 1.3 ; mTLS entre services et avec les partenaires</w:t>
            </w:r>
          </w:p>
        </w:tc>
      </w:tr>
      <w:tr>
        <w:tc>
          <w:tcPr>
            <w:shd w:val="clear" w:color="auto" w:fill="F5F7FB"/>
          </w:tcPr>
          <w:p>
            <w:pPr>
              <w:pStyle w:val="Compact"/>
            </w:pPr>
            <w:r>
              <w:rPr>
                <w:sz w:val="17"/>
              </w:rPr>
              <w:t xml:space="preserve">Chiffrement au repos</w:t>
            </w:r>
          </w:p>
        </w:tc>
        <w:tc>
          <w:tcPr>
            <w:shd w:val="clear" w:color="auto" w:fill="F5F7FB"/>
          </w:tcPr>
          <w:p>
            <w:pPr>
              <w:pStyle w:val="Compact"/>
            </w:pPr>
            <w:r>
              <w:rPr>
                <w:sz w:val="17"/>
              </w:rPr>
              <w:t xml:space="preserve">Bases, sauvegardes, stockage objet et terminaux (SQLCipher, chiffrement Android) ; chiffrement champ par champ des données C4</w:t>
            </w:r>
          </w:p>
        </w:tc>
      </w:tr>
      <w:tr>
        <w:tc>
          <w:tcPr/>
          <w:p>
            <w:pPr>
              <w:pStyle w:val="Compact"/>
            </w:pPr>
            <w:r>
              <w:rPr>
                <w:sz w:val="17"/>
              </w:rPr>
              <w:t xml:space="preserve">Gestion des clés</w:t>
            </w:r>
          </w:p>
        </w:tc>
        <w:tc>
          <w:tcPr/>
          <w:p>
            <w:pPr>
              <w:pStyle w:val="Compact"/>
            </w:pPr>
            <w:r>
              <w:rPr>
                <w:sz w:val="17"/>
              </w:rPr>
              <w:t xml:space="preserve">HSM (FIPS 140-2 niveau 3 ou équivalent) pour les clés de signature des quittances, du grand livre et du journal ; rotation ; séparation des gardiens de clés</w:t>
            </w:r>
          </w:p>
        </w:tc>
      </w:tr>
      <w:tr>
        <w:tc>
          <w:tcPr>
            <w:shd w:val="clear" w:color="auto" w:fill="F5F7FB"/>
          </w:tcPr>
          <w:p>
            <w:pPr>
              <w:pStyle w:val="Compact"/>
            </w:pPr>
            <w:r>
              <w:rPr>
                <w:sz w:val="17"/>
              </w:rPr>
              <w:t xml:space="preserve">Secrets</w:t>
            </w:r>
          </w:p>
        </w:tc>
        <w:tc>
          <w:tcPr>
            <w:shd w:val="clear" w:color="auto" w:fill="F5F7FB"/>
          </w:tcPr>
          <w:p>
            <w:pPr>
              <w:pStyle w:val="Compact"/>
            </w:pPr>
            <w:r>
              <w:rPr>
                <w:sz w:val="17"/>
              </w:rPr>
              <w:t xml:space="preserve">Coffre de secrets ; aucun secret dans le code ni dans les images</w:t>
            </w:r>
          </w:p>
        </w:tc>
      </w:tr>
      <w:tr>
        <w:tc>
          <w:tcPr/>
          <w:p>
            <w:pPr>
              <w:pStyle w:val="Compact"/>
            </w:pPr>
            <w:r>
              <w:rPr>
                <w:sz w:val="17"/>
              </w:rPr>
              <w:t xml:space="preserve">Accès privilégiés</w:t>
            </w:r>
          </w:p>
        </w:tc>
        <w:tc>
          <w:tcPr/>
          <w:p>
            <w:pPr>
              <w:pStyle w:val="Compact"/>
            </w:pPr>
            <w:r>
              <w:rPr>
                <w:sz w:val="17"/>
              </w:rPr>
              <w:t xml:space="preserve">PAM : juste-à-temps, sessions enregistrées, double approbation pour la production</w:t>
            </w:r>
          </w:p>
        </w:tc>
      </w:tr>
      <w:tr>
        <w:tc>
          <w:tcPr>
            <w:shd w:val="clear" w:color="auto" w:fill="F5F7FB"/>
          </w:tcPr>
          <w:p>
            <w:pPr>
              <w:pStyle w:val="Compact"/>
            </w:pPr>
            <w:r>
              <w:rPr>
                <w:sz w:val="17"/>
              </w:rPr>
              <w:t xml:space="preserve">Réseau</w:t>
            </w:r>
          </w:p>
        </w:tc>
        <w:tc>
          <w:tcPr>
            <w:shd w:val="clear" w:color="auto" w:fill="F5F7FB"/>
          </w:tcPr>
          <w:p>
            <w:pPr>
              <w:pStyle w:val="Compact"/>
            </w:pPr>
            <w:r>
              <w:rPr>
                <w:sz w:val="17"/>
              </w:rPr>
              <w:t xml:space="preserve">Segmentation (DMZ, applicatif, données, administration, paiement isolé) ; micro-segmentation entre services</w:t>
            </w:r>
          </w:p>
        </w:tc>
      </w:tr>
      <w:tr>
        <w:tc>
          <w:tcPr/>
          <w:p>
            <w:pPr>
              <w:pStyle w:val="Compact"/>
            </w:pPr>
            <w:r>
              <w:rPr>
                <w:sz w:val="17"/>
              </w:rPr>
              <w:t xml:space="preserve">API</w:t>
            </w:r>
          </w:p>
        </w:tc>
        <w:tc>
          <w:tcPr/>
          <w:p>
            <w:pPr>
              <w:pStyle w:val="Compact"/>
            </w:pPr>
            <w:r>
              <w:rPr>
                <w:sz w:val="17"/>
              </w:rPr>
              <w:t xml:space="preserve">Passerelle, schémas stricts, limites de débit, détection d’abus, protections OWASP API Top 10</w:t>
            </w:r>
          </w:p>
        </w:tc>
      </w:tr>
      <w:tr>
        <w:tc>
          <w:tcPr>
            <w:shd w:val="clear" w:color="auto" w:fill="F5F7FB"/>
          </w:tcPr>
          <w:p>
            <w:pPr>
              <w:pStyle w:val="Compact"/>
            </w:pPr>
            <w:r>
              <w:rPr>
                <w:sz w:val="17"/>
              </w:rPr>
              <w:t xml:space="preserve">Périmètre</w:t>
            </w:r>
          </w:p>
        </w:tc>
        <w:tc>
          <w:tcPr>
            <w:shd w:val="clear" w:color="auto" w:fill="F5F7FB"/>
          </w:tcPr>
          <w:p>
            <w:pPr>
              <w:pStyle w:val="Compact"/>
            </w:pPr>
            <w:r>
              <w:rPr>
                <w:sz w:val="17"/>
              </w:rPr>
              <w:t xml:space="preserve">WAF, anti-DDoS (fournisseur et capacité locale), géofiltrage adaptatif pour l’administration</w:t>
            </w:r>
          </w:p>
        </w:tc>
      </w:tr>
      <w:tr>
        <w:tc>
          <w:tcPr/>
          <w:p>
            <w:pPr>
              <w:pStyle w:val="Compact"/>
            </w:pPr>
            <w:r>
              <w:rPr>
                <w:sz w:val="17"/>
              </w:rPr>
              <w:t xml:space="preserve">Développement sécurisé</w:t>
            </w:r>
          </w:p>
        </w:tc>
        <w:tc>
          <w:tcPr/>
          <w:p>
            <w:pPr>
              <w:pStyle w:val="Compact"/>
            </w:pPr>
            <w:r>
              <w:rPr>
                <w:sz w:val="17"/>
              </w:rPr>
              <w:t xml:space="preserve">Revue de code obligatoire, SAST, DAST, analyse des dépendances, SBOM, artefacts signés, environnements séparés, données de test anonymisées</w:t>
            </w:r>
          </w:p>
        </w:tc>
      </w:tr>
      <w:tr>
        <w:tc>
          <w:tcPr>
            <w:shd w:val="clear" w:color="auto" w:fill="F5F7FB"/>
          </w:tcPr>
          <w:p>
            <w:pPr>
              <w:pStyle w:val="Compact"/>
            </w:pPr>
            <w:r>
              <w:rPr>
                <w:sz w:val="17"/>
              </w:rPr>
              <w:t xml:space="preserve">Tests</w:t>
            </w:r>
          </w:p>
        </w:tc>
        <w:tc>
          <w:tcPr>
            <w:shd w:val="clear" w:color="auto" w:fill="F5F7FB"/>
          </w:tcPr>
          <w:p>
            <w:pPr>
              <w:pStyle w:val="Compact"/>
            </w:pPr>
            <w:r>
              <w:rPr>
                <w:sz w:val="17"/>
              </w:rPr>
              <w:t xml:space="preserve">Test d’intrusion indépendant avant le pilote et avant chaque version majeure ; programme de divulgation coordonnée des vulnérabilités</w:t>
            </w:r>
          </w:p>
        </w:tc>
      </w:tr>
      <w:tr>
        <w:tc>
          <w:tcPr/>
          <w:p>
            <w:pPr>
              <w:pStyle w:val="Compact"/>
            </w:pPr>
            <w:r>
              <w:rPr>
                <w:sz w:val="17"/>
              </w:rPr>
              <w:t xml:space="preserve">Vulnérabilités</w:t>
            </w:r>
          </w:p>
        </w:tc>
        <w:tc>
          <w:tcPr/>
          <w:p>
            <w:pPr>
              <w:pStyle w:val="Compact"/>
            </w:pPr>
            <w:r>
              <w:rPr>
                <w:sz w:val="17"/>
              </w:rPr>
              <w:t xml:space="preserve">Correctifs critiques sous 7 jours, élevés sous 30 jours</w:t>
            </w:r>
          </w:p>
        </w:tc>
      </w:tr>
      <w:tr>
        <w:tc>
          <w:tcPr>
            <w:shd w:val="clear" w:color="auto" w:fill="F5F7FB"/>
          </w:tcPr>
          <w:p>
            <w:pPr>
              <w:pStyle w:val="Compact"/>
            </w:pPr>
            <w:r>
              <w:rPr>
                <w:sz w:val="17"/>
              </w:rPr>
              <w:t xml:space="preserve">Détection</w:t>
            </w:r>
          </w:p>
        </w:tc>
        <w:tc>
          <w:tcPr>
            <w:shd w:val="clear" w:color="auto" w:fill="F5F7FB"/>
          </w:tcPr>
          <w:p>
            <w:pPr>
              <w:pStyle w:val="Compact"/>
            </w:pPr>
            <w:r>
              <w:rPr>
                <w:sz w:val="17"/>
              </w:rPr>
              <w:t xml:space="preserve">SIEM et SOC (interne ou prestataire sous contrôle provincial) ; règles de corrélation spécifiques (changements de bénéficiaire, pics d’annulations, accès massifs)</w:t>
            </w:r>
          </w:p>
        </w:tc>
      </w:tr>
      <w:tr>
        <w:tc>
          <w:tcPr/>
          <w:p>
            <w:pPr>
              <w:pStyle w:val="Compact"/>
            </w:pPr>
            <w:r>
              <w:rPr>
                <w:sz w:val="17"/>
              </w:rPr>
              <w:t xml:space="preserve">Réponse aux incidents</w:t>
            </w:r>
          </w:p>
        </w:tc>
        <w:tc>
          <w:tcPr/>
          <w:p>
            <w:pPr>
              <w:pStyle w:val="Compact"/>
            </w:pPr>
            <w:r>
              <w:rPr>
                <w:sz w:val="17"/>
              </w:rPr>
              <w:t xml:space="preserve">Plan, astreinte, exercices semestriels, communication (§ 11.4)</w:t>
            </w:r>
          </w:p>
        </w:tc>
      </w:tr>
      <w:tr>
        <w:tc>
          <w:tcPr>
            <w:shd w:val="clear" w:color="auto" w:fill="F5F7FB"/>
          </w:tcPr>
          <w:p>
            <w:pPr>
              <w:pStyle w:val="Compact"/>
            </w:pPr>
            <w:r>
              <w:rPr>
                <w:sz w:val="17"/>
              </w:rPr>
              <w:t xml:space="preserve">Forensique</w:t>
            </w:r>
          </w:p>
        </w:tc>
        <w:tc>
          <w:tcPr>
            <w:shd w:val="clear" w:color="auto" w:fill="F5F7FB"/>
          </w:tcPr>
          <w:p>
            <w:pPr>
              <w:pStyle w:val="Compact"/>
            </w:pPr>
            <w:r>
              <w:rPr>
                <w:sz w:val="17"/>
              </w:rPr>
              <w:t xml:space="preserve">Journaux conservés et scellés, horloges synchronisées, procédures de collecte de preuves</w:t>
            </w:r>
          </w:p>
        </w:tc>
      </w:tr>
      <w:tr>
        <w:tc>
          <w:tcPr/>
          <w:p>
            <w:pPr>
              <w:pStyle w:val="Compact"/>
            </w:pPr>
            <w:r>
              <w:rPr>
                <w:sz w:val="17"/>
              </w:rPr>
              <w:t xml:space="preserve">Fuites de données</w:t>
            </w:r>
          </w:p>
        </w:tc>
        <w:tc>
          <w:tcPr/>
          <w:p>
            <w:pPr>
              <w:pStyle w:val="Compact"/>
            </w:pPr>
            <w:r>
              <w:rPr>
                <w:sz w:val="17"/>
              </w:rPr>
              <w:t xml:space="preserve">Masquage, filigranes, limites d’export, détection de volumes anormaux</w:t>
            </w:r>
          </w:p>
        </w:tc>
      </w:tr>
      <w:tr>
        <w:tc>
          <w:tcPr>
            <w:shd w:val="clear" w:color="auto" w:fill="F5F7FB"/>
          </w:tcPr>
          <w:p>
            <w:pPr>
              <w:pStyle w:val="Compact"/>
            </w:pPr>
            <w:r>
              <w:rPr>
                <w:sz w:val="17"/>
              </w:rPr>
              <w:t xml:space="preserve">Sauvegardes</w:t>
            </w:r>
          </w:p>
        </w:tc>
        <w:tc>
          <w:tcPr>
            <w:shd w:val="clear" w:color="auto" w:fill="F5F7FB"/>
          </w:tcPr>
          <w:p>
            <w:pPr>
              <w:pStyle w:val="Compact"/>
            </w:pPr>
            <w:r>
              <w:rPr>
                <w:sz w:val="17"/>
              </w:rPr>
              <w:t xml:space="preserve">Immuables, chiffrées, hors ligne, restaurations testées</w:t>
            </w:r>
          </w:p>
        </w:tc>
      </w:tr>
      <w:tr>
        <w:tc>
          <w:tcPr/>
          <w:p>
            <w:pPr>
              <w:pStyle w:val="Compact"/>
            </w:pPr>
            <w:r>
              <w:rPr>
                <w:sz w:val="17"/>
              </w:rPr>
              <w:t xml:space="preserve">Continuité</w:t>
            </w:r>
          </w:p>
        </w:tc>
        <w:tc>
          <w:tcPr/>
          <w:p>
            <w:pPr>
              <w:pStyle w:val="Compact"/>
            </w:pPr>
            <w:r>
              <w:rPr>
                <w:sz w:val="17"/>
              </w:rPr>
              <w:t xml:space="preserve">§ 28.8</w:t>
            </w:r>
          </w:p>
        </w:tc>
      </w:tr>
    </w:tbl>
    <w:bookmarkEnd w:id="316"/>
    <w:bookmarkStart w:id="317" w:name="exigences-non-fonctionnelles-clés"/>
    <w:p>
      <w:pPr>
        <w:pStyle w:val="Heading2"/>
      </w:pPr>
      <w:r>
        <w:t xml:space="preserve">31.2 Exigences non fonctionnelles clés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Exigence</w:t>
            </w:r>
          </w:p>
        </w:tc>
        <w:tc>
          <w:tcPr>
            <w:shd w:val="clear" w:color="auto" w:fill="232C6B"/>
          </w:tcPr>
          <w:p>
            <w:pPr>
              <w:pStyle w:val="Compact"/>
            </w:pPr>
            <w:r>
              <w:rPr>
                <w:b/>
                <w:color w:val="FFFFFF"/>
                <w:sz w:val="17"/>
              </w:rPr>
              <w:t xml:space="preserve">Cible</w:t>
            </w:r>
          </w:p>
        </w:tc>
      </w:tr>
      <w:tr>
        <w:tc>
          <w:tcPr/>
          <w:p>
            <w:pPr>
              <w:pStyle w:val="Compact"/>
            </w:pPr>
            <w:r>
              <w:rPr>
                <w:sz w:val="17"/>
              </w:rPr>
              <w:t xml:space="preserve">Temps de réponse API (p95)</w:t>
            </w:r>
          </w:p>
        </w:tc>
        <w:tc>
          <w:tcPr/>
          <w:p>
            <w:pPr>
              <w:pStyle w:val="Compact"/>
            </w:pPr>
            <w:r>
              <w:rPr>
                <w:sz w:val="17"/>
              </w:rPr>
              <w:t xml:space="preserve">&lt; 500 ms (lecture), &lt; 1 s (écriture)</w:t>
            </w:r>
          </w:p>
        </w:tc>
      </w:tr>
      <w:tr>
        <w:tc>
          <w:tcPr>
            <w:shd w:val="clear" w:color="auto" w:fill="F5F7FB"/>
          </w:tcPr>
          <w:p>
            <w:pPr>
              <w:pStyle w:val="Compact"/>
            </w:pPr>
            <w:r>
              <w:rPr>
                <w:sz w:val="17"/>
              </w:rPr>
              <w:t xml:space="preserve">Délai confirmation → quittance provisoire</w:t>
            </w:r>
          </w:p>
        </w:tc>
        <w:tc>
          <w:tcPr>
            <w:shd w:val="clear" w:color="auto" w:fill="F5F7FB"/>
          </w:tcPr>
          <w:p>
            <w:pPr>
              <w:pStyle w:val="Compact"/>
            </w:pPr>
            <w:r>
              <w:rPr>
                <w:sz w:val="17"/>
              </w:rPr>
              <w:t xml:space="preserve">&lt; 60 s</w:t>
            </w:r>
          </w:p>
        </w:tc>
      </w:tr>
      <w:tr>
        <w:tc>
          <w:tcPr/>
          <w:p>
            <w:pPr>
              <w:pStyle w:val="Compact"/>
            </w:pPr>
            <w:r>
              <w:rPr>
                <w:sz w:val="17"/>
              </w:rPr>
              <w:t xml:space="preserve">Capacité de pointe (échéance de février)</w:t>
            </w:r>
          </w:p>
        </w:tc>
        <w:tc>
          <w:tcPr/>
          <w:p>
            <w:pPr>
              <w:pStyle w:val="Compact"/>
            </w:pPr>
            <w:r>
              <w:rPr>
                <w:sz w:val="17"/>
              </w:rPr>
              <w:t xml:space="preserve">Dimensionnée pour 20 fois le trafic moyen, testée en charge</w:t>
            </w:r>
          </w:p>
        </w:tc>
      </w:tr>
      <w:tr>
        <w:tc>
          <w:tcPr>
            <w:shd w:val="clear" w:color="auto" w:fill="F5F7FB"/>
          </w:tcPr>
          <w:p>
            <w:pPr>
              <w:pStyle w:val="Compact"/>
            </w:pPr>
            <w:r>
              <w:rPr>
                <w:sz w:val="17"/>
              </w:rPr>
              <w:t xml:space="preserve">Application terrain</w:t>
            </w:r>
          </w:p>
        </w:tc>
        <w:tc>
          <w:tcPr>
            <w:shd w:val="clear" w:color="auto" w:fill="F5F7FB"/>
          </w:tcPr>
          <w:p>
            <w:pPr>
              <w:pStyle w:val="Compact"/>
            </w:pPr>
            <w:r>
              <w:rPr>
                <w:sz w:val="17"/>
              </w:rPr>
              <w:t xml:space="preserve">Android 9+ ; fonctionne 5 jours sans réseau ; synchronisation reprenable</w:t>
            </w:r>
          </w:p>
        </w:tc>
      </w:tr>
      <w:tr>
        <w:tc>
          <w:tcPr/>
          <w:p>
            <w:pPr>
              <w:pStyle w:val="Compact"/>
            </w:pPr>
            <w:r>
              <w:rPr>
                <w:sz w:val="17"/>
              </w:rPr>
              <w:t xml:space="preserve">Accessibilité</w:t>
            </w:r>
          </w:p>
        </w:tc>
        <w:tc>
          <w:tcPr/>
          <w:p>
            <w:pPr>
              <w:pStyle w:val="Compact"/>
            </w:pPr>
            <w:r>
              <w:rPr>
                <w:sz w:val="17"/>
              </w:rPr>
              <w:t xml:space="preserve">WCAG 2.1 AA pour le web ; tailles de police et contrastes adaptés au plein soleil sur mobile</w:t>
            </w:r>
          </w:p>
        </w:tc>
      </w:tr>
      <w:tr>
        <w:tc>
          <w:tcPr>
            <w:shd w:val="clear" w:color="auto" w:fill="F5F7FB"/>
          </w:tcPr>
          <w:p>
            <w:pPr>
              <w:pStyle w:val="Compact"/>
            </w:pPr>
            <w:r>
              <w:rPr>
                <w:sz w:val="17"/>
              </w:rPr>
              <w:t xml:space="preserve">Données mobiles</w:t>
            </w:r>
          </w:p>
        </w:tc>
        <w:tc>
          <w:tcPr>
            <w:shd w:val="clear" w:color="auto" w:fill="F5F7FB"/>
          </w:tcPr>
          <w:p>
            <w:pPr>
              <w:pStyle w:val="Compact"/>
            </w:pPr>
            <w:r>
              <w:rPr>
                <w:sz w:val="17"/>
              </w:rPr>
              <w:t xml:space="preserve">Application citoyenne &lt; 25 Mo ; pages web allégées (&lt; 500 Ko)</w:t>
            </w:r>
          </w:p>
        </w:tc>
      </w:tr>
    </w:tbl>
    <w:bookmarkEnd w:id="317"/>
    <w:bookmarkEnd w:id="318"/>
    <w:bookmarkStart w:id="319" w:name="gouvernance-des-données"/>
    <w:p>
      <w:pPr>
        <w:pStyle w:val="Heading1"/>
      </w:pPr>
      <w:r>
        <w:t xml:space="preserve">32. Gouvernance des données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Principe</w:t>
            </w:r>
          </w:p>
        </w:tc>
        <w:tc>
          <w:tcPr>
            <w:shd w:val="clear" w:color="auto" w:fill="232C6B"/>
          </w:tcPr>
          <w:p>
            <w:pPr>
              <w:pStyle w:val="Compact"/>
            </w:pPr>
            <w:r>
              <w:rPr>
                <w:b/>
                <w:color w:val="FFFFFF"/>
                <w:sz w:val="17"/>
              </w:rPr>
              <w:t xml:space="preserve">Mise en œuvre</w:t>
            </w:r>
          </w:p>
        </w:tc>
      </w:tr>
      <w:tr>
        <w:tc>
          <w:tcPr/>
          <w:p>
            <w:pPr>
              <w:pStyle w:val="Compact"/>
            </w:pPr>
            <w:r>
              <w:rPr>
                <w:sz w:val="17"/>
              </w:rPr>
              <w:t xml:space="preserve">Propriété</w:t>
            </w:r>
          </w:p>
        </w:tc>
        <w:tc>
          <w:tcPr/>
          <w:p>
            <w:pPr>
              <w:pStyle w:val="Compact"/>
            </w:pPr>
            <w:r>
              <w:rPr>
                <w:b/>
                <w:bCs/>
                <w:sz w:val="17"/>
              </w:rPr>
              <w:t xml:space="preserve">La Province est propriétaire de toutes les données</w:t>
            </w:r>
            <w:r>
              <w:rPr>
                <w:sz w:val="17"/>
              </w:rPr>
              <w:t xml:space="preserve">, y compris celles produites par les prestataires</w:t>
            </w:r>
          </w:p>
        </w:tc>
      </w:tr>
      <w:tr>
        <w:tc>
          <w:tcPr>
            <w:shd w:val="clear" w:color="auto" w:fill="F5F7FB"/>
          </w:tcPr>
          <w:p>
            <w:pPr>
              <w:pStyle w:val="Compact"/>
            </w:pPr>
            <w:r>
              <w:rPr>
                <w:sz w:val="17"/>
              </w:rPr>
              <w:t xml:space="preserve">Finalité</w:t>
            </w:r>
          </w:p>
        </w:tc>
        <w:tc>
          <w:tcPr>
            <w:shd w:val="clear" w:color="auto" w:fill="F5F7FB"/>
          </w:tcPr>
          <w:p>
            <w:pPr>
              <w:pStyle w:val="Compact"/>
            </w:pPr>
            <w:r>
              <w:rPr>
                <w:sz w:val="17"/>
              </w:rPr>
              <w:t xml:space="preserve">Registre des traitements : finalité, base légale, catégories de données, destinataires, durée</w:t>
            </w:r>
          </w:p>
        </w:tc>
      </w:tr>
      <w:tr>
        <w:tc>
          <w:tcPr/>
          <w:p>
            <w:pPr>
              <w:pStyle w:val="Compact"/>
            </w:pPr>
            <w:r>
              <w:rPr>
                <w:sz w:val="17"/>
              </w:rPr>
              <w:t xml:space="preserve">Minimisation</w:t>
            </w:r>
          </w:p>
        </w:tc>
        <w:tc>
          <w:tcPr/>
          <w:p>
            <w:pPr>
              <w:pStyle w:val="Compact"/>
            </w:pPr>
            <w:r>
              <w:rPr>
                <w:sz w:val="17"/>
              </w:rPr>
              <w:t xml:space="preserve">Revue de chaque champ ; suppression des champs sans finalité</w:t>
            </w:r>
          </w:p>
        </w:tc>
      </w:tr>
      <w:tr>
        <w:tc>
          <w:tcPr>
            <w:shd w:val="clear" w:color="auto" w:fill="F5F7FB"/>
          </w:tcPr>
          <w:p>
            <w:pPr>
              <w:pStyle w:val="Compact"/>
            </w:pPr>
            <w:r>
              <w:rPr>
                <w:sz w:val="17"/>
              </w:rPr>
              <w:t xml:space="preserve">Classification</w:t>
            </w:r>
          </w:p>
        </w:tc>
        <w:tc>
          <w:tcPr>
            <w:shd w:val="clear" w:color="auto" w:fill="F5F7FB"/>
          </w:tcPr>
          <w:p>
            <w:pPr>
              <w:pStyle w:val="Compact"/>
            </w:pPr>
            <w:r>
              <w:rPr>
                <w:sz w:val="17"/>
              </w:rPr>
              <w:t xml:space="preserve">C1 à C5 ; contrôles associés (masquage, chiffrement, journalisation)</w:t>
            </w:r>
          </w:p>
        </w:tc>
      </w:tr>
      <w:tr>
        <w:tc>
          <w:tcPr/>
          <w:p>
            <w:pPr>
              <w:pStyle w:val="Compact"/>
            </w:pPr>
            <w:r>
              <w:rPr>
                <w:sz w:val="17"/>
              </w:rPr>
              <w:t xml:space="preserve">Qualité</w:t>
            </w:r>
          </w:p>
        </w:tc>
        <w:tc>
          <w:tcPr/>
          <w:p>
            <w:pPr>
              <w:pStyle w:val="Compact"/>
            </w:pPr>
            <w:r>
              <w:rPr>
                <w:sz w:val="17"/>
              </w:rPr>
              <w:t xml:space="preserve">Propriétaires de données par domaine ; règles de qualité ; tableau de bord qualité (complétude, exactitude, fraîcheur, doublons)</w:t>
            </w:r>
          </w:p>
        </w:tc>
      </w:tr>
      <w:tr>
        <w:tc>
          <w:tcPr>
            <w:shd w:val="clear" w:color="auto" w:fill="F5F7FB"/>
          </w:tcPr>
          <w:p>
            <w:pPr>
              <w:pStyle w:val="Compact"/>
            </w:pPr>
            <w:r>
              <w:rPr>
                <w:sz w:val="17"/>
              </w:rPr>
              <w:t xml:space="preserve">Durées de conservation</w:t>
            </w:r>
          </w:p>
        </w:tc>
        <w:tc>
          <w:tcPr>
            <w:shd w:val="clear" w:color="auto" w:fill="F5F7FB"/>
          </w:tcPr>
          <w:p>
            <w:pPr>
              <w:pStyle w:val="Compact"/>
            </w:pPr>
            <w:r>
              <w:rPr>
                <w:sz w:val="17"/>
              </w:rPr>
              <w:t xml:space="preserve">Tableau § 29.3, validé par le service juridique et les archives</w:t>
            </w:r>
          </w:p>
        </w:tc>
      </w:tr>
      <w:tr>
        <w:tc>
          <w:tcPr/>
          <w:p>
            <w:pPr>
              <w:pStyle w:val="Compact"/>
            </w:pPr>
            <w:r>
              <w:rPr>
                <w:sz w:val="17"/>
              </w:rPr>
              <w:t xml:space="preserve">Droits des personnes</w:t>
            </w:r>
          </w:p>
        </w:tc>
        <w:tc>
          <w:tcPr/>
          <w:p>
            <w:pPr>
              <w:pStyle w:val="Compact"/>
            </w:pPr>
            <w:r>
              <w:rPr>
                <w:sz w:val="17"/>
              </w:rPr>
              <w:t xml:space="preserve">Accès, rectification, information, opposition lorsque la loi le permet ; délais de réponse</w:t>
            </w:r>
          </w:p>
        </w:tc>
      </w:tr>
      <w:tr>
        <w:tc>
          <w:tcPr>
            <w:shd w:val="clear" w:color="auto" w:fill="F5F7FB"/>
          </w:tcPr>
          <w:p>
            <w:pPr>
              <w:pStyle w:val="Compact"/>
            </w:pPr>
            <w:r>
              <w:rPr>
                <w:sz w:val="17"/>
              </w:rPr>
              <w:t xml:space="preserve">Partage</w:t>
            </w:r>
          </w:p>
        </w:tc>
        <w:tc>
          <w:tcPr>
            <w:shd w:val="clear" w:color="auto" w:fill="F5F7FB"/>
          </w:tcPr>
          <w:p>
            <w:pPr>
              <w:pStyle w:val="Compact"/>
            </w:pPr>
            <w:r>
              <w:rPr>
                <w:sz w:val="17"/>
              </w:rPr>
              <w:t xml:space="preserve">Uniquement par protocole signé, API contrôlée, minimisation, journal ; information des personnes (</w:t>
            </w:r>
            <w:r>
              <w:rPr>
                <w:rStyle w:val="VerbatimChar"/>
                <w:sz w:val="17"/>
              </w:rPr>
              <w:t xml:space="preserve">privacy.data_shared_with_partner</w:t>
            </w:r>
            <w:r>
              <w:rPr>
                <w:sz w:val="17"/>
              </w:rPr>
              <w:t xml:space="preserve">)</w:t>
            </w:r>
          </w:p>
        </w:tc>
      </w:tr>
      <w:tr>
        <w:tc>
          <w:tcPr/>
          <w:p>
            <w:pPr>
              <w:pStyle w:val="Compact"/>
            </w:pPr>
            <w:r>
              <w:rPr>
                <w:sz w:val="17"/>
              </w:rPr>
              <w:t xml:space="preserve">Données partenaires</w:t>
            </w:r>
          </w:p>
        </w:tc>
        <w:tc>
          <w:tcPr/>
          <w:p>
            <w:pPr>
              <w:pStyle w:val="Compact"/>
            </w:pPr>
            <w:r>
              <w:rPr>
                <w:sz w:val="17"/>
              </w:rPr>
              <w:t xml:space="preserve">Quarantaine, validation, statut « partenaire » jusqu’à vérification</w:t>
            </w:r>
          </w:p>
        </w:tc>
      </w:tr>
      <w:tr>
        <w:tc>
          <w:tcPr>
            <w:shd w:val="clear" w:color="auto" w:fill="F5F7FB"/>
          </w:tcPr>
          <w:p>
            <w:pPr>
              <w:pStyle w:val="Compact"/>
            </w:pPr>
            <w:r>
              <w:rPr>
                <w:sz w:val="17"/>
              </w:rPr>
              <w:t xml:space="preserve">Analyse d’impact</w:t>
            </w:r>
          </w:p>
        </w:tc>
        <w:tc>
          <w:tcPr>
            <w:shd w:val="clear" w:color="auto" w:fill="F5F7FB"/>
          </w:tcPr>
          <w:p>
            <w:pPr>
              <w:pStyle w:val="Compact"/>
            </w:pPr>
            <w:r>
              <w:rPr>
                <w:sz w:val="17"/>
              </w:rPr>
              <w:t xml:space="preserve">Avant le pilote, avant chaque nouveau partage, avant chaque nouveau modèle d’IA</w:t>
            </w:r>
          </w:p>
        </w:tc>
      </w:tr>
      <w:tr>
        <w:tc>
          <w:tcPr/>
          <w:p>
            <w:pPr>
              <w:pStyle w:val="Compact"/>
            </w:pPr>
            <w:r>
              <w:rPr>
                <w:sz w:val="17"/>
              </w:rPr>
              <w:t xml:space="preserve">Délégué à la protection des données</w:t>
            </w:r>
          </w:p>
        </w:tc>
        <w:tc>
          <w:tcPr/>
          <w:p>
            <w:pPr>
              <w:pStyle w:val="Compact"/>
            </w:pPr>
            <w:r>
              <w:rPr>
                <w:sz w:val="17"/>
              </w:rPr>
              <w:t xml:space="preserve">Nommé dès la phase 0, indépendant, rattaché au Comité de pilotage</w:t>
            </w:r>
          </w:p>
        </w:tc>
      </w:tr>
      <w:tr>
        <w:tc>
          <w:tcPr>
            <w:shd w:val="clear" w:color="auto" w:fill="F5F7FB"/>
          </w:tcPr>
          <w:p>
            <w:pPr>
              <w:pStyle w:val="Compact"/>
            </w:pPr>
            <w:r>
              <w:rPr>
                <w:sz w:val="17"/>
              </w:rPr>
              <w:t xml:space="preserve">Données ouvertes</w:t>
            </w:r>
          </w:p>
        </w:tc>
        <w:tc>
          <w:tcPr>
            <w:shd w:val="clear" w:color="auto" w:fill="F5F7FB"/>
          </w:tcPr>
          <w:p>
            <w:pPr>
              <w:pStyle w:val="Compact"/>
            </w:pPr>
            <w:r>
              <w:rPr>
                <w:sz w:val="17"/>
              </w:rPr>
              <w:t xml:space="preserve">Agrégats anonymisés (seuils minimaux, contrôle de ré-identification)</w:t>
            </w:r>
          </w:p>
        </w:tc>
      </w:tr>
    </w:tbl>
    <w:bookmarkEnd w:id="319"/>
    <w:bookmarkStart w:id="322" w:name="hébergement-et-souveraineté"/>
    <w:p>
      <w:pPr>
        <w:pStyle w:val="Heading1"/>
      </w:pPr>
      <w:r>
        <w:t xml:space="preserve">33. Hébergement et souveraineté</w:t>
      </w:r>
    </w:p>
    <w:bookmarkStart w:id="320" w:name="options-dhébergement"/>
    <w:p>
      <w:pPr>
        <w:pStyle w:val="Heading2"/>
      </w:pPr>
      <w:r>
        <w:t xml:space="preserve">33.1 Options d’hébergement</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584"/>
        <w:gridCol w:w="1584"/>
        <w:gridCol w:w="1584"/>
        <w:gridCol w:w="1584"/>
        <w:gridCol w:w="1584"/>
      </w:tblGrid>
      <w:tr>
        <w:trPr>
          <w:tblHeader w:val="on"/>
        </w:trPr>
        <w:tc>
          <w:tcPr>
            <w:shd w:val="clear" w:color="auto" w:fill="232C6B"/>
          </w:tcPr>
          <w:p>
            <w:pPr>
              <w:pStyle w:val="Compact"/>
            </w:pPr>
            <w:r>
              <w:rPr>
                <w:b/>
                <w:color w:val="FFFFFF"/>
                <w:sz w:val="17"/>
              </w:rPr>
              <w:t xml:space="preserve">Option</w:t>
            </w:r>
          </w:p>
        </w:tc>
        <w:tc>
          <w:tcPr>
            <w:shd w:val="clear" w:color="auto" w:fill="232C6B"/>
          </w:tcPr>
          <w:p>
            <w:pPr>
              <w:pStyle w:val="Compact"/>
            </w:pPr>
            <w:r>
              <w:rPr>
                <w:b/>
                <w:color w:val="FFFFFF"/>
                <w:sz w:val="17"/>
              </w:rPr>
              <w:t xml:space="preserve">Description</w:t>
            </w:r>
          </w:p>
        </w:tc>
        <w:tc>
          <w:tcPr>
            <w:shd w:val="clear" w:color="auto" w:fill="232C6B"/>
          </w:tcPr>
          <w:p>
            <w:pPr>
              <w:pStyle w:val="Compact"/>
            </w:pPr>
            <w:r>
              <w:rPr>
                <w:b/>
                <w:color w:val="FFFFFF"/>
                <w:sz w:val="17"/>
              </w:rPr>
              <w:t xml:space="preserve">Avantages</w:t>
            </w:r>
          </w:p>
        </w:tc>
        <w:tc>
          <w:tcPr>
            <w:shd w:val="clear" w:color="auto" w:fill="232C6B"/>
          </w:tcPr>
          <w:p>
            <w:pPr>
              <w:pStyle w:val="Compact"/>
            </w:pPr>
            <w:r>
              <w:rPr>
                <w:b/>
                <w:color w:val="FFFFFF"/>
                <w:sz w:val="17"/>
              </w:rPr>
              <w:t xml:space="preserve">Risques</w:t>
            </w:r>
          </w:p>
        </w:tc>
        <w:tc>
          <w:tcPr>
            <w:shd w:val="clear" w:color="auto" w:fill="232C6B"/>
          </w:tcPr>
          <w:p>
            <w:pPr>
              <w:pStyle w:val="Compact"/>
            </w:pPr>
            <w:r>
              <w:rPr>
                <w:b/>
                <w:color w:val="FFFFFF"/>
                <w:sz w:val="17"/>
              </w:rPr>
              <w:t xml:space="preserve">Verdict</w:t>
            </w:r>
          </w:p>
        </w:tc>
      </w:tr>
      <w:tr>
        <w:tc>
          <w:tcPr/>
          <w:p>
            <w:pPr>
              <w:pStyle w:val="Compact"/>
            </w:pPr>
            <w:r>
              <w:rPr>
                <w:sz w:val="17"/>
              </w:rPr>
              <w:t xml:space="preserve">H1 — Centre de données gouvernemental provincial</w:t>
            </w:r>
          </w:p>
        </w:tc>
        <w:tc>
          <w:tcPr/>
          <w:p>
            <w:pPr>
              <w:pStyle w:val="Compact"/>
            </w:pPr>
            <w:r>
              <w:rPr>
                <w:sz w:val="17"/>
              </w:rPr>
              <w:t xml:space="preserve">Salles de la Province</w:t>
            </w:r>
          </w:p>
        </w:tc>
        <w:tc>
          <w:tcPr/>
          <w:p>
            <w:pPr>
              <w:pStyle w:val="Compact"/>
            </w:pPr>
            <w:r>
              <w:rPr>
                <w:sz w:val="17"/>
              </w:rPr>
              <w:t xml:space="preserve">Contrôle maximal</w:t>
            </w:r>
          </w:p>
        </w:tc>
        <w:tc>
          <w:tcPr/>
          <w:p>
            <w:pPr>
              <w:pStyle w:val="Compact"/>
            </w:pPr>
            <w:r>
              <w:rPr>
                <w:sz w:val="17"/>
              </w:rPr>
              <w:t xml:space="preserve">Capacités, énergie, compétences à construire</w:t>
            </w:r>
          </w:p>
        </w:tc>
        <w:tc>
          <w:tcPr/>
          <w:p>
            <w:pPr>
              <w:pStyle w:val="Compact"/>
            </w:pPr>
            <w:r>
              <w:rPr>
                <w:sz w:val="17"/>
              </w:rPr>
              <w:t xml:space="preserve">Cible à moyen terme</w:t>
            </w:r>
          </w:p>
        </w:tc>
      </w:tr>
      <w:tr>
        <w:tc>
          <w:tcPr>
            <w:shd w:val="clear" w:color="auto" w:fill="F5F7FB"/>
          </w:tcPr>
          <w:p>
            <w:pPr>
              <w:pStyle w:val="Compact"/>
            </w:pPr>
            <w:r>
              <w:rPr>
                <w:sz w:val="17"/>
              </w:rPr>
              <w:t xml:space="preserve">H2 — Centre de données commercial agréé à Kinshasa (colocation) avec matériel propriété de la Province</w:t>
            </w:r>
          </w:p>
        </w:tc>
        <w:tc>
          <w:tcPr>
            <w:shd w:val="clear" w:color="auto" w:fill="F5F7FB"/>
          </w:tcPr>
          <w:p>
            <w:pPr>
              <w:pStyle w:val="Compact"/>
            </w:pPr>
            <w:r>
              <w:rPr>
                <w:sz w:val="17"/>
              </w:rPr>
              <w:t xml:space="preserve">Infrastructure louée, matériel et clés à la Province</w:t>
            </w:r>
          </w:p>
        </w:tc>
        <w:tc>
          <w:tcPr>
            <w:shd w:val="clear" w:color="auto" w:fill="F5F7FB"/>
          </w:tcPr>
          <w:p>
            <w:pPr>
              <w:pStyle w:val="Compact"/>
            </w:pPr>
            <w:r>
              <w:rPr>
                <w:sz w:val="17"/>
              </w:rPr>
              <w:t xml:space="preserve">Rapide, contrôle des clés, résidence en RDC</w:t>
            </w:r>
          </w:p>
        </w:tc>
        <w:tc>
          <w:tcPr>
            <w:shd w:val="clear" w:color="auto" w:fill="F5F7FB"/>
          </w:tcPr>
          <w:p>
            <w:pPr>
              <w:pStyle w:val="Compact"/>
            </w:pPr>
            <w:r>
              <w:rPr>
                <w:sz w:val="17"/>
              </w:rPr>
              <w:t xml:space="preserve">Dépendance au fournisseur de colocation (réversible)</w:t>
            </w:r>
          </w:p>
        </w:tc>
        <w:tc>
          <w:tcPr>
            <w:shd w:val="clear" w:color="auto" w:fill="F5F7FB"/>
          </w:tcPr>
          <w:p>
            <w:pPr>
              <w:pStyle w:val="Compact"/>
            </w:pPr>
            <w:r>
              <w:rPr>
                <w:b/>
                <w:bCs/>
                <w:sz w:val="17"/>
              </w:rPr>
              <w:t xml:space="preserve">Recommandé pour le pilote et la généralisation</w:t>
            </w:r>
          </w:p>
        </w:tc>
      </w:tr>
      <w:tr>
        <w:tc>
          <w:tcPr/>
          <w:p>
            <w:pPr>
              <w:pStyle w:val="Compact"/>
            </w:pPr>
            <w:r>
              <w:rPr>
                <w:sz w:val="17"/>
              </w:rPr>
              <w:t xml:space="preserve">H3 — Nuage public hors RDC</w:t>
            </w:r>
          </w:p>
        </w:tc>
        <w:tc>
          <w:tcPr/>
          <w:p>
            <w:pPr>
              <w:pStyle w:val="Compact"/>
            </w:pPr>
            <w:r>
              <w:rPr>
                <w:sz w:val="17"/>
              </w:rPr>
              <w:t xml:space="preserve">Services gérés</w:t>
            </w:r>
          </w:p>
        </w:tc>
        <w:tc>
          <w:tcPr/>
          <w:p>
            <w:pPr>
              <w:pStyle w:val="Compact"/>
            </w:pPr>
            <w:r>
              <w:rPr>
                <w:sz w:val="17"/>
              </w:rPr>
              <w:t xml:space="preserve">Rapidité</w:t>
            </w:r>
          </w:p>
        </w:tc>
        <w:tc>
          <w:tcPr/>
          <w:p>
            <w:pPr>
              <w:pStyle w:val="Compact"/>
            </w:pPr>
            <w:r>
              <w:rPr>
                <w:sz w:val="17"/>
              </w:rPr>
              <w:t xml:space="preserve">Résidence des données, dépendance, droit étranger</w:t>
            </w:r>
          </w:p>
        </w:tc>
        <w:tc>
          <w:tcPr/>
          <w:p>
            <w:pPr>
              <w:pStyle w:val="Compact"/>
            </w:pPr>
            <w:r>
              <w:rPr>
                <w:b/>
                <w:bCs/>
                <w:sz w:val="17"/>
              </w:rPr>
              <w:t xml:space="preserve">Exclu pour les données C3–C5</w:t>
            </w:r>
            <w:r>
              <w:rPr>
                <w:sz w:val="17"/>
              </w:rPr>
              <w:t xml:space="preserve"> </w:t>
            </w:r>
            <w:r>
              <w:rPr>
                <w:sz w:val="17"/>
              </w:rPr>
              <w:t xml:space="preserve">; possible pour le CDN public et l’anti-DDoS sans données personnelles</w:t>
            </w:r>
          </w:p>
        </w:tc>
      </w:tr>
      <w:tr>
        <w:tc>
          <w:tcPr>
            <w:shd w:val="clear" w:color="auto" w:fill="F5F7FB"/>
          </w:tcPr>
          <w:p>
            <w:pPr>
              <w:pStyle w:val="Compact"/>
            </w:pPr>
            <w:r>
              <w:rPr>
                <w:sz w:val="17"/>
              </w:rPr>
              <w:t xml:space="preserve">H4 — Hybride</w:t>
            </w:r>
          </w:p>
        </w:tc>
        <w:tc>
          <w:tcPr>
            <w:shd w:val="clear" w:color="auto" w:fill="F5F7FB"/>
          </w:tcPr>
          <w:p>
            <w:pPr>
              <w:pStyle w:val="Compact"/>
            </w:pPr>
            <w:r>
              <w:rPr>
                <w:sz w:val="17"/>
              </w:rPr>
              <w:t xml:space="preserve">H2 principal + site secondaire local + coffre de preuves contrôlé par l’audit</w:t>
            </w:r>
          </w:p>
        </w:tc>
        <w:tc>
          <w:tcPr>
            <w:shd w:val="clear" w:color="auto" w:fill="F5F7FB"/>
          </w:tcPr>
          <w:p>
            <w:pPr>
              <w:pStyle w:val="Compact"/>
            </w:pPr>
            <w:r>
              <w:rPr>
                <w:sz w:val="17"/>
              </w:rPr>
              <w:t xml:space="preserve">Résilience</w:t>
            </w:r>
          </w:p>
        </w:tc>
        <w:tc>
          <w:tcPr>
            <w:shd w:val="clear" w:color="auto" w:fill="F5F7FB"/>
          </w:tcPr>
          <w:p>
            <w:pPr>
              <w:pStyle w:val="Compact"/>
            </w:pPr>
            <w:r>
              <w:rPr>
                <w:sz w:val="17"/>
              </w:rPr>
              <w:t xml:space="preserve">Coordination</w:t>
            </w:r>
          </w:p>
        </w:tc>
        <w:tc>
          <w:tcPr>
            <w:shd w:val="clear" w:color="auto" w:fill="F5F7FB"/>
          </w:tcPr>
          <w:p>
            <w:pPr>
              <w:pStyle w:val="Compact"/>
            </w:pPr>
            <w:r>
              <w:rPr>
                <w:b/>
                <w:bCs/>
                <w:sz w:val="17"/>
              </w:rPr>
              <w:t xml:space="preserve">Architecture cible</w:t>
            </w:r>
          </w:p>
        </w:tc>
      </w:tr>
    </w:tbl>
    <w:bookmarkEnd w:id="320"/>
    <w:bookmarkStart w:id="321" w:name="exigences-de-souveraineté"/>
    <w:p>
      <w:pPr>
        <w:pStyle w:val="Heading2"/>
      </w:pPr>
      <w:r>
        <w:t xml:space="preserve">33.2 Exigences de souveraineté</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Exigence</w:t>
            </w:r>
          </w:p>
        </w:tc>
        <w:tc>
          <w:tcPr>
            <w:shd w:val="clear" w:color="auto" w:fill="232C6B"/>
          </w:tcPr>
          <w:p>
            <w:pPr>
              <w:pStyle w:val="Compact"/>
            </w:pPr>
            <w:r>
              <w:rPr>
                <w:b/>
                <w:color w:val="FFFFFF"/>
                <w:sz w:val="17"/>
              </w:rPr>
              <w:t xml:space="preserve">Traduction contractuelle et technique</w:t>
            </w:r>
          </w:p>
        </w:tc>
      </w:tr>
      <w:tr>
        <w:tc>
          <w:tcPr/>
          <w:p>
            <w:pPr>
              <w:pStyle w:val="Compact"/>
            </w:pPr>
            <w:r>
              <w:rPr>
                <w:sz w:val="17"/>
              </w:rPr>
              <w:t xml:space="preserve">Résidence des données</w:t>
            </w:r>
          </w:p>
        </w:tc>
        <w:tc>
          <w:tcPr/>
          <w:p>
            <w:pPr>
              <w:pStyle w:val="Compact"/>
            </w:pPr>
            <w:r>
              <w:rPr>
                <w:sz w:val="17"/>
              </w:rPr>
              <w:t xml:space="preserve">Données C3–C5 et sauvegardes hébergées en RDC ; aucun transfert sans base légale et décision écrite</w:t>
            </w:r>
          </w:p>
        </w:tc>
      </w:tr>
      <w:tr>
        <w:tc>
          <w:tcPr>
            <w:shd w:val="clear" w:color="auto" w:fill="F5F7FB"/>
          </w:tcPr>
          <w:p>
            <w:pPr>
              <w:pStyle w:val="Compact"/>
            </w:pPr>
            <w:r>
              <w:rPr>
                <w:sz w:val="17"/>
              </w:rPr>
              <w:t xml:space="preserve">Clés</w:t>
            </w:r>
          </w:p>
        </w:tc>
        <w:tc>
          <w:tcPr>
            <w:shd w:val="clear" w:color="auto" w:fill="F5F7FB"/>
          </w:tcPr>
          <w:p>
            <w:pPr>
              <w:pStyle w:val="Compact"/>
            </w:pPr>
            <w:r>
              <w:rPr>
                <w:sz w:val="17"/>
              </w:rPr>
              <w:t xml:space="preserve">Clés de chiffrement et de signature générées et détenues dans des HSM de la Province ; gardiens de clés nommés par arrêté</w:t>
            </w:r>
          </w:p>
        </w:tc>
      </w:tr>
      <w:tr>
        <w:tc>
          <w:tcPr/>
          <w:p>
            <w:pPr>
              <w:pStyle w:val="Compact"/>
            </w:pPr>
            <w:r>
              <w:rPr>
                <w:sz w:val="17"/>
              </w:rPr>
              <w:t xml:space="preserve">Accès des fournisseurs</w:t>
            </w:r>
          </w:p>
        </w:tc>
        <w:tc>
          <w:tcPr/>
          <w:p>
            <w:pPr>
              <w:pStyle w:val="Compact"/>
            </w:pPr>
            <w:r>
              <w:rPr>
                <w:sz w:val="17"/>
              </w:rPr>
              <w:t xml:space="preserve">Aucun accès permanent ; accès juste-à-temps, approuvé, enregistré ; interdiction d’accès depuis l’étranger sauf urgence approuvée</w:t>
            </w:r>
          </w:p>
        </w:tc>
      </w:tr>
      <w:tr>
        <w:tc>
          <w:tcPr>
            <w:shd w:val="clear" w:color="auto" w:fill="F5F7FB"/>
          </w:tcPr>
          <w:p>
            <w:pPr>
              <w:pStyle w:val="Compact"/>
            </w:pPr>
            <w:r>
              <w:rPr>
                <w:sz w:val="17"/>
              </w:rPr>
              <w:t xml:space="preserve">Code source</w:t>
            </w:r>
          </w:p>
        </w:tc>
        <w:tc>
          <w:tcPr>
            <w:shd w:val="clear" w:color="auto" w:fill="F5F7FB"/>
          </w:tcPr>
          <w:p>
            <w:pPr>
              <w:pStyle w:val="Compact"/>
            </w:pPr>
            <w:r>
              <w:rPr>
                <w:sz w:val="17"/>
              </w:rPr>
              <w:t xml:space="preserve">Propriété de la Province ou licence perpétuelle, irrévocable, cessible, avec droit de modification ; dépôt du code, des scripts d’infrastructure et de la documentation dans un dépôt contrôlé par la Province à chaque version ; séquestre complémentaire</w:t>
            </w:r>
          </w:p>
        </w:tc>
      </w:tr>
      <w:tr>
        <w:tc>
          <w:tcPr/>
          <w:p>
            <w:pPr>
              <w:pStyle w:val="Compact"/>
            </w:pPr>
            <w:r>
              <w:rPr>
                <w:sz w:val="17"/>
              </w:rPr>
              <w:t xml:space="preserve">Standards ouverts</w:t>
            </w:r>
          </w:p>
        </w:tc>
        <w:tc>
          <w:tcPr/>
          <w:p>
            <w:pPr>
              <w:pStyle w:val="Compact"/>
            </w:pPr>
            <w:r>
              <w:rPr>
                <w:sz w:val="17"/>
              </w:rPr>
              <w:t xml:space="preserve">PostgreSQL, OpenAPI, OGC, OIDC, formats ouverts d’export</w:t>
            </w:r>
          </w:p>
        </w:tc>
      </w:tr>
      <w:tr>
        <w:tc>
          <w:tcPr>
            <w:shd w:val="clear" w:color="auto" w:fill="F5F7FB"/>
          </w:tcPr>
          <w:p>
            <w:pPr>
              <w:pStyle w:val="Compact"/>
            </w:pPr>
            <w:r>
              <w:rPr>
                <w:sz w:val="17"/>
              </w:rPr>
              <w:t xml:space="preserve">Portabilité</w:t>
            </w:r>
          </w:p>
        </w:tc>
        <w:tc>
          <w:tcPr>
            <w:shd w:val="clear" w:color="auto" w:fill="F5F7FB"/>
          </w:tcPr>
          <w:p>
            <w:pPr>
              <w:pStyle w:val="Compact"/>
            </w:pPr>
            <w:r>
              <w:rPr>
                <w:sz w:val="17"/>
              </w:rPr>
              <w:t xml:space="preserve">Export complet documenté (données, schémas, règles, journaux, pièces) en moins de 30 jours</w:t>
            </w:r>
          </w:p>
        </w:tc>
      </w:tr>
      <w:tr>
        <w:tc>
          <w:tcPr/>
          <w:p>
            <w:pPr>
              <w:pStyle w:val="Compact"/>
            </w:pPr>
            <w:r>
              <w:rPr>
                <w:sz w:val="17"/>
              </w:rPr>
              <w:t xml:space="preserve">Plan de sortie</w:t>
            </w:r>
          </w:p>
        </w:tc>
        <w:tc>
          <w:tcPr/>
          <w:p>
            <w:pPr>
              <w:pStyle w:val="Compact"/>
            </w:pPr>
            <w:r>
              <w:rPr>
                <w:sz w:val="17"/>
              </w:rPr>
              <w:t xml:space="preserve">Plan de réversibilité testé avant la généralisation ; transfert de compétences ; assistance à la reprise pendant 12 mois</w:t>
            </w:r>
          </w:p>
        </w:tc>
      </w:tr>
      <w:tr>
        <w:tc>
          <w:tcPr>
            <w:shd w:val="clear" w:color="auto" w:fill="F5F7FB"/>
          </w:tcPr>
          <w:p>
            <w:pPr>
              <w:pStyle w:val="Compact"/>
            </w:pPr>
            <w:r>
              <w:rPr>
                <w:sz w:val="17"/>
              </w:rPr>
              <w:t xml:space="preserve">Indépendance</w:t>
            </w:r>
          </w:p>
        </w:tc>
        <w:tc>
          <w:tcPr>
            <w:shd w:val="clear" w:color="auto" w:fill="F5F7FB"/>
          </w:tcPr>
          <w:p>
            <w:pPr>
              <w:pStyle w:val="Compact"/>
            </w:pPr>
            <w:r>
              <w:rPr>
                <w:sz w:val="17"/>
              </w:rPr>
              <w:t xml:space="preserve">Aucun composant propriétaire sans alternative ; pas de dépendance à un seul prestataire de paiement ou de SMS</w:t>
            </w:r>
          </w:p>
        </w:tc>
      </w:tr>
      <w:tr>
        <w:tc>
          <w:tcPr/>
          <w:p>
            <w:pPr>
              <w:pStyle w:val="Compact"/>
            </w:pPr>
            <w:r>
              <w:rPr>
                <w:sz w:val="17"/>
              </w:rPr>
              <w:t xml:space="preserve">Compétences</w:t>
            </w:r>
          </w:p>
        </w:tc>
        <w:tc>
          <w:tcPr/>
          <w:p>
            <w:pPr>
              <w:pStyle w:val="Compact"/>
            </w:pPr>
            <w:r>
              <w:rPr>
                <w:sz w:val="17"/>
              </w:rPr>
              <w:t xml:space="preserve">Équipe provinciale (DSI MOSOLO) formée et associée dès la phase 1 ; cible : exploitation courante par la Province à 36 mois</w:t>
            </w:r>
          </w:p>
        </w:tc>
      </w:tr>
    </w:tbl>
    <w:bookmarkEnd w:id="321"/>
    <w:bookmarkEnd w:id="322"/>
    <w:bookmarkStart w:id="329" w:name="feuille-de-route-de-mise-en-œuvre"/>
    <w:p>
      <w:pPr>
        <w:pStyle w:val="Heading1"/>
      </w:pPr>
      <w:r>
        <w:t xml:space="preserve">34. Feuille de route de mise en œuvre</w:t>
      </w:r>
    </w:p>
    <w:p>
      <w:pPr>
        <w:pStyle w:val="CaptionedFigure"/>
      </w:pPr>
      <w:r>
        <w:drawing>
          <wp:inline>
            <wp:extent cx="6108700" cy="2128587"/>
            <wp:effectExtent b="0" l="0" r="0" t="0"/>
            <wp:docPr descr="Feuille de route KINSHASA MOSOLO" title="" id="324" name="Picture"/>
            <a:graphic>
              <a:graphicData uri="http://schemas.openxmlformats.org/drawingml/2006/picture">
                <pic:pic>
                  <pic:nvPicPr>
                    <pic:cNvPr descr="figures/fig-feuille-de-route.png" id="325" name="Picture"/>
                    <pic:cNvPicPr>
                      <a:picLocks noChangeArrowheads="1" noChangeAspect="1"/>
                    </pic:cNvPicPr>
                  </pic:nvPicPr>
                  <pic:blipFill>
                    <a:blip r:embed="rId323"/>
                    <a:stretch>
                      <a:fillRect/>
                    </a:stretch>
                  </pic:blipFill>
                  <pic:spPr bwMode="auto">
                    <a:xfrm>
                      <a:off x="0" y="0"/>
                      <a:ext cx="6108700" cy="2128587"/>
                    </a:xfrm>
                    <a:prstGeom prst="rect">
                      <a:avLst/>
                    </a:prstGeom>
                    <a:noFill/>
                    <a:ln w="9525">
                      <a:noFill/>
                      <a:headEnd/>
                      <a:tailEnd/>
                    </a:ln>
                  </pic:spPr>
                </pic:pic>
              </a:graphicData>
            </a:graphic>
          </wp:inline>
        </w:drawing>
      </w:r>
    </w:p>
    <w:p>
      <w:pPr>
        <w:pStyle w:val="ImageCaption"/>
      </w:pPr>
      <w:r>
        <w:t xml:space="preserve">Feuille de route KINSHASA MOSOLO</w:t>
      </w:r>
    </w:p>
    <w:bookmarkStart w:id="326" w:name="contrainte-de-calendrier"/>
    <w:p>
      <w:pPr>
        <w:pStyle w:val="Heading2"/>
      </w:pPr>
      <w:r>
        <w:t xml:space="preserve">34.1 Contrainte de calendrier</w:t>
      </w:r>
    </w:p>
    <w:p>
      <w:pPr>
        <w:pStyle w:val="FirstParagraph"/>
      </w:pPr>
      <w:r>
        <w:t xml:space="preserve">Nous sommes fin septembre 2026. La prochaine campagne annuelle de l’impôt foncier et de l’IRL a son échéance en février 2027.</w:t>
      </w:r>
      <w:r>
        <w:t xml:space="preserve"> </w:t>
      </w:r>
      <w:r>
        <w:rPr>
          <w:b/>
          <w:bCs/>
        </w:rPr>
        <w:t xml:space="preserve">Il est irréaliste de livrer la plateforme complète avant cette date.</w:t>
      </w:r>
      <w:r>
        <w:t xml:space="preserve"> </w:t>
      </w:r>
      <w:r>
        <w:t xml:space="preserve">La feuille de route distingue donc :</w:t>
      </w:r>
    </w:p>
    <w:p>
      <w:pPr>
        <w:pStyle w:val="Compact"/>
        <w:numPr>
          <w:ilvl w:val="0"/>
          <w:numId w:val="1021"/>
        </w:numPr>
      </w:pPr>
      <w:r>
        <w:t xml:space="preserve">une</w:t>
      </w:r>
      <w:r>
        <w:t xml:space="preserve"> </w:t>
      </w:r>
      <w:r>
        <w:rPr>
          <w:b/>
          <w:bCs/>
        </w:rPr>
        <w:t xml:space="preserve">version R0 « recensement »</w:t>
      </w:r>
      <w:r>
        <w:t xml:space="preserve"> </w:t>
      </w:r>
      <w:r>
        <w:t xml:space="preserve">(application terrain hors ligne, registre des objets, référentiel territorial, carte) opérationnelle en décembre 2026 dans des quartiers échantillons des quatre communes pilotes ;</w:t>
      </w:r>
    </w:p>
    <w:p>
      <w:pPr>
        <w:pStyle w:val="Compact"/>
        <w:numPr>
          <w:ilvl w:val="0"/>
          <w:numId w:val="1021"/>
        </w:numPr>
      </w:pPr>
      <w:r>
        <w:t xml:space="preserve">un</w:t>
      </w:r>
      <w:r>
        <w:t xml:space="preserve"> </w:t>
      </w:r>
      <w:r>
        <w:rPr>
          <w:b/>
          <w:bCs/>
        </w:rPr>
        <w:t xml:space="preserve">test partiel de février 2027</w:t>
      </w:r>
      <w:r>
        <w:t xml:space="preserve"> </w:t>
      </w:r>
      <w:r>
        <w:t xml:space="preserve">: pour les objets recensés, préparation d’avis pré-remplis et de références de paiement, soit par MOSOLO R1 si prêt,</w:t>
      </w:r>
      <w:r>
        <w:t xml:space="preserve"> </w:t>
      </w:r>
      <w:r>
        <w:rPr>
          <w:b/>
          <w:bCs/>
        </w:rPr>
        <w:t xml:space="preserve">soit par export vers la plateforme de déclaration existante de la régie</w:t>
      </w:r>
      <w:r>
        <w:t xml:space="preserve"> </w:t>
      </w:r>
      <w:r>
        <w:t xml:space="preserve">(plan de repli) ; mesure des effets du recensement sur les déclarations ;</w:t>
      </w:r>
    </w:p>
    <w:p>
      <w:pPr>
        <w:pStyle w:val="Compact"/>
        <w:numPr>
          <w:ilvl w:val="0"/>
          <w:numId w:val="1021"/>
        </w:numPr>
      </w:pPr>
      <w:r>
        <w:t xml:space="preserve">un</w:t>
      </w:r>
      <w:r>
        <w:t xml:space="preserve"> </w:t>
      </w:r>
      <w:r>
        <w:rPr>
          <w:b/>
          <w:bCs/>
        </w:rPr>
        <w:t xml:space="preserve">pilote complet de 180 jours</w:t>
      </w:r>
      <w:r>
        <w:t xml:space="preserve"> </w:t>
      </w:r>
      <w:r>
        <w:t xml:space="preserve">(février–juillet 2027) avec la chaîne financière complète ;</w:t>
      </w:r>
    </w:p>
    <w:p>
      <w:pPr>
        <w:pStyle w:val="Compact"/>
        <w:numPr>
          <w:ilvl w:val="0"/>
          <w:numId w:val="1021"/>
        </w:numPr>
      </w:pPr>
      <w:r>
        <w:t xml:space="preserve">l’extension et la généralisation</w:t>
      </w:r>
      <w:r>
        <w:t xml:space="preserve"> </w:t>
      </w:r>
      <w:r>
        <w:rPr>
          <w:b/>
          <w:bCs/>
        </w:rPr>
        <w:t xml:space="preserve">conditionnées à des résultats audités</w:t>
      </w:r>
      <w:r>
        <w:t xml:space="preserve">.</w:t>
      </w:r>
    </w:p>
    <w:bookmarkEnd w:id="326"/>
    <w:bookmarkStart w:id="327" w:name="phases"/>
    <w:p>
      <w:pPr>
        <w:pStyle w:val="Heading2"/>
      </w:pPr>
      <w:r>
        <w:t xml:space="preserve">34.2 Phases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shd w:val="clear" w:color="auto" w:fill="232C6B"/>
          </w:tcPr>
          <w:p>
            <w:pPr>
              <w:pStyle w:val="Compact"/>
            </w:pPr>
            <w:r>
              <w:rPr>
                <w:b/>
                <w:color w:val="FFFFFF"/>
                <w:sz w:val="17"/>
              </w:rPr>
              <w:t xml:space="preserve">Phase</w:t>
            </w:r>
          </w:p>
        </w:tc>
        <w:tc>
          <w:tcPr>
            <w:shd w:val="clear" w:color="auto" w:fill="232C6B"/>
          </w:tcPr>
          <w:p>
            <w:pPr>
              <w:pStyle w:val="Compact"/>
            </w:pPr>
            <w:r>
              <w:rPr>
                <w:b/>
                <w:color w:val="FFFFFF"/>
                <w:sz w:val="17"/>
              </w:rPr>
              <w:t xml:space="preserve">Durée</w:t>
            </w:r>
          </w:p>
        </w:tc>
        <w:tc>
          <w:tcPr>
            <w:shd w:val="clear" w:color="auto" w:fill="232C6B"/>
          </w:tcPr>
          <w:p>
            <w:pPr>
              <w:pStyle w:val="Compact"/>
            </w:pPr>
            <w:r>
              <w:rPr>
                <w:b/>
                <w:color w:val="FFFFFF"/>
                <w:sz w:val="17"/>
              </w:rPr>
              <w:t xml:space="preserve">Objectifs</w:t>
            </w:r>
          </w:p>
        </w:tc>
        <w:tc>
          <w:tcPr>
            <w:shd w:val="clear" w:color="auto" w:fill="232C6B"/>
          </w:tcPr>
          <w:p>
            <w:pPr>
              <w:pStyle w:val="Compact"/>
            </w:pPr>
            <w:r>
              <w:rPr>
                <w:b/>
                <w:color w:val="FFFFFF"/>
                <w:sz w:val="17"/>
              </w:rPr>
              <w:t xml:space="preserve">Livrables</w:t>
            </w:r>
          </w:p>
        </w:tc>
        <w:tc>
          <w:tcPr>
            <w:shd w:val="clear" w:color="auto" w:fill="232C6B"/>
          </w:tcPr>
          <w:p>
            <w:pPr>
              <w:pStyle w:val="Compact"/>
            </w:pPr>
            <w:r>
              <w:rPr>
                <w:b/>
                <w:color w:val="FFFFFF"/>
                <w:sz w:val="17"/>
              </w:rPr>
              <w:t xml:space="preserve">Autorité responsable</w:t>
            </w:r>
          </w:p>
        </w:tc>
        <w:tc>
          <w:tcPr>
            <w:shd w:val="clear" w:color="auto" w:fill="232C6B"/>
          </w:tcPr>
          <w:p>
            <w:pPr>
              <w:pStyle w:val="Compact"/>
            </w:pPr>
            <w:r>
              <w:rPr>
                <w:b/>
                <w:color w:val="FFFFFF"/>
                <w:sz w:val="17"/>
              </w:rPr>
              <w:t xml:space="preserve">Dépendances</w:t>
            </w:r>
          </w:p>
        </w:tc>
        <w:tc>
          <w:tcPr>
            <w:shd w:val="clear" w:color="auto" w:fill="232C6B"/>
          </w:tcPr>
          <w:p>
            <w:pPr>
              <w:pStyle w:val="Compact"/>
            </w:pPr>
            <w:r>
              <w:rPr>
                <w:b/>
                <w:color w:val="FFFFFF"/>
                <w:sz w:val="17"/>
              </w:rPr>
              <w:t xml:space="preserve">Catégories de budget</w:t>
            </w:r>
          </w:p>
        </w:tc>
        <w:tc>
          <w:tcPr>
            <w:shd w:val="clear" w:color="auto" w:fill="232C6B"/>
          </w:tcPr>
          <w:p>
            <w:pPr>
              <w:pStyle w:val="Compact"/>
            </w:pPr>
            <w:r>
              <w:rPr>
                <w:b/>
                <w:color w:val="FFFFFF"/>
                <w:sz w:val="17"/>
              </w:rPr>
              <w:t xml:space="preserve">Risques</w:t>
            </w:r>
          </w:p>
        </w:tc>
        <w:tc>
          <w:tcPr>
            <w:shd w:val="clear" w:color="auto" w:fill="232C6B"/>
          </w:tcPr>
          <w:p>
            <w:pPr>
              <w:pStyle w:val="Compact"/>
            </w:pPr>
            <w:r>
              <w:rPr>
                <w:b/>
                <w:color w:val="FFFFFF"/>
                <w:sz w:val="17"/>
              </w:rPr>
              <w:t xml:space="preserve">Critères de succès</w:t>
            </w:r>
          </w:p>
        </w:tc>
        <w:tc>
          <w:tcPr>
            <w:shd w:val="clear" w:color="auto" w:fill="232C6B"/>
          </w:tcPr>
          <w:p>
            <w:pPr>
              <w:pStyle w:val="Compact"/>
            </w:pPr>
            <w:r>
              <w:rPr>
                <w:b/>
                <w:color w:val="FFFFFF"/>
                <w:sz w:val="17"/>
              </w:rPr>
              <w:t xml:space="preserve">Porte d’approbation</w:t>
            </w:r>
          </w:p>
        </w:tc>
      </w:tr>
      <w:tr>
        <w:tc>
          <w:tcPr/>
          <w:p>
            <w:pPr>
              <w:pStyle w:val="Compact"/>
            </w:pPr>
            <w:r>
              <w:rPr>
                <w:b/>
                <w:bCs/>
                <w:sz w:val="17"/>
              </w:rPr>
              <w:t xml:space="preserve">0 — Mandat et mobilisation juridique</w:t>
            </w:r>
          </w:p>
        </w:tc>
        <w:tc>
          <w:tcPr/>
          <w:p>
            <w:pPr>
              <w:pStyle w:val="Compact"/>
            </w:pPr>
            <w:r>
              <w:rPr>
                <w:sz w:val="17"/>
              </w:rPr>
              <w:t xml:space="preserve">Oct.–nov. 2026 (2 mois)</w:t>
            </w:r>
          </w:p>
        </w:tc>
        <w:tc>
          <w:tcPr/>
          <w:p>
            <w:pPr>
              <w:pStyle w:val="Compact"/>
            </w:pPr>
            <w:r>
              <w:rPr>
                <w:sz w:val="17"/>
              </w:rPr>
              <w:t xml:space="preserve">Mandat, gouvernance, relevé juridique, inventaire des systèmes, base de référence, contrôles de risque</w:t>
            </w:r>
          </w:p>
        </w:tc>
        <w:tc>
          <w:tcPr/>
          <w:p>
            <w:pPr>
              <w:pStyle w:val="Compact"/>
            </w:pPr>
            <w:r>
              <w:rPr>
                <w:sz w:val="17"/>
              </w:rPr>
              <w:t xml:space="preserve">Arrêté de mandat ; comité de pilotage ; relevé juridique certifié v1 (IF, IRL, véhicules) ; inventaire des recettes, comptes et systèmes ; protocole de base de référence ; délégué à la protection des données nommé</w:t>
            </w:r>
          </w:p>
        </w:tc>
        <w:tc>
          <w:tcPr/>
          <w:p>
            <w:pPr>
              <w:pStyle w:val="Compact"/>
            </w:pPr>
            <w:r>
              <w:rPr>
                <w:sz w:val="17"/>
              </w:rPr>
              <w:t xml:space="preserve">Gouverneur ; ministre provincial des Finances</w:t>
            </w:r>
          </w:p>
        </w:tc>
        <w:tc>
          <w:tcPr/>
          <w:p>
            <w:pPr>
              <w:pStyle w:val="Compact"/>
            </w:pPr>
            <w:r>
              <w:rPr>
                <w:sz w:val="17"/>
              </w:rPr>
              <w:t xml:space="preserve">Décisions 1 à 5 (ch. 47)</w:t>
            </w:r>
          </w:p>
        </w:tc>
        <w:tc>
          <w:tcPr/>
          <w:p>
            <w:pPr>
              <w:pStyle w:val="Compact"/>
            </w:pPr>
            <w:r>
              <w:rPr>
                <w:sz w:val="17"/>
              </w:rPr>
              <w:t xml:space="preserve">Programme, juridique, audit de base</w:t>
            </w:r>
          </w:p>
        </w:tc>
        <w:tc>
          <w:tcPr/>
          <w:p>
            <w:pPr>
              <w:pStyle w:val="Compact"/>
            </w:pPr>
            <w:r>
              <w:rPr>
                <w:sz w:val="17"/>
              </w:rPr>
              <w:t xml:space="preserve">Retard de décision ; textes introuvables</w:t>
            </w:r>
          </w:p>
        </w:tc>
        <w:tc>
          <w:tcPr/>
          <w:p>
            <w:pPr>
              <w:pStyle w:val="Compact"/>
            </w:pPr>
            <w:r>
              <w:rPr>
                <w:sz w:val="17"/>
              </w:rPr>
              <w:t xml:space="preserve">Relevé juridique certifié pour les 3 impôts ; base de référence lancée</w:t>
            </w:r>
          </w:p>
        </w:tc>
        <w:tc>
          <w:tcPr/>
          <w:p>
            <w:pPr>
              <w:pStyle w:val="Compact"/>
            </w:pPr>
            <w:r>
              <w:rPr>
                <w:sz w:val="17"/>
              </w:rPr>
              <w:t xml:space="preserve">G0 : Comité de pilotage</w:t>
            </w:r>
          </w:p>
        </w:tc>
      </w:tr>
      <w:tr>
        <w:tc>
          <w:tcPr>
            <w:shd w:val="clear" w:color="auto" w:fill="F5F7FB"/>
          </w:tcPr>
          <w:p>
            <w:pPr>
              <w:pStyle w:val="Compact"/>
            </w:pPr>
            <w:r>
              <w:rPr>
                <w:b/>
                <w:bCs/>
                <w:sz w:val="17"/>
              </w:rPr>
              <w:t xml:space="preserve">1 — Découverte et architecture</w:t>
            </w:r>
          </w:p>
        </w:tc>
        <w:tc>
          <w:tcPr>
            <w:shd w:val="clear" w:color="auto" w:fill="F5F7FB"/>
          </w:tcPr>
          <w:p>
            <w:pPr>
              <w:pStyle w:val="Compact"/>
            </w:pPr>
            <w:r>
              <w:rPr>
                <w:sz w:val="17"/>
              </w:rPr>
              <w:t xml:space="preserve">Nov. 2026–janv. 2027 (3 mois)</w:t>
            </w:r>
          </w:p>
        </w:tc>
        <w:tc>
          <w:tcPr>
            <w:shd w:val="clear" w:color="auto" w:fill="F5F7FB"/>
          </w:tcPr>
          <w:p>
            <w:pPr>
              <w:pStyle w:val="Compact"/>
            </w:pPr>
            <w:r>
              <w:rPr>
                <w:sz w:val="17"/>
              </w:rPr>
              <w:t xml:space="preserve">Cartographie des processus, consultations, audit des systèmes existants (dont la plateforme de déclaration de la régie), audit des données, recherche utilisateurs, exigences, architecture de sécurité, choix des quartiers pilotes</w:t>
            </w:r>
          </w:p>
        </w:tc>
        <w:tc>
          <w:tcPr>
            <w:shd w:val="clear" w:color="auto" w:fill="F5F7FB"/>
          </w:tcPr>
          <w:p>
            <w:pPr>
              <w:pStyle w:val="Compact"/>
            </w:pPr>
            <w:r>
              <w:rPr>
                <w:sz w:val="17"/>
              </w:rPr>
              <w:t xml:space="preserve">Processus cibles ; dossier d’architecture ; plan de migration/intégration de l’existant ; analyse d’impact protection des données ; plan de sécurité ; backlog priorisé</w:t>
            </w:r>
          </w:p>
        </w:tc>
        <w:tc>
          <w:tcPr>
            <w:shd w:val="clear" w:color="auto" w:fill="F5F7FB"/>
          </w:tcPr>
          <w:p>
            <w:pPr>
              <w:pStyle w:val="Compact"/>
            </w:pPr>
            <w:r>
              <w:rPr>
                <w:sz w:val="17"/>
              </w:rPr>
              <w:t xml:space="preserve">Directeur de programme ; DGIPK ; DGTK ; DSI</w:t>
            </w:r>
          </w:p>
        </w:tc>
        <w:tc>
          <w:tcPr>
            <w:shd w:val="clear" w:color="auto" w:fill="F5F7FB"/>
          </w:tcPr>
          <w:p>
            <w:pPr>
              <w:pStyle w:val="Compact"/>
            </w:pPr>
            <w:r>
              <w:rPr>
                <w:sz w:val="17"/>
              </w:rPr>
              <w:t xml:space="preserve">Phase 0</w:t>
            </w:r>
          </w:p>
        </w:tc>
        <w:tc>
          <w:tcPr>
            <w:shd w:val="clear" w:color="auto" w:fill="F5F7FB"/>
          </w:tcPr>
          <w:p>
            <w:pPr>
              <w:pStyle w:val="Compact"/>
            </w:pPr>
            <w:r>
              <w:rPr>
                <w:sz w:val="17"/>
              </w:rPr>
              <w:t xml:space="preserve">Conception, études utilisateurs</w:t>
            </w:r>
          </w:p>
        </w:tc>
        <w:tc>
          <w:tcPr>
            <w:shd w:val="clear" w:color="auto" w:fill="F5F7FB"/>
          </w:tcPr>
          <w:p>
            <w:pPr>
              <w:pStyle w:val="Compact"/>
            </w:pPr>
            <w:r>
              <w:rPr>
                <w:sz w:val="17"/>
              </w:rPr>
              <w:t xml:space="preserve">Résistance des services ; données inexploitables</w:t>
            </w:r>
          </w:p>
        </w:tc>
        <w:tc>
          <w:tcPr>
            <w:shd w:val="clear" w:color="auto" w:fill="F5F7FB"/>
          </w:tcPr>
          <w:p>
            <w:pPr>
              <w:pStyle w:val="Compact"/>
            </w:pPr>
            <w:r>
              <w:rPr>
                <w:sz w:val="17"/>
              </w:rPr>
              <w:t xml:space="preserve">Architecture validée ; plan d’intégration de l’existant accepté par la régie</w:t>
            </w:r>
          </w:p>
        </w:tc>
        <w:tc>
          <w:tcPr>
            <w:shd w:val="clear" w:color="auto" w:fill="F5F7FB"/>
          </w:tcPr>
          <w:p>
            <w:pPr>
              <w:pStyle w:val="Compact"/>
            </w:pPr>
            <w:r>
              <w:rPr>
                <w:sz w:val="17"/>
              </w:rPr>
              <w:t xml:space="preserve">G1 : Comité de pilotage + comité de sécurité</w:t>
            </w:r>
          </w:p>
        </w:tc>
      </w:tr>
      <w:tr>
        <w:tc>
          <w:tcPr/>
          <w:p>
            <w:pPr>
              <w:pStyle w:val="Compact"/>
            </w:pPr>
            <w:r>
              <w:rPr>
                <w:b/>
                <w:bCs/>
                <w:sz w:val="17"/>
              </w:rPr>
              <w:t xml:space="preserve">2 — Socle (R0 → R1)</w:t>
            </w:r>
          </w:p>
        </w:tc>
        <w:tc>
          <w:tcPr/>
          <w:p>
            <w:pPr>
              <w:pStyle w:val="Compact"/>
            </w:pPr>
            <w:r>
              <w:rPr>
                <w:sz w:val="17"/>
              </w:rPr>
              <w:t xml:space="preserve">Déc. 2026–mai 2027 (6 mois)</w:t>
            </w:r>
          </w:p>
        </w:tc>
        <w:tc>
          <w:tcPr/>
          <w:p>
            <w:pPr>
              <w:pStyle w:val="Compact"/>
            </w:pPr>
            <w:r>
              <w:rPr>
                <w:sz w:val="17"/>
              </w:rPr>
              <w:t xml:space="preserve">Identité, compte, objets, règles, paiements, quittances, SIG, audit, application terrain, tableaux de bord</w:t>
            </w:r>
          </w:p>
        </w:tc>
        <w:tc>
          <w:tcPr/>
          <w:p>
            <w:pPr>
              <w:pStyle w:val="Compact"/>
            </w:pPr>
            <w:r>
              <w:rPr>
                <w:sz w:val="17"/>
              </w:rPr>
              <w:t xml:space="preserve">R0 (déc. 2026) : recensement ; R1 (avril 2027) : chaîne complète IF/IRL/véhicules</w:t>
            </w:r>
          </w:p>
        </w:tc>
        <w:tc>
          <w:tcPr/>
          <w:p>
            <w:pPr>
              <w:pStyle w:val="Compact"/>
            </w:pPr>
            <w:r>
              <w:rPr>
                <w:sz w:val="17"/>
              </w:rPr>
              <w:t xml:space="preserve">Directeur de programme</w:t>
            </w:r>
          </w:p>
        </w:tc>
        <w:tc>
          <w:tcPr/>
          <w:p>
            <w:pPr>
              <w:pStyle w:val="Compact"/>
            </w:pPr>
            <w:r>
              <w:rPr>
                <w:sz w:val="17"/>
              </w:rPr>
              <w:t xml:space="preserve">Hébergement ; conventions bancaires ; règles certifiées</w:t>
            </w:r>
          </w:p>
        </w:tc>
        <w:tc>
          <w:tcPr/>
          <w:p>
            <w:pPr>
              <w:pStyle w:val="Compact"/>
            </w:pPr>
            <w:r>
              <w:rPr>
                <w:sz w:val="17"/>
              </w:rPr>
              <w:t xml:space="preserve">Développement, hébergement, sécurité, équipements</w:t>
            </w:r>
          </w:p>
        </w:tc>
        <w:tc>
          <w:tcPr/>
          <w:p>
            <w:pPr>
              <w:pStyle w:val="Compact"/>
            </w:pPr>
            <w:r>
              <w:rPr>
                <w:sz w:val="17"/>
              </w:rPr>
              <w:t xml:space="preserve">Glissement ; intégrations bancaires lentes</w:t>
            </w:r>
          </w:p>
        </w:tc>
        <w:tc>
          <w:tcPr/>
          <w:p>
            <w:pPr>
              <w:pStyle w:val="Compact"/>
            </w:pPr>
            <w:r>
              <w:rPr>
                <w:sz w:val="17"/>
              </w:rPr>
              <w:t xml:space="preserve">Tests d’acceptation ch. 41 au vert ; test d’intrusion sans vulnérabilité critique</w:t>
            </w:r>
          </w:p>
        </w:tc>
        <w:tc>
          <w:tcPr/>
          <w:p>
            <w:pPr>
              <w:pStyle w:val="Compact"/>
            </w:pPr>
            <w:r>
              <w:rPr>
                <w:sz w:val="17"/>
              </w:rPr>
              <w:t xml:space="preserve">G2 : mise en production (comité des changements)</w:t>
            </w:r>
          </w:p>
        </w:tc>
      </w:tr>
      <w:tr>
        <w:tc>
          <w:tcPr>
            <w:shd w:val="clear" w:color="auto" w:fill="F5F7FB"/>
          </w:tcPr>
          <w:p>
            <w:pPr>
              <w:pStyle w:val="Compact"/>
            </w:pPr>
            <w:r>
              <w:rPr>
                <w:b/>
                <w:bCs/>
                <w:sz w:val="17"/>
              </w:rPr>
              <w:t xml:space="preserve">3 — Pilote</w:t>
            </w:r>
          </w:p>
        </w:tc>
        <w:tc>
          <w:tcPr>
            <w:shd w:val="clear" w:color="auto" w:fill="F5F7FB"/>
          </w:tcPr>
          <w:p>
            <w:pPr>
              <w:pStyle w:val="Compact"/>
            </w:pPr>
            <w:r>
              <w:rPr>
                <w:sz w:val="17"/>
              </w:rPr>
              <w:t xml:space="preserve">Févr.–juil. 2027 (180 jours)</w:t>
            </w:r>
          </w:p>
        </w:tc>
        <w:tc>
          <w:tcPr>
            <w:shd w:val="clear" w:color="auto" w:fill="F5F7FB"/>
          </w:tcPr>
          <w:p>
            <w:pPr>
              <w:pStyle w:val="Compact"/>
            </w:pPr>
            <w:r>
              <w:rPr>
                <w:sz w:val="17"/>
              </w:rPr>
              <w:t xml:space="preserve">Démontrer, dans 4 communes représentatives, les gains nets, le rapprochement et la maîtrise des risques</w:t>
            </w:r>
          </w:p>
        </w:tc>
        <w:tc>
          <w:tcPr>
            <w:shd w:val="clear" w:color="auto" w:fill="F5F7FB"/>
          </w:tcPr>
          <w:p>
            <w:pPr>
              <w:pStyle w:val="Compact"/>
            </w:pPr>
            <w:r>
              <w:rPr>
                <w:sz w:val="17"/>
              </w:rPr>
              <w:t xml:space="preserve">Rapport d’évaluation indépendant</w:t>
            </w:r>
          </w:p>
        </w:tc>
        <w:tc>
          <w:tcPr>
            <w:shd w:val="clear" w:color="auto" w:fill="F5F7FB"/>
          </w:tcPr>
          <w:p>
            <w:pPr>
              <w:pStyle w:val="Compact"/>
            </w:pPr>
            <w:r>
              <w:rPr>
                <w:sz w:val="17"/>
              </w:rPr>
              <w:t xml:space="preserve">Comité de pilotage ; évaluateur indépendant</w:t>
            </w:r>
          </w:p>
        </w:tc>
        <w:tc>
          <w:tcPr>
            <w:shd w:val="clear" w:color="auto" w:fill="F5F7FB"/>
          </w:tcPr>
          <w:p>
            <w:pPr>
              <w:pStyle w:val="Compact"/>
            </w:pPr>
            <w:r>
              <w:rPr>
                <w:sz w:val="17"/>
              </w:rPr>
              <w:t xml:space="preserve">R1 ; équipes terrain ; financement des moyens physiques</w:t>
            </w:r>
          </w:p>
        </w:tc>
        <w:tc>
          <w:tcPr>
            <w:shd w:val="clear" w:color="auto" w:fill="F5F7FB"/>
          </w:tcPr>
          <w:p>
            <w:pPr>
              <w:pStyle w:val="Compact"/>
            </w:pPr>
            <w:r>
              <w:rPr>
                <w:sz w:val="17"/>
              </w:rPr>
              <w:t xml:space="preserve">Terrain, communication, évaluation</w:t>
            </w:r>
          </w:p>
        </w:tc>
        <w:tc>
          <w:tcPr>
            <w:shd w:val="clear" w:color="auto" w:fill="F5F7FB"/>
          </w:tcPr>
          <w:p>
            <w:pPr>
              <w:pStyle w:val="Compact"/>
            </w:pPr>
            <w:r>
              <w:rPr>
                <w:sz w:val="17"/>
              </w:rPr>
              <w:t xml:space="preserve">Faible adoption ; incidents</w:t>
            </w:r>
          </w:p>
        </w:tc>
        <w:tc>
          <w:tcPr>
            <w:shd w:val="clear" w:color="auto" w:fill="F5F7FB"/>
          </w:tcPr>
          <w:p>
            <w:pPr>
              <w:pStyle w:val="Compact"/>
            </w:pPr>
            <w:r>
              <w:rPr>
                <w:sz w:val="17"/>
              </w:rPr>
              <w:t xml:space="preserve">Critères § 45.3</w:t>
            </w:r>
          </w:p>
        </w:tc>
        <w:tc>
          <w:tcPr>
            <w:shd w:val="clear" w:color="auto" w:fill="F5F7FB"/>
          </w:tcPr>
          <w:p>
            <w:pPr>
              <w:pStyle w:val="Compact"/>
            </w:pPr>
            <w:r>
              <w:rPr>
                <w:sz w:val="17"/>
              </w:rPr>
              <w:t xml:space="preserve">G3 : décision de généralisation par le Gouverneur, sur rapport indépendant</w:t>
            </w:r>
          </w:p>
        </w:tc>
      </w:tr>
      <w:tr>
        <w:tc>
          <w:tcPr/>
          <w:p>
            <w:pPr>
              <w:pStyle w:val="Compact"/>
            </w:pPr>
            <w:r>
              <w:rPr>
                <w:b/>
                <w:bCs/>
                <w:sz w:val="17"/>
              </w:rPr>
              <w:t xml:space="preserve">4 — Extension</w:t>
            </w:r>
          </w:p>
        </w:tc>
        <w:tc>
          <w:tcPr/>
          <w:p>
            <w:pPr>
              <w:pStyle w:val="Compact"/>
            </w:pPr>
            <w:r>
              <w:rPr>
                <w:sz w:val="17"/>
              </w:rPr>
              <w:t xml:space="preserve">Août 2027–mars 2028</w:t>
            </w:r>
          </w:p>
        </w:tc>
        <w:tc>
          <w:tcPr/>
          <w:p>
            <w:pPr>
              <w:pStyle w:val="Compact"/>
            </w:pPr>
            <w:r>
              <w:rPr>
                <w:sz w:val="17"/>
              </w:rPr>
              <w:t xml:space="preserve">Nouvelles communes, recettes (patente, publicité, antennes, marchés, stationnement), canaux, intégrations</w:t>
            </w:r>
          </w:p>
        </w:tc>
        <w:tc>
          <w:tcPr/>
          <w:p>
            <w:pPr>
              <w:pStyle w:val="Compact"/>
            </w:pPr>
            <w:r>
              <w:rPr>
                <w:sz w:val="17"/>
              </w:rPr>
              <w:t xml:space="preserve">R2, R3</w:t>
            </w:r>
          </w:p>
        </w:tc>
        <w:tc>
          <w:tcPr/>
          <w:p>
            <w:pPr>
              <w:pStyle w:val="Compact"/>
            </w:pPr>
            <w:r>
              <w:rPr>
                <w:sz w:val="17"/>
              </w:rPr>
              <w:t xml:space="preserve">Régies ; ministères</w:t>
            </w:r>
          </w:p>
        </w:tc>
        <w:tc>
          <w:tcPr/>
          <w:p>
            <w:pPr>
              <w:pStyle w:val="Compact"/>
            </w:pPr>
            <w:r>
              <w:rPr>
                <w:sz w:val="17"/>
              </w:rPr>
              <w:t xml:space="preserve">Actes (zonage, tarifs) ; protocoles</w:t>
            </w:r>
          </w:p>
        </w:tc>
        <w:tc>
          <w:tcPr/>
          <w:p>
            <w:pPr>
              <w:pStyle w:val="Compact"/>
            </w:pPr>
            <w:r>
              <w:rPr>
                <w:sz w:val="17"/>
              </w:rPr>
              <w:t xml:space="preserve">Terrain, intégrations</w:t>
            </w:r>
          </w:p>
        </w:tc>
        <w:tc>
          <w:tcPr/>
          <w:p>
            <w:pPr>
              <w:pStyle w:val="Compact"/>
            </w:pPr>
            <w:r>
              <w:rPr>
                <w:sz w:val="17"/>
              </w:rPr>
              <w:t xml:space="preserve">Dispersion</w:t>
            </w:r>
          </w:p>
        </w:tc>
        <w:tc>
          <w:tcPr/>
          <w:p>
            <w:pPr>
              <w:pStyle w:val="Compact"/>
            </w:pPr>
            <w:r>
              <w:rPr>
                <w:sz w:val="17"/>
              </w:rPr>
              <w:t xml:space="preserve">Couverture et rapprochement tenus à l’échelle</w:t>
            </w:r>
          </w:p>
        </w:tc>
        <w:tc>
          <w:tcPr/>
          <w:p>
            <w:pPr>
              <w:pStyle w:val="Compact"/>
            </w:pPr>
            <w:r>
              <w:rPr>
                <w:sz w:val="17"/>
              </w:rPr>
              <w:t xml:space="preserve">G4</w:t>
            </w:r>
          </w:p>
        </w:tc>
      </w:tr>
      <w:tr>
        <w:tc>
          <w:tcPr>
            <w:shd w:val="clear" w:color="auto" w:fill="F5F7FB"/>
          </w:tcPr>
          <w:p>
            <w:pPr>
              <w:pStyle w:val="Compact"/>
            </w:pPr>
            <w:r>
              <w:rPr>
                <w:b/>
                <w:bCs/>
                <w:sz w:val="17"/>
              </w:rPr>
              <w:t xml:space="preserve">5 — Généralisation</w:t>
            </w:r>
          </w:p>
        </w:tc>
        <w:tc>
          <w:tcPr>
            <w:shd w:val="clear" w:color="auto" w:fill="F5F7FB"/>
          </w:tcPr>
          <w:p>
            <w:pPr>
              <w:pStyle w:val="Compact"/>
            </w:pPr>
            <w:r>
              <w:rPr>
                <w:sz w:val="17"/>
              </w:rPr>
              <w:t xml:space="preserve">Janv. 2028–déc. 2028</w:t>
            </w:r>
          </w:p>
        </w:tc>
        <w:tc>
          <w:tcPr>
            <w:shd w:val="clear" w:color="auto" w:fill="F5F7FB"/>
          </w:tcPr>
          <w:p>
            <w:pPr>
              <w:pStyle w:val="Compact"/>
            </w:pPr>
            <w:r>
              <w:rPr>
                <w:sz w:val="17"/>
              </w:rPr>
              <w:t xml:space="preserve">24 communes ; toutes recettes certifiées ; reprise de l’existant</w:t>
            </w:r>
          </w:p>
        </w:tc>
        <w:tc>
          <w:tcPr>
            <w:shd w:val="clear" w:color="auto" w:fill="F5F7FB"/>
          </w:tcPr>
          <w:p>
            <w:pPr>
              <w:pStyle w:val="Compact"/>
            </w:pPr>
            <w:r>
              <w:rPr>
                <w:sz w:val="17"/>
              </w:rPr>
              <w:t xml:space="preserve">R4 ; décommissionnement contrôlé des systèmes remplacés</w:t>
            </w:r>
          </w:p>
        </w:tc>
        <w:tc>
          <w:tcPr>
            <w:shd w:val="clear" w:color="auto" w:fill="F5F7FB"/>
          </w:tcPr>
          <w:p>
            <w:pPr>
              <w:pStyle w:val="Compact"/>
            </w:pPr>
            <w:r>
              <w:rPr>
                <w:sz w:val="17"/>
              </w:rPr>
              <w:t xml:space="preserve">Gouvernement provincial</w:t>
            </w:r>
          </w:p>
        </w:tc>
        <w:tc>
          <w:tcPr>
            <w:shd w:val="clear" w:color="auto" w:fill="F5F7FB"/>
          </w:tcPr>
          <w:p>
            <w:pPr>
              <w:pStyle w:val="Compact"/>
            </w:pPr>
            <w:r>
              <w:rPr>
                <w:sz w:val="17"/>
              </w:rPr>
              <w:t xml:space="preserve">Budget ; équipes provinciales formées</w:t>
            </w:r>
          </w:p>
        </w:tc>
        <w:tc>
          <w:tcPr>
            <w:shd w:val="clear" w:color="auto" w:fill="F5F7FB"/>
          </w:tcPr>
          <w:p>
            <w:pPr>
              <w:pStyle w:val="Compact"/>
            </w:pPr>
            <w:r>
              <w:rPr>
                <w:sz w:val="17"/>
              </w:rPr>
              <w:t xml:space="preserve">Extension, transfert de compétences</w:t>
            </w:r>
          </w:p>
        </w:tc>
        <w:tc>
          <w:tcPr>
            <w:shd w:val="clear" w:color="auto" w:fill="F5F7FB"/>
          </w:tcPr>
          <w:p>
            <w:pPr>
              <w:pStyle w:val="Compact"/>
            </w:pPr>
            <w:r>
              <w:rPr>
                <w:sz w:val="17"/>
              </w:rPr>
              <w:t xml:space="preserve">Charge ; qualité</w:t>
            </w:r>
          </w:p>
        </w:tc>
        <w:tc>
          <w:tcPr>
            <w:shd w:val="clear" w:color="auto" w:fill="F5F7FB"/>
          </w:tcPr>
          <w:p>
            <w:pPr>
              <w:pStyle w:val="Compact"/>
            </w:pPr>
            <w:r>
              <w:rPr>
                <w:sz w:val="17"/>
              </w:rPr>
              <w:t xml:space="preserve">Exercice de réversibilité réussi</w:t>
            </w:r>
          </w:p>
        </w:tc>
        <w:tc>
          <w:tcPr>
            <w:shd w:val="clear" w:color="auto" w:fill="F5F7FB"/>
          </w:tcPr>
          <w:p>
            <w:pPr>
              <w:pStyle w:val="Compact"/>
            </w:pPr>
            <w:r>
              <w:rPr>
                <w:sz w:val="17"/>
              </w:rPr>
              <w:t xml:space="preserve">G5</w:t>
            </w:r>
          </w:p>
        </w:tc>
      </w:tr>
      <w:tr>
        <w:tc>
          <w:tcPr/>
          <w:p>
            <w:pPr>
              <w:pStyle w:val="Compact"/>
            </w:pPr>
            <w:r>
              <w:rPr>
                <w:b/>
                <w:bCs/>
                <w:sz w:val="17"/>
              </w:rPr>
              <w:t xml:space="preserve">6 — Optimisation</w:t>
            </w:r>
          </w:p>
        </w:tc>
        <w:tc>
          <w:tcPr/>
          <w:p>
            <w:pPr>
              <w:pStyle w:val="Compact"/>
            </w:pPr>
            <w:r>
              <w:rPr>
                <w:sz w:val="17"/>
              </w:rPr>
              <w:t xml:space="preserve">Continu à partir d’oct. 2028</w:t>
            </w:r>
          </w:p>
        </w:tc>
        <w:tc>
          <w:tcPr/>
          <w:p>
            <w:pPr>
              <w:pStyle w:val="Compact"/>
            </w:pPr>
            <w:r>
              <w:rPr>
                <w:sz w:val="17"/>
              </w:rPr>
              <w:t xml:space="preserve">Amélioration continue par les données, l’IA et les résultats</w:t>
            </w:r>
          </w:p>
        </w:tc>
        <w:tc>
          <w:tcPr/>
          <w:p>
            <w:pPr>
              <w:pStyle w:val="Compact"/>
            </w:pPr>
            <w:r>
              <w:rPr>
                <w:sz w:val="17"/>
              </w:rPr>
              <w:t xml:space="preserve">Revues trimestrielles</w:t>
            </w:r>
          </w:p>
        </w:tc>
        <w:tc>
          <w:tcPr/>
          <w:p>
            <w:pPr>
              <w:pStyle w:val="Compact"/>
            </w:pPr>
            <w:r>
              <w:rPr>
                <w:sz w:val="17"/>
              </w:rPr>
              <w:t xml:space="preserve">Comité de pilotage</w:t>
            </w:r>
          </w:p>
        </w:tc>
        <w:tc>
          <w:tcPr/>
          <w:p>
            <w:pPr>
              <w:pStyle w:val="Compact"/>
            </w:pPr>
            <w:r>
              <w:rPr>
                <w:sz w:val="17"/>
              </w:rPr>
              <w:t xml:space="preserve">—</w:t>
            </w:r>
          </w:p>
        </w:tc>
        <w:tc>
          <w:tcPr/>
          <w:p>
            <w:pPr>
              <w:pStyle w:val="Compact"/>
            </w:pPr>
            <w:r>
              <w:rPr>
                <w:sz w:val="17"/>
              </w:rPr>
              <w:t xml:space="preserve">Exploitation</w:t>
            </w:r>
          </w:p>
        </w:tc>
        <w:tc>
          <w:tcPr/>
          <w:p>
            <w:pPr>
              <w:pStyle w:val="Compact"/>
            </w:pPr>
            <w:r>
              <w:rPr>
                <w:sz w:val="17"/>
              </w:rPr>
              <w:t xml:space="preserve">Routine, dérive</w:t>
            </w:r>
          </w:p>
        </w:tc>
        <w:tc>
          <w:tcPr/>
          <w:p>
            <w:pPr>
              <w:pStyle w:val="Compact"/>
            </w:pPr>
            <w:r>
              <w:rPr>
                <w:sz w:val="17"/>
              </w:rPr>
              <w:t xml:space="preserve">Recettes nettes vérifiées en hausse ; coût de collecte en baisse</w:t>
            </w:r>
          </w:p>
        </w:tc>
        <w:tc>
          <w:tcPr/>
          <w:p>
            <w:pPr>
              <w:pStyle w:val="Compact"/>
            </w:pPr>
            <w:r>
              <w:rPr>
                <w:sz w:val="17"/>
              </w:rPr>
              <w:t xml:space="preserve">Revue annuelle</w:t>
            </w:r>
          </w:p>
        </w:tc>
      </w:tr>
    </w:tbl>
    <w:bookmarkEnd w:id="327"/>
    <w:bookmarkStart w:id="328" w:name="plans-daction-datés"/>
    <w:p>
      <w:pPr>
        <w:pStyle w:val="Heading2"/>
      </w:pPr>
      <w:r>
        <w:t xml:space="preserve">34.3 Plans d’action datés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Horizon</w:t>
            </w:r>
          </w:p>
        </w:tc>
        <w:tc>
          <w:tcPr>
            <w:shd w:val="clear" w:color="auto" w:fill="232C6B"/>
          </w:tcPr>
          <w:p>
            <w:pPr>
              <w:pStyle w:val="Compact"/>
            </w:pPr>
            <w:r>
              <w:rPr>
                <w:b/>
                <w:color w:val="FFFFFF"/>
                <w:sz w:val="17"/>
              </w:rPr>
              <w:t xml:space="preserve">Actions</w:t>
            </w:r>
          </w:p>
        </w:tc>
      </w:tr>
      <w:tr>
        <w:tc>
          <w:tcPr/>
          <w:p>
            <w:pPr>
              <w:pStyle w:val="Compact"/>
            </w:pPr>
            <w:r>
              <w:rPr>
                <w:b/>
                <w:bCs/>
                <w:sz w:val="17"/>
              </w:rPr>
              <w:t xml:space="preserve">30 jours</w:t>
            </w:r>
          </w:p>
        </w:tc>
        <w:tc>
          <w:tcPr/>
          <w:p>
            <w:pPr>
              <w:pStyle w:val="Compact"/>
            </w:pPr>
            <w:r>
              <w:rPr>
                <w:sz w:val="17"/>
              </w:rPr>
              <w:t xml:space="preserve">Arrêté de mandat ; comité de pilotage installé ; directeur de programme et délégué à la protection des données nommés ; lettre aux services juridiques pour le relevé certifié ; inventaire des comptes publics de recettes ; rencontre avec la direction de la DGIPK et de la DGTK sur la plateforme existante ; choix des quartiers échantillons ; cahier des charges de l’évaluateur indépendant</w:t>
            </w:r>
          </w:p>
        </w:tc>
      </w:tr>
      <w:tr>
        <w:tc>
          <w:tcPr>
            <w:shd w:val="clear" w:color="auto" w:fill="F5F7FB"/>
          </w:tcPr>
          <w:p>
            <w:pPr>
              <w:pStyle w:val="Compact"/>
            </w:pPr>
            <w:r>
              <w:rPr>
                <w:b/>
                <w:bCs/>
                <w:sz w:val="17"/>
              </w:rPr>
              <w:t xml:space="preserve">90 jours</w:t>
            </w:r>
          </w:p>
        </w:tc>
        <w:tc>
          <w:tcPr>
            <w:shd w:val="clear" w:color="auto" w:fill="F5F7FB"/>
          </w:tcPr>
          <w:p>
            <w:pPr>
              <w:pStyle w:val="Compact"/>
            </w:pPr>
            <w:r>
              <w:rPr>
                <w:sz w:val="17"/>
              </w:rPr>
              <w:t xml:space="preserve">Relevé juridique v1 certifié (IF, IRL, véhicules) ; base de référence 2023–2025 établie pour les communes pilotes ; R0 recensement en service ; 30 % des quartiers échantillons recensés ; conventions avec au moins deux banques et deux émetteurs de monnaie mobile en cours ; analyse d’impact protection des données ; hébergement installé</w:t>
            </w:r>
          </w:p>
        </w:tc>
      </w:tr>
      <w:tr>
        <w:tc>
          <w:tcPr/>
          <w:p>
            <w:pPr>
              <w:pStyle w:val="Compact"/>
            </w:pPr>
            <w:r>
              <w:rPr>
                <w:b/>
                <w:bCs/>
                <w:sz w:val="17"/>
              </w:rPr>
              <w:t xml:space="preserve">180 jours</w:t>
            </w:r>
          </w:p>
        </w:tc>
        <w:tc>
          <w:tcPr/>
          <w:p>
            <w:pPr>
              <w:pStyle w:val="Compact"/>
            </w:pPr>
            <w:r>
              <w:rPr>
                <w:sz w:val="17"/>
              </w:rPr>
              <w:t xml:space="preserve">R1 en production ; campagne de février 2027 mesurée ; pilote en cours ; rapprochement quotidien automatisé pour les flux couverts ; tableau de bord du Gouverneur en service ; premier rapport intermédiaire (J+90 du pilote)</w:t>
            </w:r>
          </w:p>
        </w:tc>
      </w:tr>
      <w:tr>
        <w:tc>
          <w:tcPr>
            <w:shd w:val="clear" w:color="auto" w:fill="F5F7FB"/>
          </w:tcPr>
          <w:p>
            <w:pPr>
              <w:pStyle w:val="Compact"/>
            </w:pPr>
            <w:r>
              <w:rPr>
                <w:b/>
                <w:bCs/>
                <w:sz w:val="17"/>
              </w:rPr>
              <w:t xml:space="preserve">12 mois</w:t>
            </w:r>
          </w:p>
        </w:tc>
        <w:tc>
          <w:tcPr>
            <w:shd w:val="clear" w:color="auto" w:fill="F5F7FB"/>
          </w:tcPr>
          <w:p>
            <w:pPr>
              <w:pStyle w:val="Compact"/>
            </w:pPr>
            <w:r>
              <w:rPr>
                <w:sz w:val="17"/>
              </w:rPr>
              <w:t xml:space="preserve">Pilote évalué par un évaluateur indépendant ; décision de généralisation ; R2 (patente, publicité, antennes, marchés) ; premier tableau de transparence publié</w:t>
            </w:r>
          </w:p>
        </w:tc>
      </w:tr>
      <w:tr>
        <w:tc>
          <w:tcPr/>
          <w:p>
            <w:pPr>
              <w:pStyle w:val="Compact"/>
            </w:pPr>
            <w:r>
              <w:rPr>
                <w:b/>
                <w:bCs/>
                <w:sz w:val="17"/>
              </w:rPr>
              <w:t xml:space="preserve">24 mois</w:t>
            </w:r>
          </w:p>
        </w:tc>
        <w:tc>
          <w:tcPr/>
          <w:p>
            <w:pPr>
              <w:pStyle w:val="Compact"/>
            </w:pPr>
            <w:r>
              <w:rPr>
                <w:sz w:val="17"/>
              </w:rPr>
              <w:t xml:space="preserve">Généralisation aux 24 communes en cours ; recettes certifiées toutes intégrées ; exercice de réversibilité ; équipe provinciale capable d’exploiter la plateforme</w:t>
            </w:r>
          </w:p>
        </w:tc>
      </w:tr>
    </w:tbl>
    <w:bookmarkEnd w:id="328"/>
    <w:bookmarkEnd w:id="329"/>
    <w:bookmarkStart w:id="330" w:name="modèle-opérationnel"/>
    <w:p>
      <w:pPr>
        <w:pStyle w:val="Heading1"/>
      </w:pPr>
      <w:r>
        <w:t xml:space="preserve">35. Modèle opérationnel</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Fonction</w:t>
            </w:r>
          </w:p>
        </w:tc>
        <w:tc>
          <w:tcPr>
            <w:shd w:val="clear" w:color="auto" w:fill="232C6B"/>
          </w:tcPr>
          <w:p>
            <w:pPr>
              <w:pStyle w:val="Compact"/>
            </w:pPr>
            <w:r>
              <w:rPr>
                <w:b/>
                <w:color w:val="FFFFFF"/>
                <w:sz w:val="17"/>
              </w:rPr>
              <w:t xml:space="preserve">Rattachement</w:t>
            </w:r>
          </w:p>
        </w:tc>
        <w:tc>
          <w:tcPr>
            <w:shd w:val="clear" w:color="auto" w:fill="232C6B"/>
          </w:tcPr>
          <w:p>
            <w:pPr>
              <w:pStyle w:val="Compact"/>
            </w:pPr>
            <w:r>
              <w:rPr>
                <w:b/>
                <w:color w:val="FFFFFF"/>
                <w:sz w:val="17"/>
              </w:rPr>
              <w:t xml:space="preserve">Missions</w:t>
            </w:r>
          </w:p>
        </w:tc>
      </w:tr>
      <w:tr>
        <w:tc>
          <w:tcPr/>
          <w:p>
            <w:pPr>
              <w:pStyle w:val="Compact"/>
            </w:pPr>
            <w:r>
              <w:rPr>
                <w:b/>
                <w:bCs/>
                <w:sz w:val="17"/>
              </w:rPr>
              <w:t xml:space="preserve">Bureau du programme MOSOLO</w:t>
            </w:r>
          </w:p>
        </w:tc>
        <w:tc>
          <w:tcPr/>
          <w:p>
            <w:pPr>
              <w:pStyle w:val="Compact"/>
            </w:pPr>
            <w:r>
              <w:rPr>
                <w:sz w:val="17"/>
              </w:rPr>
              <w:t xml:space="preserve">Comité de pilotage</w:t>
            </w:r>
          </w:p>
        </w:tc>
        <w:tc>
          <w:tcPr/>
          <w:p>
            <w:pPr>
              <w:pStyle w:val="Compact"/>
            </w:pPr>
            <w:r>
              <w:rPr>
                <w:sz w:val="17"/>
              </w:rPr>
              <w:t xml:space="preserve">Planning, budget, risques, conduite du changement, relation avec les partenaires</w:t>
            </w:r>
          </w:p>
        </w:tc>
      </w:tr>
      <w:tr>
        <w:tc>
          <w:tcPr>
            <w:shd w:val="clear" w:color="auto" w:fill="F5F7FB"/>
          </w:tcPr>
          <w:p>
            <w:pPr>
              <w:pStyle w:val="Compact"/>
            </w:pPr>
            <w:r>
              <w:rPr>
                <w:b/>
                <w:bCs/>
                <w:sz w:val="17"/>
              </w:rPr>
              <w:t xml:space="preserve">Cellule juridique et tarifaire</w:t>
            </w:r>
          </w:p>
        </w:tc>
        <w:tc>
          <w:tcPr>
            <w:shd w:val="clear" w:color="auto" w:fill="F5F7FB"/>
          </w:tcPr>
          <w:p>
            <w:pPr>
              <w:pStyle w:val="Compact"/>
            </w:pPr>
            <w:r>
              <w:rPr>
                <w:sz w:val="17"/>
              </w:rPr>
              <w:t xml:space="preserve">Ministère provincial des Finances</w:t>
            </w:r>
          </w:p>
        </w:tc>
        <w:tc>
          <w:tcPr>
            <w:shd w:val="clear" w:color="auto" w:fill="F5F7FB"/>
          </w:tcPr>
          <w:p>
            <w:pPr>
              <w:pStyle w:val="Compact"/>
            </w:pPr>
            <w:r>
              <w:rPr>
                <w:sz w:val="17"/>
              </w:rPr>
              <w:t xml:space="preserve">Registre juridique, fiches de règles, tests juridiques</w:t>
            </w:r>
          </w:p>
        </w:tc>
      </w:tr>
      <w:tr>
        <w:tc>
          <w:tcPr/>
          <w:p>
            <w:pPr>
              <w:pStyle w:val="Compact"/>
            </w:pPr>
            <w:r>
              <w:rPr>
                <w:b/>
                <w:bCs/>
                <w:sz w:val="17"/>
              </w:rPr>
              <w:t xml:space="preserve">Centre de services contribuables</w:t>
            </w:r>
          </w:p>
        </w:tc>
        <w:tc>
          <w:tcPr/>
          <w:p>
            <w:pPr>
              <w:pStyle w:val="Compact"/>
            </w:pPr>
            <w:r>
              <w:rPr>
                <w:sz w:val="17"/>
              </w:rPr>
              <w:t xml:space="preserve">Régies</w:t>
            </w:r>
          </w:p>
        </w:tc>
        <w:tc>
          <w:tcPr/>
          <w:p>
            <w:pPr>
              <w:pStyle w:val="Compact"/>
            </w:pPr>
            <w:r>
              <w:rPr>
                <w:sz w:val="17"/>
              </w:rPr>
              <w:t xml:space="preserve">Guichets, centre d’appels, SVI, traitement des demandes</w:t>
            </w:r>
          </w:p>
        </w:tc>
      </w:tr>
      <w:tr>
        <w:tc>
          <w:tcPr>
            <w:shd w:val="clear" w:color="auto" w:fill="F5F7FB"/>
          </w:tcPr>
          <w:p>
            <w:pPr>
              <w:pStyle w:val="Compact"/>
            </w:pPr>
            <w:r>
              <w:rPr>
                <w:b/>
                <w:bCs/>
                <w:sz w:val="17"/>
              </w:rPr>
              <w:t xml:space="preserve">Opérations terrain</w:t>
            </w:r>
          </w:p>
        </w:tc>
        <w:tc>
          <w:tcPr>
            <w:shd w:val="clear" w:color="auto" w:fill="F5F7FB"/>
          </w:tcPr>
          <w:p>
            <w:pPr>
              <w:pStyle w:val="Compact"/>
            </w:pPr>
            <w:r>
              <w:rPr>
                <w:sz w:val="17"/>
              </w:rPr>
              <w:t xml:space="preserve">Régies</w:t>
            </w:r>
          </w:p>
        </w:tc>
        <w:tc>
          <w:tcPr>
            <w:shd w:val="clear" w:color="auto" w:fill="F5F7FB"/>
          </w:tcPr>
          <w:p>
            <w:pPr>
              <w:pStyle w:val="Compact"/>
            </w:pPr>
            <w:r>
              <w:rPr>
                <w:sz w:val="17"/>
              </w:rPr>
              <w:t xml:space="preserve">Superviseurs, agents, sous-traitants accrédités, contrôle qualité</w:t>
            </w:r>
          </w:p>
        </w:tc>
      </w:tr>
      <w:tr>
        <w:tc>
          <w:tcPr/>
          <w:p>
            <w:pPr>
              <w:pStyle w:val="Compact"/>
            </w:pPr>
            <w:r>
              <w:rPr>
                <w:b/>
                <w:bCs/>
                <w:sz w:val="17"/>
              </w:rPr>
              <w:t xml:space="preserve">Salle de contrôle financière</w:t>
            </w:r>
          </w:p>
        </w:tc>
        <w:tc>
          <w:tcPr/>
          <w:p>
            <w:pPr>
              <w:pStyle w:val="Compact"/>
            </w:pPr>
            <w:r>
              <w:rPr>
                <w:sz w:val="17"/>
              </w:rPr>
              <w:t xml:space="preserve">Trésor provincial</w:t>
            </w:r>
          </w:p>
        </w:tc>
        <w:tc>
          <w:tcPr/>
          <w:p>
            <w:pPr>
              <w:pStyle w:val="Compact"/>
            </w:pPr>
            <w:r>
              <w:rPr>
                <w:sz w:val="17"/>
              </w:rPr>
              <w:t xml:space="preserve">Rapprochement, exceptions, clôtures</w:t>
            </w:r>
          </w:p>
        </w:tc>
      </w:tr>
      <w:tr>
        <w:tc>
          <w:tcPr>
            <w:shd w:val="clear" w:color="auto" w:fill="F5F7FB"/>
          </w:tcPr>
          <w:p>
            <w:pPr>
              <w:pStyle w:val="Compact"/>
            </w:pPr>
            <w:r>
              <w:rPr>
                <w:b/>
                <w:bCs/>
                <w:sz w:val="17"/>
              </w:rPr>
              <w:t xml:space="preserve">Cellule de renseignement anti-fraude</w:t>
            </w:r>
          </w:p>
        </w:tc>
        <w:tc>
          <w:tcPr>
            <w:shd w:val="clear" w:color="auto" w:fill="F5F7FB"/>
          </w:tcPr>
          <w:p>
            <w:pPr>
              <w:pStyle w:val="Compact"/>
            </w:pPr>
            <w:r>
              <w:rPr>
                <w:sz w:val="17"/>
              </w:rPr>
              <w:t xml:space="preserve">Inspection / audit interne</w:t>
            </w:r>
          </w:p>
        </w:tc>
        <w:tc>
          <w:tcPr>
            <w:shd w:val="clear" w:color="auto" w:fill="F5F7FB"/>
          </w:tcPr>
          <w:p>
            <w:pPr>
              <w:pStyle w:val="Compact"/>
            </w:pPr>
            <w:r>
              <w:rPr>
                <w:sz w:val="17"/>
              </w:rPr>
              <w:t xml:space="preserve">Alertes, enquêtes</w:t>
            </w:r>
          </w:p>
        </w:tc>
      </w:tr>
      <w:tr>
        <w:tc>
          <w:tcPr/>
          <w:p>
            <w:pPr>
              <w:pStyle w:val="Compact"/>
            </w:pPr>
            <w:r>
              <w:rPr>
                <w:b/>
                <w:bCs/>
                <w:sz w:val="17"/>
              </w:rPr>
              <w:t xml:space="preserve">Cellule données et IA</w:t>
            </w:r>
          </w:p>
        </w:tc>
        <w:tc>
          <w:tcPr/>
          <w:p>
            <w:pPr>
              <w:pStyle w:val="Compact"/>
            </w:pPr>
            <w:r>
              <w:rPr>
                <w:sz w:val="17"/>
              </w:rPr>
              <w:t xml:space="preserve">Programme puis DSI provinciale</w:t>
            </w:r>
          </w:p>
        </w:tc>
        <w:tc>
          <w:tcPr/>
          <w:p>
            <w:pPr>
              <w:pStyle w:val="Compact"/>
            </w:pPr>
            <w:r>
              <w:rPr>
                <w:sz w:val="17"/>
              </w:rPr>
              <w:t xml:space="preserve">Qualité des données, modèles, tableaux de bord</w:t>
            </w:r>
          </w:p>
        </w:tc>
      </w:tr>
      <w:tr>
        <w:tc>
          <w:tcPr>
            <w:shd w:val="clear" w:color="auto" w:fill="F5F7FB"/>
          </w:tcPr>
          <w:p>
            <w:pPr>
              <w:pStyle w:val="Compact"/>
            </w:pPr>
            <w:r>
              <w:rPr>
                <w:b/>
                <w:bCs/>
                <w:sz w:val="17"/>
              </w:rPr>
              <w:t xml:space="preserve">DSI MOSOLO</w:t>
            </w:r>
          </w:p>
        </w:tc>
        <w:tc>
          <w:tcPr>
            <w:shd w:val="clear" w:color="auto" w:fill="F5F7FB"/>
          </w:tcPr>
          <w:p>
            <w:pPr>
              <w:pStyle w:val="Compact"/>
            </w:pPr>
            <w:r>
              <w:rPr>
                <w:sz w:val="17"/>
              </w:rPr>
              <w:t xml:space="preserve">Province</w:t>
            </w:r>
          </w:p>
        </w:tc>
        <w:tc>
          <w:tcPr>
            <w:shd w:val="clear" w:color="auto" w:fill="F5F7FB"/>
          </w:tcPr>
          <w:p>
            <w:pPr>
              <w:pStyle w:val="Compact"/>
            </w:pPr>
            <w:r>
              <w:rPr>
                <w:sz w:val="17"/>
              </w:rPr>
              <w:t xml:space="preserve">Exploitation, sécurité, support ; montée en compétences progressive</w:t>
            </w:r>
          </w:p>
        </w:tc>
      </w:tr>
      <w:tr>
        <w:tc>
          <w:tcPr/>
          <w:p>
            <w:pPr>
              <w:pStyle w:val="Compact"/>
            </w:pPr>
            <w:r>
              <w:rPr>
                <w:b/>
                <w:bCs/>
                <w:sz w:val="17"/>
              </w:rPr>
              <w:t xml:space="preserve">Centre de sécurité (SOC)</w:t>
            </w:r>
          </w:p>
        </w:tc>
        <w:tc>
          <w:tcPr/>
          <w:p>
            <w:pPr>
              <w:pStyle w:val="Compact"/>
            </w:pPr>
            <w:r>
              <w:rPr>
                <w:sz w:val="17"/>
              </w:rPr>
              <w:t xml:space="preserve">RSSI</w:t>
            </w:r>
          </w:p>
        </w:tc>
        <w:tc>
          <w:tcPr/>
          <w:p>
            <w:pPr>
              <w:pStyle w:val="Compact"/>
            </w:pPr>
            <w:r>
              <w:rPr>
                <w:sz w:val="17"/>
              </w:rPr>
              <w:t xml:space="preserve">Surveillance, réponse aux incidents</w:t>
            </w:r>
          </w:p>
        </w:tc>
      </w:tr>
      <w:tr>
        <w:tc>
          <w:tcPr>
            <w:shd w:val="clear" w:color="auto" w:fill="F5F7FB"/>
          </w:tcPr>
          <w:p>
            <w:pPr>
              <w:pStyle w:val="Compact"/>
            </w:pPr>
            <w:r>
              <w:rPr>
                <w:b/>
                <w:bCs/>
                <w:sz w:val="17"/>
              </w:rPr>
              <w:t xml:space="preserve">Délégué à la protection des données</w:t>
            </w:r>
          </w:p>
        </w:tc>
        <w:tc>
          <w:tcPr>
            <w:shd w:val="clear" w:color="auto" w:fill="F5F7FB"/>
          </w:tcPr>
          <w:p>
            <w:pPr>
              <w:pStyle w:val="Compact"/>
            </w:pPr>
            <w:r>
              <w:rPr>
                <w:sz w:val="17"/>
              </w:rPr>
              <w:t xml:space="preserve">Comité de pilotage</w:t>
            </w:r>
          </w:p>
        </w:tc>
        <w:tc>
          <w:tcPr>
            <w:shd w:val="clear" w:color="auto" w:fill="F5F7FB"/>
          </w:tcPr>
          <w:p>
            <w:pPr>
              <w:pStyle w:val="Compact"/>
            </w:pPr>
            <w:r>
              <w:rPr>
                <w:sz w:val="17"/>
              </w:rPr>
              <w:t xml:space="preserve">Conformité</w:t>
            </w:r>
          </w:p>
        </w:tc>
      </w:tr>
    </w:tbl>
    <w:p>
      <w:pPr>
        <w:pStyle w:val="BodyText"/>
      </w:pPr>
      <w:r>
        <w:t xml:space="preserve">Rythmes : point quotidien de la salle de contrôle (exceptions) ; revue hebdomadaire des opérations ; comité mensuel de performance présidé par le ministre des Finances ; revue trimestrielle du Gouverneur ; rapport trimestriel d’audit.</w:t>
      </w:r>
    </w:p>
    <w:bookmarkEnd w:id="330"/>
    <w:bookmarkStart w:id="334" w:name="gouvernance-du-programme"/>
    <w:p>
      <w:pPr>
        <w:pStyle w:val="Heading1"/>
      </w:pPr>
      <w:r>
        <w:t xml:space="preserve">36. Gouvernance du programme</w:t>
      </w:r>
    </w:p>
    <w:p>
      <w:pPr>
        <w:pStyle w:val="FirstParagraph"/>
      </w:pPr>
      <w:r>
        <w:drawing>
          <wp:inline>
            <wp:extent cx="6108700" cy="1854426"/>
            <wp:effectExtent b="0" l="0" r="0" t="0"/>
            <wp:docPr descr="" title="" id="332" name="Picture"/>
            <a:graphic>
              <a:graphicData uri="http://schemas.openxmlformats.org/drawingml/2006/picture">
                <pic:pic>
                  <pic:nvPicPr>
                    <pic:cNvPr descr="figures/mermaid/mmd-8a7ff25ecd22.png" id="333" name="Picture"/>
                    <pic:cNvPicPr>
                      <a:picLocks noChangeArrowheads="1" noChangeAspect="1"/>
                    </pic:cNvPicPr>
                  </pic:nvPicPr>
                  <pic:blipFill>
                    <a:blip r:embed="rId331"/>
                    <a:stretch>
                      <a:fillRect/>
                    </a:stretch>
                  </pic:blipFill>
                  <pic:spPr bwMode="auto">
                    <a:xfrm>
                      <a:off x="0" y="0"/>
                      <a:ext cx="6108700" cy="1854426"/>
                    </a:xfrm>
                    <a:prstGeom prst="rect">
                      <a:avLst/>
                    </a:prstGeom>
                    <a:noFill/>
                    <a:ln w="9525">
                      <a:noFill/>
                      <a:headEnd/>
                      <a:tailEnd/>
                    </a:ln>
                  </pic:spPr>
                </pic:pic>
              </a:graphicData>
            </a:graphic>
          </wp:inline>
        </w:drawing>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Instance</w:t>
            </w:r>
          </w:p>
        </w:tc>
        <w:tc>
          <w:tcPr>
            <w:shd w:val="clear" w:color="auto" w:fill="232C6B"/>
          </w:tcPr>
          <w:p>
            <w:pPr>
              <w:pStyle w:val="Compact"/>
            </w:pPr>
            <w:r>
              <w:rPr>
                <w:b/>
                <w:color w:val="FFFFFF"/>
                <w:sz w:val="17"/>
              </w:rPr>
              <w:t xml:space="preserve">Composition</w:t>
            </w:r>
          </w:p>
        </w:tc>
        <w:tc>
          <w:tcPr>
            <w:shd w:val="clear" w:color="auto" w:fill="232C6B"/>
          </w:tcPr>
          <w:p>
            <w:pPr>
              <w:pStyle w:val="Compact"/>
            </w:pPr>
            <w:r>
              <w:rPr>
                <w:b/>
                <w:color w:val="FFFFFF"/>
                <w:sz w:val="17"/>
              </w:rPr>
              <w:t xml:space="preserve">Décisions</w:t>
            </w:r>
          </w:p>
        </w:tc>
      </w:tr>
      <w:tr>
        <w:tc>
          <w:tcPr/>
          <w:p>
            <w:pPr>
              <w:pStyle w:val="Compact"/>
            </w:pPr>
            <w:r>
              <w:rPr>
                <w:sz w:val="17"/>
              </w:rPr>
              <w:t xml:space="preserve">Comité de pilotage</w:t>
            </w:r>
          </w:p>
        </w:tc>
        <w:tc>
          <w:tcPr/>
          <w:p>
            <w:pPr>
              <w:pStyle w:val="Compact"/>
            </w:pPr>
            <w:r>
              <w:rPr>
                <w:sz w:val="17"/>
              </w:rPr>
              <w:t xml:space="preserve">Ministre des Finances (président), SG du Gouvernement, DG DGIPK, DG DGTK, Trésor, DSI, audit interne, directeur de programme, observateur indépendant (sans voix délibérative)</w:t>
            </w:r>
          </w:p>
        </w:tc>
        <w:tc>
          <w:tcPr/>
          <w:p>
            <w:pPr>
              <w:pStyle w:val="Compact"/>
            </w:pPr>
            <w:r>
              <w:rPr>
                <w:sz w:val="17"/>
              </w:rPr>
              <w:t xml:space="preserve">Priorités, portes d’approbation, budget, arbitrages</w:t>
            </w:r>
          </w:p>
        </w:tc>
      </w:tr>
      <w:tr>
        <w:tc>
          <w:tcPr>
            <w:shd w:val="clear" w:color="auto" w:fill="F5F7FB"/>
          </w:tcPr>
          <w:p>
            <w:pPr>
              <w:pStyle w:val="Compact"/>
            </w:pPr>
            <w:r>
              <w:rPr>
                <w:sz w:val="17"/>
              </w:rPr>
              <w:t xml:space="preserve">Comité juridique et tarifaire</w:t>
            </w:r>
          </w:p>
        </w:tc>
        <w:tc>
          <w:tcPr>
            <w:shd w:val="clear" w:color="auto" w:fill="F5F7FB"/>
          </w:tcPr>
          <w:p>
            <w:pPr>
              <w:pStyle w:val="Compact"/>
            </w:pPr>
            <w:r>
              <w:rPr>
                <w:sz w:val="17"/>
              </w:rPr>
              <w:t xml:space="preserve">Juristes, régies, finances</w:t>
            </w:r>
          </w:p>
        </w:tc>
        <w:tc>
          <w:tcPr>
            <w:shd w:val="clear" w:color="auto" w:fill="F5F7FB"/>
          </w:tcPr>
          <w:p>
            <w:pPr>
              <w:pStyle w:val="Compact"/>
            </w:pPr>
            <w:r>
              <w:rPr>
                <w:sz w:val="17"/>
              </w:rPr>
              <w:t xml:space="preserve">Fiches de règles, conflits de compétence</w:t>
            </w:r>
          </w:p>
        </w:tc>
      </w:tr>
      <w:tr>
        <w:tc>
          <w:tcPr/>
          <w:p>
            <w:pPr>
              <w:pStyle w:val="Compact"/>
            </w:pPr>
            <w:r>
              <w:rPr>
                <w:sz w:val="17"/>
              </w:rPr>
              <w:t xml:space="preserve">Comité de sécurité et protection des données</w:t>
            </w:r>
          </w:p>
        </w:tc>
        <w:tc>
          <w:tcPr/>
          <w:p>
            <w:pPr>
              <w:pStyle w:val="Compact"/>
            </w:pPr>
            <w:r>
              <w:rPr>
                <w:sz w:val="17"/>
              </w:rPr>
              <w:t xml:space="preserve">RSSI, délégué à la protection des données, DSI, audit</w:t>
            </w:r>
          </w:p>
        </w:tc>
        <w:tc>
          <w:tcPr/>
          <w:p>
            <w:pPr>
              <w:pStyle w:val="Compact"/>
            </w:pPr>
            <w:r>
              <w:rPr>
                <w:sz w:val="17"/>
              </w:rPr>
              <w:t xml:space="preserve">Politiques, incidents, analyses d’impact</w:t>
            </w:r>
          </w:p>
        </w:tc>
      </w:tr>
      <w:tr>
        <w:tc>
          <w:tcPr>
            <w:shd w:val="clear" w:color="auto" w:fill="F5F7FB"/>
          </w:tcPr>
          <w:p>
            <w:pPr>
              <w:pStyle w:val="Compact"/>
            </w:pPr>
            <w:r>
              <w:rPr>
                <w:sz w:val="17"/>
              </w:rPr>
              <w:t xml:space="preserve">Comité de contrôle des changements</w:t>
            </w:r>
          </w:p>
        </w:tc>
        <w:tc>
          <w:tcPr>
            <w:shd w:val="clear" w:color="auto" w:fill="F5F7FB"/>
          </w:tcPr>
          <w:p>
            <w:pPr>
              <w:pStyle w:val="Compact"/>
            </w:pPr>
            <w:r>
              <w:rPr>
                <w:sz w:val="17"/>
              </w:rPr>
              <w:t xml:space="preserve">Programme, DSI, sécurité, métier</w:t>
            </w:r>
          </w:p>
        </w:tc>
        <w:tc>
          <w:tcPr>
            <w:shd w:val="clear" w:color="auto" w:fill="F5F7FB"/>
          </w:tcPr>
          <w:p>
            <w:pPr>
              <w:pStyle w:val="Compact"/>
            </w:pPr>
            <w:r>
              <w:rPr>
                <w:sz w:val="17"/>
              </w:rPr>
              <w:t xml:space="preserve">Mises en production</w:t>
            </w:r>
          </w:p>
        </w:tc>
      </w:tr>
      <w:tr>
        <w:tc>
          <w:tcPr/>
          <w:p>
            <w:pPr>
              <w:pStyle w:val="Compact"/>
            </w:pPr>
            <w:r>
              <w:rPr>
                <w:sz w:val="17"/>
              </w:rPr>
              <w:t xml:space="preserve">Comité des modèles d’IA</w:t>
            </w:r>
          </w:p>
        </w:tc>
        <w:tc>
          <w:tcPr/>
          <w:p>
            <w:pPr>
              <w:pStyle w:val="Compact"/>
            </w:pPr>
            <w:r>
              <w:rPr>
                <w:sz w:val="17"/>
              </w:rPr>
              <w:t xml:space="preserve">Métier, données, audit, protection des données</w:t>
            </w:r>
          </w:p>
        </w:tc>
        <w:tc>
          <w:tcPr/>
          <w:p>
            <w:pPr>
              <w:pStyle w:val="Compact"/>
            </w:pPr>
            <w:r>
              <w:rPr>
                <w:sz w:val="17"/>
              </w:rPr>
              <w:t xml:space="preserve">Mise en service et retrait des modèles</w:t>
            </w:r>
          </w:p>
        </w:tc>
      </w:tr>
      <w:tr>
        <w:tc>
          <w:tcPr>
            <w:shd w:val="clear" w:color="auto" w:fill="F5F7FB"/>
          </w:tcPr>
          <w:p>
            <w:pPr>
              <w:pStyle w:val="Compact"/>
            </w:pPr>
            <w:r>
              <w:rPr>
                <w:sz w:val="17"/>
              </w:rPr>
              <w:t xml:space="preserve">Comité d’audit</w:t>
            </w:r>
          </w:p>
        </w:tc>
        <w:tc>
          <w:tcPr>
            <w:shd w:val="clear" w:color="auto" w:fill="F5F7FB"/>
          </w:tcPr>
          <w:p>
            <w:pPr>
              <w:pStyle w:val="Compact"/>
            </w:pPr>
            <w:r>
              <w:rPr>
                <w:sz w:val="17"/>
              </w:rPr>
              <w:t xml:space="preserve">Audit interne, inspecteur, personnalité indépendante</w:t>
            </w:r>
          </w:p>
        </w:tc>
        <w:tc>
          <w:tcPr>
            <w:shd w:val="clear" w:color="auto" w:fill="F5F7FB"/>
          </w:tcPr>
          <w:p>
            <w:pPr>
              <w:pStyle w:val="Compact"/>
            </w:pPr>
            <w:r>
              <w:rPr>
                <w:sz w:val="17"/>
              </w:rPr>
              <w:t xml:space="preserve">Plan d’audit, suites des rapports</w:t>
            </w:r>
          </w:p>
        </w:tc>
      </w:tr>
    </w:tbl>
    <w:p>
      <w:pPr>
        <w:pStyle w:val="BodyText"/>
      </w:pPr>
      <w:r>
        <w:rPr>
          <w:b/>
          <w:bCs/>
        </w:rPr>
        <w:t xml:space="preserve">Standard minimal de chaque module critique</w:t>
      </w:r>
      <w:r>
        <w:t xml:space="preserve"> </w:t>
      </w:r>
      <w:r>
        <w:t xml:space="preserve">(définition de « terminé ») : responsable métier nommé ; règles certifiées ; séparation des tâches testée ; événements d’audit complets ; tests automatisés ; test de sécurité ; documentation utilisateur et d’exploitation ; indicateurs ; plan de reprise.</w:t>
      </w:r>
    </w:p>
    <w:bookmarkEnd w:id="334"/>
    <w:bookmarkStart w:id="339" w:name="X9264de879a9b14f1ad13b100c53cac086dd79e4"/>
    <w:p>
      <w:pPr>
        <w:pStyle w:val="Heading1"/>
      </w:pPr>
      <w:r>
        <w:t xml:space="preserve">37. Passation des marchés et modèle commercial</w:t>
      </w:r>
    </w:p>
    <w:bookmarkStart w:id="335" w:name="comparaison-des-modèles"/>
    <w:p>
      <w:pPr>
        <w:pStyle w:val="Heading2"/>
      </w:pPr>
      <w:r>
        <w:t xml:space="preserve">37.1 Comparaison des modèles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584"/>
        <w:gridCol w:w="1584"/>
        <w:gridCol w:w="1584"/>
        <w:gridCol w:w="1584"/>
        <w:gridCol w:w="1584"/>
      </w:tblGrid>
      <w:tr>
        <w:trPr>
          <w:tblHeader w:val="on"/>
        </w:trPr>
        <w:tc>
          <w:tcPr>
            <w:shd w:val="clear" w:color="auto" w:fill="232C6B"/>
          </w:tcPr>
          <w:p>
            <w:pPr>
              <w:pStyle w:val="Compact"/>
            </w:pPr>
            <w:r>
              <w:rPr>
                <w:b/>
                <w:color w:val="FFFFFF"/>
                <w:sz w:val="17"/>
              </w:rPr>
              <w:t xml:space="preserve">Modèle</w:t>
            </w:r>
          </w:p>
        </w:tc>
        <w:tc>
          <w:tcPr>
            <w:shd w:val="clear" w:color="auto" w:fill="232C6B"/>
          </w:tcPr>
          <w:p>
            <w:pPr>
              <w:pStyle w:val="Compact"/>
            </w:pPr>
            <w:r>
              <w:rPr>
                <w:b/>
                <w:color w:val="FFFFFF"/>
                <w:sz w:val="17"/>
              </w:rPr>
              <w:t xml:space="preserve">Description</w:t>
            </w:r>
          </w:p>
        </w:tc>
        <w:tc>
          <w:tcPr>
            <w:shd w:val="clear" w:color="auto" w:fill="232C6B"/>
          </w:tcPr>
          <w:p>
            <w:pPr>
              <w:pStyle w:val="Compact"/>
            </w:pPr>
            <w:r>
              <w:rPr>
                <w:b/>
                <w:color w:val="FFFFFF"/>
                <w:sz w:val="17"/>
              </w:rPr>
              <w:t xml:space="preserve">Avantages</w:t>
            </w:r>
          </w:p>
        </w:tc>
        <w:tc>
          <w:tcPr>
            <w:shd w:val="clear" w:color="auto" w:fill="232C6B"/>
          </w:tcPr>
          <w:p>
            <w:pPr>
              <w:pStyle w:val="Compact"/>
            </w:pPr>
            <w:r>
              <w:rPr>
                <w:b/>
                <w:color w:val="FFFFFF"/>
                <w:sz w:val="17"/>
              </w:rPr>
              <w:t xml:space="preserve">Risques pour la Province</w:t>
            </w:r>
          </w:p>
        </w:tc>
        <w:tc>
          <w:tcPr>
            <w:shd w:val="clear" w:color="auto" w:fill="232C6B"/>
          </w:tcPr>
          <w:p>
            <w:pPr>
              <w:pStyle w:val="Compact"/>
            </w:pPr>
            <w:r>
              <w:rPr>
                <w:b/>
                <w:color w:val="FFFFFF"/>
                <w:sz w:val="17"/>
              </w:rPr>
              <w:t xml:space="preserve">Évaluation</w:t>
            </w:r>
          </w:p>
        </w:tc>
      </w:tr>
      <w:tr>
        <w:tc>
          <w:tcPr/>
          <w:p>
            <w:pPr>
              <w:pStyle w:val="Compact"/>
            </w:pPr>
            <w:r>
              <w:rPr>
                <w:sz w:val="17"/>
              </w:rPr>
              <w:t xml:space="preserve">Financement public intégral</w:t>
            </w:r>
          </w:p>
        </w:tc>
        <w:tc>
          <w:tcPr/>
          <w:p>
            <w:pPr>
              <w:pStyle w:val="Compact"/>
            </w:pPr>
            <w:r>
              <w:rPr>
                <w:sz w:val="17"/>
              </w:rPr>
              <w:t xml:space="preserve">La Province finance et fait réaliser</w:t>
            </w:r>
          </w:p>
        </w:tc>
        <w:tc>
          <w:tcPr/>
          <w:p>
            <w:pPr>
              <w:pStyle w:val="Compact"/>
            </w:pPr>
            <w:r>
              <w:rPr>
                <w:sz w:val="17"/>
              </w:rPr>
              <w:t xml:space="preserve">Contrôle total</w:t>
            </w:r>
          </w:p>
        </w:tc>
        <w:tc>
          <w:tcPr/>
          <w:p>
            <w:pPr>
              <w:pStyle w:val="Compact"/>
            </w:pPr>
            <w:r>
              <w:rPr>
                <w:sz w:val="17"/>
              </w:rPr>
              <w:t xml:space="preserve">Charge budgétaire initiale ; capacité de pilotage</w:t>
            </w:r>
          </w:p>
        </w:tc>
        <w:tc>
          <w:tcPr/>
          <w:p>
            <w:pPr>
              <w:pStyle w:val="Compact"/>
            </w:pPr>
            <w:r>
              <w:rPr>
                <w:sz w:val="17"/>
              </w:rPr>
              <w:t xml:space="preserve">Possible pour le socle</w:t>
            </w:r>
          </w:p>
        </w:tc>
      </w:tr>
      <w:tr>
        <w:tc>
          <w:tcPr>
            <w:shd w:val="clear" w:color="auto" w:fill="F5F7FB"/>
          </w:tcPr>
          <w:p>
            <w:pPr>
              <w:pStyle w:val="Compact"/>
            </w:pPr>
            <w:r>
              <w:rPr>
                <w:sz w:val="17"/>
              </w:rPr>
              <w:t xml:space="preserve">Licence + service géré</w:t>
            </w:r>
          </w:p>
        </w:tc>
        <w:tc>
          <w:tcPr>
            <w:shd w:val="clear" w:color="auto" w:fill="F5F7FB"/>
          </w:tcPr>
          <w:p>
            <w:pPr>
              <w:pStyle w:val="Compact"/>
            </w:pPr>
            <w:r>
              <w:rPr>
                <w:sz w:val="17"/>
              </w:rPr>
              <w:t xml:space="preserve">Logiciel sous licence, exploitation par le prestataire</w:t>
            </w:r>
          </w:p>
        </w:tc>
        <w:tc>
          <w:tcPr>
            <w:shd w:val="clear" w:color="auto" w:fill="F5F7FB"/>
          </w:tcPr>
          <w:p>
            <w:pPr>
              <w:pStyle w:val="Compact"/>
            </w:pPr>
            <w:r>
              <w:rPr>
                <w:sz w:val="17"/>
              </w:rPr>
              <w:t xml:space="preserve">Rapidité</w:t>
            </w:r>
          </w:p>
        </w:tc>
        <w:tc>
          <w:tcPr>
            <w:shd w:val="clear" w:color="auto" w:fill="F5F7FB"/>
          </w:tcPr>
          <w:p>
            <w:pPr>
              <w:pStyle w:val="Compact"/>
            </w:pPr>
            <w:r>
              <w:rPr>
                <w:sz w:val="17"/>
              </w:rPr>
              <w:t xml:space="preserve">Verrouillage, coûts récurrents, propriété du code</w:t>
            </w:r>
          </w:p>
        </w:tc>
        <w:tc>
          <w:tcPr>
            <w:shd w:val="clear" w:color="auto" w:fill="F5F7FB"/>
          </w:tcPr>
          <w:p>
            <w:pPr>
              <w:pStyle w:val="Compact"/>
            </w:pPr>
            <w:r>
              <w:rPr>
                <w:sz w:val="17"/>
              </w:rPr>
              <w:t xml:space="preserve">Acceptable seulement avec clauses fortes</w:t>
            </w:r>
          </w:p>
        </w:tc>
      </w:tr>
      <w:tr>
        <w:tc>
          <w:tcPr/>
          <w:p>
            <w:pPr>
              <w:pStyle w:val="Compact"/>
            </w:pPr>
            <w:r>
              <w:rPr>
                <w:sz w:val="17"/>
              </w:rPr>
              <w:t xml:space="preserve">PPP (Loi n° 18/016)</w:t>
            </w:r>
          </w:p>
        </w:tc>
        <w:tc>
          <w:tcPr/>
          <w:p>
            <w:pPr>
              <w:pStyle w:val="Compact"/>
            </w:pPr>
            <w:r>
              <w:rPr>
                <w:sz w:val="17"/>
              </w:rPr>
              <w:t xml:space="preserve">Partenaire finance, conçoit, exploite, rémunéré selon le contrat</w:t>
            </w:r>
          </w:p>
        </w:tc>
        <w:tc>
          <w:tcPr/>
          <w:p>
            <w:pPr>
              <w:pStyle w:val="Compact"/>
            </w:pPr>
            <w:r>
              <w:rPr>
                <w:sz w:val="17"/>
              </w:rPr>
              <w:t xml:space="preserve">Financement privé, engagement de performance</w:t>
            </w:r>
          </w:p>
        </w:tc>
        <w:tc>
          <w:tcPr/>
          <w:p>
            <w:pPr>
              <w:pStyle w:val="Compact"/>
            </w:pPr>
            <w:r>
              <w:rPr>
                <w:sz w:val="17"/>
              </w:rPr>
              <w:t xml:space="preserve">Complexité, durée, risque de rémunération excessive</w:t>
            </w:r>
          </w:p>
        </w:tc>
        <w:tc>
          <w:tcPr/>
          <w:p>
            <w:pPr>
              <w:pStyle w:val="Compact"/>
            </w:pPr>
            <w:r>
              <w:rPr>
                <w:sz w:val="17"/>
              </w:rPr>
              <w:t xml:space="preserve">Possible avec mise en concurrence</w:t>
            </w:r>
          </w:p>
        </w:tc>
      </w:tr>
      <w:tr>
        <w:tc>
          <w:tcPr>
            <w:shd w:val="clear" w:color="auto" w:fill="F5F7FB"/>
          </w:tcPr>
          <w:p>
            <w:pPr>
              <w:pStyle w:val="Compact"/>
            </w:pPr>
            <w:r>
              <w:rPr>
                <w:sz w:val="17"/>
              </w:rPr>
              <w:t xml:space="preserve">BOT (construire-exploiter-transférer)</w:t>
            </w:r>
          </w:p>
        </w:tc>
        <w:tc>
          <w:tcPr>
            <w:shd w:val="clear" w:color="auto" w:fill="F5F7FB"/>
          </w:tcPr>
          <w:p>
            <w:pPr>
              <w:pStyle w:val="Compact"/>
            </w:pPr>
            <w:r>
              <w:rPr>
                <w:sz w:val="17"/>
              </w:rPr>
              <w:t xml:space="preserve">Idem avec transfert à terme</w:t>
            </w:r>
          </w:p>
        </w:tc>
        <w:tc>
          <w:tcPr>
            <w:shd w:val="clear" w:color="auto" w:fill="F5F7FB"/>
          </w:tcPr>
          <w:p>
            <w:pPr>
              <w:pStyle w:val="Compact"/>
            </w:pPr>
            <w:r>
              <w:rPr>
                <w:sz w:val="17"/>
              </w:rPr>
              <w:t xml:space="preserve">Transfert final</w:t>
            </w:r>
          </w:p>
        </w:tc>
        <w:tc>
          <w:tcPr>
            <w:shd w:val="clear" w:color="auto" w:fill="F5F7FB"/>
          </w:tcPr>
          <w:p>
            <w:pPr>
              <w:pStyle w:val="Compact"/>
            </w:pPr>
            <w:r>
              <w:rPr>
                <w:sz w:val="17"/>
              </w:rPr>
              <w:t xml:space="preserve">Durée longue ; qualité au moment du transfert</w:t>
            </w:r>
          </w:p>
        </w:tc>
        <w:tc>
          <w:tcPr>
            <w:shd w:val="clear" w:color="auto" w:fill="F5F7FB"/>
          </w:tcPr>
          <w:p>
            <w:pPr>
              <w:pStyle w:val="Compact"/>
            </w:pPr>
            <w:r>
              <w:rPr>
                <w:sz w:val="17"/>
              </w:rPr>
              <w:t xml:space="preserve">Possible, durée courte</w:t>
            </w:r>
          </w:p>
        </w:tc>
      </w:tr>
      <w:tr>
        <w:tc>
          <w:tcPr/>
          <w:p>
            <w:pPr>
              <w:pStyle w:val="Compact"/>
            </w:pPr>
            <w:r>
              <w:rPr>
                <w:sz w:val="17"/>
              </w:rPr>
              <w:t xml:space="preserve">Contrat à la performance (pourcentage des recettes)</w:t>
            </w:r>
          </w:p>
        </w:tc>
        <w:tc>
          <w:tcPr/>
          <w:p>
            <w:pPr>
              <w:pStyle w:val="Compact"/>
            </w:pPr>
            <w:r>
              <w:rPr>
                <w:sz w:val="17"/>
              </w:rPr>
              <w:t xml:space="preserve">Rémunération indexée sur les recettes</w:t>
            </w:r>
          </w:p>
        </w:tc>
        <w:tc>
          <w:tcPr/>
          <w:p>
            <w:pPr>
              <w:pStyle w:val="Compact"/>
            </w:pPr>
            <w:r>
              <w:rPr>
                <w:sz w:val="17"/>
              </w:rPr>
              <w:t xml:space="preserve">Aligne les intérêts en apparence</w:t>
            </w:r>
          </w:p>
        </w:tc>
        <w:tc>
          <w:tcPr/>
          <w:p>
            <w:pPr>
              <w:pStyle w:val="Compact"/>
            </w:pPr>
            <w:r>
              <w:rPr>
                <w:b/>
                <w:bCs/>
                <w:sz w:val="17"/>
              </w:rPr>
              <w:t xml:space="preserve">Fermage fiscal</w:t>
            </w:r>
            <w:r>
              <w:rPr>
                <w:sz w:val="17"/>
              </w:rPr>
              <w:t xml:space="preserve">, rémunération sur des recettes que la Province aurait perçues de toute façon, conflit avec l’unité de caisse, risque de gestion de fait, défiance des partenaires</w:t>
            </w:r>
          </w:p>
        </w:tc>
        <w:tc>
          <w:tcPr/>
          <w:p>
            <w:pPr>
              <w:pStyle w:val="Compact"/>
            </w:pPr>
            <w:r>
              <w:rPr>
                <w:b/>
                <w:bCs/>
                <w:sz w:val="17"/>
              </w:rPr>
              <w:t xml:space="preserve">Déconseillé sous forme non plafonnée ou sur recettes brutes</w:t>
            </w:r>
          </w:p>
        </w:tc>
      </w:tr>
      <w:tr>
        <w:tc>
          <w:tcPr>
            <w:shd w:val="clear" w:color="auto" w:fill="F5F7FB"/>
          </w:tcPr>
          <w:p>
            <w:pPr>
              <w:pStyle w:val="Compact"/>
            </w:pPr>
            <w:r>
              <w:rPr>
                <w:b/>
                <w:bCs/>
                <w:sz w:val="17"/>
              </w:rPr>
              <w:t xml:space="preserve">Hybride recommandé</w:t>
            </w:r>
          </w:p>
        </w:tc>
        <w:tc>
          <w:tcPr>
            <w:shd w:val="clear" w:color="auto" w:fill="F5F7FB"/>
          </w:tcPr>
          <w:p>
            <w:pPr>
              <w:pStyle w:val="Compact"/>
            </w:pPr>
            <w:r>
              <w:rPr>
                <w:sz w:val="17"/>
              </w:rPr>
              <w:t xml:space="preserve">Forfaits de réalisation et d’exploitation + prime de performance plafonnée sur recettes additionnelles nettes vérifiées</w:t>
            </w:r>
          </w:p>
        </w:tc>
        <w:tc>
          <w:tcPr>
            <w:shd w:val="clear" w:color="auto" w:fill="F5F7FB"/>
          </w:tcPr>
          <w:p>
            <w:pPr>
              <w:pStyle w:val="Compact"/>
            </w:pPr>
            <w:r>
              <w:rPr>
                <w:sz w:val="17"/>
              </w:rPr>
              <w:t xml:space="preserve">Maîtrise des coûts, incitation réelle, réversibilité</w:t>
            </w:r>
          </w:p>
        </w:tc>
        <w:tc>
          <w:tcPr>
            <w:shd w:val="clear" w:color="auto" w:fill="F5F7FB"/>
          </w:tcPr>
          <w:p>
            <w:pPr>
              <w:pStyle w:val="Compact"/>
            </w:pPr>
            <w:r>
              <w:rPr>
                <w:sz w:val="17"/>
              </w:rPr>
              <w:t xml:space="preserve">Mesure de la base de référence</w:t>
            </w:r>
          </w:p>
        </w:tc>
        <w:tc>
          <w:tcPr>
            <w:shd w:val="clear" w:color="auto" w:fill="F5F7FB"/>
          </w:tcPr>
          <w:p>
            <w:pPr>
              <w:pStyle w:val="Compact"/>
            </w:pPr>
            <w:r>
              <w:rPr>
                <w:b/>
                <w:bCs/>
                <w:sz w:val="17"/>
              </w:rPr>
              <w:t xml:space="preserve">Recommandé</w:t>
            </w:r>
          </w:p>
        </w:tc>
      </w:tr>
    </w:tbl>
    <w:bookmarkEnd w:id="335"/>
    <w:bookmarkStart w:id="336" w:name="Xbaa0ebe63fc99a4190b5058fe065d0036e73121"/>
    <w:p>
      <w:pPr>
        <w:pStyle w:val="Heading2"/>
      </w:pPr>
      <w:r>
        <w:t xml:space="preserve">37.2 Analyse du modèle proposé dans le Cahier v2.9 (§ 37A)</w:t>
      </w:r>
    </w:p>
    <w:p>
      <w:pPr>
        <w:pStyle w:val="FirstParagraph"/>
      </w:pPr>
      <w:r>
        <w:t xml:space="preserve">Le Cahier des exigences v2.9 retient une proposition du promoteur : financement intégral du système numérique par le promoteur contre</w:t>
      </w:r>
      <w:r>
        <w:t xml:space="preserve"> </w:t>
      </w:r>
      <w:r>
        <w:rPr>
          <w:b/>
          <w:bCs/>
        </w:rPr>
        <w:t xml:space="preserve">10 % de toute recette générée par le système pendant 30 ans</w:t>
      </w:r>
      <w:r>
        <w:t xml:space="preserve">, plus 10 % aux ministères de tutelle et 10 % aux agents et sous-traitants, exécutés par deux virements automatiques depuis le compte de recettes. Le présent document, conformément à la commande (« la rémunération à la performance doit être fondée sur une recette additionnelle nette vérifiée, avec base de référence, formule, exclusions, plafond, audit et durée fixe »), en fait l’analyse suivante :</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Point</w:t>
            </w:r>
          </w:p>
        </w:tc>
        <w:tc>
          <w:tcPr>
            <w:shd w:val="clear" w:color="auto" w:fill="232C6B"/>
          </w:tcPr>
          <w:p>
            <w:pPr>
              <w:pStyle w:val="Compact"/>
            </w:pPr>
            <w:r>
              <w:rPr>
                <w:b/>
                <w:color w:val="FFFFFF"/>
                <w:sz w:val="17"/>
              </w:rPr>
              <w:t xml:space="preserve">Constat</w:t>
            </w:r>
          </w:p>
        </w:tc>
        <w:tc>
          <w:tcPr>
            <w:shd w:val="clear" w:color="auto" w:fill="232C6B"/>
          </w:tcPr>
          <w:p>
            <w:pPr>
              <w:pStyle w:val="Compact"/>
            </w:pPr>
            <w:r>
              <w:rPr>
                <w:b/>
                <w:color w:val="FFFFFF"/>
                <w:sz w:val="17"/>
              </w:rPr>
              <w:t xml:space="preserve">Conséquence</w:t>
            </w:r>
          </w:p>
        </w:tc>
      </w:tr>
      <w:tr>
        <w:tc>
          <w:tcPr/>
          <w:p>
            <w:pPr>
              <w:pStyle w:val="Compact"/>
            </w:pPr>
            <w:r>
              <w:rPr>
                <w:sz w:val="17"/>
              </w:rPr>
              <w:t xml:space="preserve">Assiette</w:t>
            </w:r>
          </w:p>
        </w:tc>
        <w:tc>
          <w:tcPr/>
          <w:p>
            <w:pPr>
              <w:pStyle w:val="Compact"/>
            </w:pPr>
            <w:r>
              <w:rPr>
                <w:sz w:val="17"/>
              </w:rPr>
              <w:t xml:space="preserve">10 % de</w:t>
            </w:r>
            <w:r>
              <w:rPr>
                <w:sz w:val="17"/>
              </w:rPr>
              <w:t xml:space="preserve"> </w:t>
            </w:r>
            <w:r>
              <w:rPr>
                <w:b/>
                <w:bCs/>
                <w:sz w:val="17"/>
              </w:rPr>
              <w:t xml:space="preserve">toute</w:t>
            </w:r>
            <w:r>
              <w:rPr>
                <w:sz w:val="17"/>
              </w:rPr>
              <w:t xml:space="preserve"> </w:t>
            </w:r>
            <w:r>
              <w:rPr>
                <w:sz w:val="17"/>
              </w:rPr>
              <w:t xml:space="preserve">recette rapprochée passant par MOSOLO, y compris les recettes que la Province percevait déjà avant le programme</w:t>
            </w:r>
          </w:p>
        </w:tc>
        <w:tc>
          <w:tcPr/>
          <w:p>
            <w:pPr>
              <w:pStyle w:val="Compact"/>
            </w:pPr>
            <w:r>
              <w:rPr>
                <w:sz w:val="17"/>
              </w:rPr>
              <w:t xml:space="preserve">Rémunération sur une base non additionnelle : à recettes constantes, la Province perd 10 %</w:t>
            </w:r>
          </w:p>
        </w:tc>
      </w:tr>
      <w:tr>
        <w:tc>
          <w:tcPr>
            <w:shd w:val="clear" w:color="auto" w:fill="F5F7FB"/>
          </w:tcPr>
          <w:p>
            <w:pPr>
              <w:pStyle w:val="Compact"/>
            </w:pPr>
            <w:r>
              <w:rPr>
                <w:sz w:val="17"/>
              </w:rPr>
              <w:t xml:space="preserve">Durée</w:t>
            </w:r>
          </w:p>
        </w:tc>
        <w:tc>
          <w:tcPr>
            <w:shd w:val="clear" w:color="auto" w:fill="F5F7FB"/>
          </w:tcPr>
          <w:p>
            <w:pPr>
              <w:pStyle w:val="Compact"/>
            </w:pPr>
            <w:r>
              <w:rPr>
                <w:sz w:val="17"/>
              </w:rPr>
              <w:t xml:space="preserve">30 ans</w:t>
            </w:r>
          </w:p>
        </w:tc>
        <w:tc>
          <w:tcPr>
            <w:shd w:val="clear" w:color="auto" w:fill="F5F7FB"/>
          </w:tcPr>
          <w:p>
            <w:pPr>
              <w:pStyle w:val="Compact"/>
            </w:pPr>
            <w:r>
              <w:rPr>
                <w:sz w:val="17"/>
              </w:rPr>
              <w:t xml:space="preserve">Très au-delà de la durée de vie d’un système informatique ; engage cinq à six mandatures</w:t>
            </w:r>
          </w:p>
        </w:tc>
      </w:tr>
      <w:tr>
        <w:tc>
          <w:tcPr/>
          <w:p>
            <w:pPr>
              <w:pStyle w:val="Compact"/>
            </w:pPr>
            <w:r>
              <w:rPr>
                <w:sz w:val="17"/>
              </w:rPr>
              <w:t xml:space="preserve">Plafond</w:t>
            </w:r>
          </w:p>
        </w:tc>
        <w:tc>
          <w:tcPr/>
          <w:p>
            <w:pPr>
              <w:pStyle w:val="Compact"/>
            </w:pPr>
            <w:r>
              <w:rPr>
                <w:sz w:val="17"/>
              </w:rPr>
              <w:t xml:space="preserve">Aucun</w:t>
            </w:r>
          </w:p>
        </w:tc>
        <w:tc>
          <w:tcPr/>
          <w:p>
            <w:pPr>
              <w:pStyle w:val="Compact"/>
            </w:pPr>
            <w:r>
              <w:rPr>
                <w:sz w:val="17"/>
              </w:rPr>
              <w:t xml:space="preserve">Coût non borné</w:t>
            </w:r>
          </w:p>
        </w:tc>
      </w:tr>
      <w:tr>
        <w:tc>
          <w:tcPr>
            <w:shd w:val="clear" w:color="auto" w:fill="F5F7FB"/>
          </w:tcPr>
          <w:p>
            <w:pPr>
              <w:pStyle w:val="Compact"/>
            </w:pPr>
            <w:r>
              <w:rPr>
                <w:sz w:val="17"/>
              </w:rPr>
              <w:t xml:space="preserve">Exécution</w:t>
            </w:r>
          </w:p>
        </w:tc>
        <w:tc>
          <w:tcPr>
            <w:shd w:val="clear" w:color="auto" w:fill="F5F7FB"/>
          </w:tcPr>
          <w:p>
            <w:pPr>
              <w:pStyle w:val="Compact"/>
            </w:pPr>
            <w:r>
              <w:rPr>
                <w:sz w:val="17"/>
              </w:rPr>
              <w:t xml:space="preserve">Prélèvement automatique depuis le compte de recettes vers un compte privé</w:t>
            </w:r>
          </w:p>
        </w:tc>
        <w:tc>
          <w:tcPr>
            <w:shd w:val="clear" w:color="auto" w:fill="F5F7FB"/>
          </w:tcPr>
          <w:p>
            <w:pPr>
              <w:pStyle w:val="Compact"/>
            </w:pPr>
            <w:r>
              <w:rPr>
                <w:sz w:val="17"/>
              </w:rPr>
              <w:t xml:space="preserve">Contraire au principe de fonds publics sur comptes publics (P5) et exposé au regard de l’unité de caisse (LOFIP) et du risque de gestion de fait (Cour des comptes)</w:t>
            </w:r>
          </w:p>
        </w:tc>
      </w:tr>
      <w:tr>
        <w:tc>
          <w:tcPr/>
          <w:p>
            <w:pPr>
              <w:pStyle w:val="Compact"/>
            </w:pPr>
            <w:r>
              <w:rPr>
                <w:sz w:val="17"/>
              </w:rPr>
              <w:t xml:space="preserve">Rétrocessions de 10 % aux ministères et de 10 % aux agents</w:t>
            </w:r>
          </w:p>
        </w:tc>
        <w:tc>
          <w:tcPr/>
          <w:p>
            <w:pPr>
              <w:pStyle w:val="Compact"/>
            </w:pPr>
            <w:r>
              <w:rPr>
                <w:sz w:val="17"/>
              </w:rPr>
              <w:t xml:space="preserve">Affectation automatique hors procédure budgétaire</w:t>
            </w:r>
          </w:p>
        </w:tc>
        <w:tc>
          <w:tcPr/>
          <w:p>
            <w:pPr>
              <w:pStyle w:val="Compact"/>
            </w:pPr>
            <w:r>
              <w:rPr>
                <w:sz w:val="17"/>
              </w:rPr>
              <w:t xml:space="preserve">À fonder sur un texte ; sinon contraire à l’universalité budgétaire</w:t>
            </w:r>
          </w:p>
        </w:tc>
      </w:tr>
      <w:tr>
        <w:tc>
          <w:tcPr>
            <w:shd w:val="clear" w:color="auto" w:fill="F5F7FB"/>
          </w:tcPr>
          <w:p>
            <w:pPr>
              <w:pStyle w:val="Compact"/>
            </w:pPr>
            <w:r>
              <w:rPr>
                <w:sz w:val="17"/>
              </w:rPr>
              <w:t xml:space="preserve">Perception externe</w:t>
            </w:r>
          </w:p>
        </w:tc>
        <w:tc>
          <w:tcPr>
            <w:shd w:val="clear" w:color="auto" w:fill="F5F7FB"/>
          </w:tcPr>
          <w:p>
            <w:pPr>
              <w:pStyle w:val="Compact"/>
            </w:pPr>
            <w:r>
              <w:rPr>
                <w:sz w:val="17"/>
              </w:rPr>
              <w:t xml:space="preserve">Les partenaires techniques et financiers et l’évaluation TADAT regardent avec prudence les rémunérations privées indexées sur les recettes fiscales</w:t>
            </w:r>
          </w:p>
        </w:tc>
        <w:tc>
          <w:tcPr>
            <w:shd w:val="clear" w:color="auto" w:fill="F5F7FB"/>
          </w:tcPr>
          <w:p>
            <w:pPr>
              <w:pStyle w:val="Compact"/>
            </w:pPr>
            <w:r>
              <w:rPr>
                <w:sz w:val="17"/>
              </w:rPr>
              <w:t xml:space="preserve">Risque de réputation et de financement</w:t>
            </w:r>
          </w:p>
        </w:tc>
      </w:tr>
      <w:tr>
        <w:tc>
          <w:tcPr/>
          <w:p>
            <w:pPr>
              <w:pStyle w:val="Compact"/>
            </w:pPr>
            <w:r>
              <w:rPr>
                <w:sz w:val="17"/>
              </w:rPr>
              <w:t xml:space="preserve">Base juridique</w:t>
            </w:r>
          </w:p>
        </w:tc>
        <w:tc>
          <w:tcPr/>
          <w:p>
            <w:pPr>
              <w:pStyle w:val="Compact"/>
            </w:pPr>
            <w:r>
              <w:rPr>
                <w:sz w:val="17"/>
              </w:rPr>
              <w:t xml:space="preserve">Aucun texte identifié ne l’autorise ni ne l’interdit expressément (J11)</w:t>
            </w:r>
          </w:p>
        </w:tc>
        <w:tc>
          <w:tcPr/>
          <w:p>
            <w:pPr>
              <w:pStyle w:val="Compact"/>
            </w:pPr>
            <w:r>
              <w:rPr>
                <w:sz w:val="17"/>
              </w:rPr>
              <w:t xml:space="preserve">Avis juridique certifié indispensable avant toute signature</w:t>
            </w:r>
          </w:p>
        </w:tc>
      </w:tr>
    </w:tbl>
    <w:p>
      <w:pPr>
        <w:pStyle w:val="BodyText"/>
      </w:pPr>
      <w:r>
        <w:rPr>
          <w:b/>
          <w:bCs/>
        </w:rPr>
        <w:t xml:space="preserve">Recommandation.</w:t>
      </w:r>
      <w:r>
        <w:t xml:space="preserve"> </w:t>
      </w:r>
      <w:r>
        <w:t xml:space="preserve">Ne pas retenir le modèle 10/10/10/70 sous sa forme actuelle. Lui substituer le modèle hybride du § 37.3, qui préserve l’intérêt du partenaire à la réussite</w:t>
      </w:r>
      <w:r>
        <w:t xml:space="preserve"> </w:t>
      </w:r>
      <w:r>
        <w:rPr>
          <w:b/>
          <w:bCs/>
        </w:rPr>
        <w:t xml:space="preserve">sans prélèvement à la source</w:t>
      </w:r>
      <w:r>
        <w:t xml:space="preserve">, avec une rémunération bornée et mesurée sur la seule valeur ajoutée. Si le Gouvernement souhaite néanmoins examiner une formule de partage, elle doit au minimum : (1) porter sur la</w:t>
      </w:r>
      <w:r>
        <w:t xml:space="preserve"> </w:t>
      </w:r>
      <w:r>
        <w:rPr>
          <w:b/>
          <w:bCs/>
        </w:rPr>
        <w:t xml:space="preserve">recette additionnelle nette vérifiée</w:t>
      </w:r>
      <w:r>
        <w:t xml:space="preserve"> </w:t>
      </w:r>
      <w:r>
        <w:t xml:space="preserve">et non sur la recette brute ; (2) être</w:t>
      </w:r>
      <w:r>
        <w:t xml:space="preserve"> </w:t>
      </w:r>
      <w:r>
        <w:rPr>
          <w:b/>
          <w:bCs/>
        </w:rPr>
        <w:t xml:space="preserve">plafonnée</w:t>
      </w:r>
      <w:r>
        <w:t xml:space="preserve"> </w:t>
      </w:r>
      <w:r>
        <w:t xml:space="preserve">en montant annuel et cumulé ; (3) avoir une</w:t>
      </w:r>
      <w:r>
        <w:t xml:space="preserve"> </w:t>
      </w:r>
      <w:r>
        <w:rPr>
          <w:b/>
          <w:bCs/>
        </w:rPr>
        <w:t xml:space="preserve">durée fixe courte</w:t>
      </w:r>
      <w:r>
        <w:t xml:space="preserve"> </w:t>
      </w:r>
      <w:r>
        <w:t xml:space="preserve">(5 à 7 ans) ; (4) être</w:t>
      </w:r>
      <w:r>
        <w:t xml:space="preserve"> </w:t>
      </w:r>
      <w:r>
        <w:rPr>
          <w:b/>
          <w:bCs/>
        </w:rPr>
        <w:t xml:space="preserve">payée sur crédit budgétaire</w:t>
      </w:r>
      <w:r>
        <w:t xml:space="preserve"> </w:t>
      </w:r>
      <w:r>
        <w:t xml:space="preserve">après certification, jamais par prélèvement automatique ; (5) être attribuée après</w:t>
      </w:r>
      <w:r>
        <w:t xml:space="preserve"> </w:t>
      </w:r>
      <w:r>
        <w:rPr>
          <w:b/>
          <w:bCs/>
        </w:rPr>
        <w:t xml:space="preserve">mise en concurrence</w:t>
      </w:r>
      <w:r>
        <w:t xml:space="preserve"> </w:t>
      </w:r>
      <w:r>
        <w:t xml:space="preserve">(marchés publics ou PPP) ; (6) être validée par un avis juridique certifié et, si nécessaire, par un acte de l’Assemblée provinciale.</w:t>
      </w:r>
    </w:p>
    <w:bookmarkEnd w:id="336"/>
    <w:bookmarkStart w:id="337" w:name="structure-commerciale-recommandée"/>
    <w:p>
      <w:pPr>
        <w:pStyle w:val="Heading2"/>
      </w:pPr>
      <w:r>
        <w:t xml:space="preserve">37.3 Structure commerciale recommandée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Composante</w:t>
            </w:r>
          </w:p>
        </w:tc>
        <w:tc>
          <w:tcPr>
            <w:shd w:val="clear" w:color="auto" w:fill="232C6B"/>
          </w:tcPr>
          <w:p>
            <w:pPr>
              <w:pStyle w:val="Compact"/>
            </w:pPr>
            <w:r>
              <w:rPr>
                <w:b/>
                <w:color w:val="FFFFFF"/>
                <w:sz w:val="17"/>
              </w:rPr>
              <w:t xml:space="preserve">Nature</w:t>
            </w:r>
          </w:p>
        </w:tc>
        <w:tc>
          <w:tcPr>
            <w:shd w:val="clear" w:color="auto" w:fill="232C6B"/>
          </w:tcPr>
          <w:p>
            <w:pPr>
              <w:pStyle w:val="Compact"/>
            </w:pPr>
            <w:r>
              <w:rPr>
                <w:b/>
                <w:color w:val="FFFFFF"/>
                <w:sz w:val="17"/>
              </w:rPr>
              <w:t xml:space="preserve">Mode de paiement</w:t>
            </w:r>
          </w:p>
        </w:tc>
      </w:tr>
      <w:tr>
        <w:tc>
          <w:tcPr/>
          <w:p>
            <w:pPr>
              <w:pStyle w:val="Compact"/>
            </w:pPr>
            <w:r>
              <w:rPr>
                <w:sz w:val="17"/>
              </w:rPr>
              <w:t xml:space="preserve">Forfait de réalisation</w:t>
            </w:r>
          </w:p>
        </w:tc>
        <w:tc>
          <w:tcPr/>
          <w:p>
            <w:pPr>
              <w:pStyle w:val="Compact"/>
            </w:pPr>
            <w:r>
              <w:rPr>
                <w:sz w:val="17"/>
              </w:rPr>
              <w:t xml:space="preserve">Prix ferme par lot (socle, R1, R2…), payé sur livrables acceptés</w:t>
            </w:r>
          </w:p>
        </w:tc>
        <w:tc>
          <w:tcPr/>
          <w:p>
            <w:pPr>
              <w:pStyle w:val="Compact"/>
            </w:pPr>
            <w:r>
              <w:rPr>
                <w:sz w:val="17"/>
              </w:rPr>
              <w:t xml:space="preserve">Budget d’investissement</w:t>
            </w:r>
          </w:p>
        </w:tc>
      </w:tr>
      <w:tr>
        <w:tc>
          <w:tcPr>
            <w:shd w:val="clear" w:color="auto" w:fill="F5F7FB"/>
          </w:tcPr>
          <w:p>
            <w:pPr>
              <w:pStyle w:val="Compact"/>
            </w:pPr>
            <w:r>
              <w:rPr>
                <w:sz w:val="17"/>
              </w:rPr>
              <w:t xml:space="preserve">Forfait d’exploitation et de maintenance</w:t>
            </w:r>
          </w:p>
        </w:tc>
        <w:tc>
          <w:tcPr>
            <w:shd w:val="clear" w:color="auto" w:fill="F5F7FB"/>
          </w:tcPr>
          <w:p>
            <w:pPr>
              <w:pStyle w:val="Compact"/>
            </w:pPr>
            <w:r>
              <w:rPr>
                <w:sz w:val="17"/>
              </w:rPr>
              <w:t xml:space="preserve">Prix annuel par niveau de service (disponibilité, support, correctifs)</w:t>
            </w:r>
          </w:p>
        </w:tc>
        <w:tc>
          <w:tcPr>
            <w:shd w:val="clear" w:color="auto" w:fill="F5F7FB"/>
          </w:tcPr>
          <w:p>
            <w:pPr>
              <w:pStyle w:val="Compact"/>
            </w:pPr>
            <w:r>
              <w:rPr>
                <w:sz w:val="17"/>
              </w:rPr>
              <w:t xml:space="preserve">Budget de fonctionnement, pénalités de SLA</w:t>
            </w:r>
          </w:p>
        </w:tc>
      </w:tr>
      <w:tr>
        <w:tc>
          <w:tcPr/>
          <w:p>
            <w:pPr>
              <w:pStyle w:val="Compact"/>
            </w:pPr>
            <w:r>
              <w:rPr>
                <w:sz w:val="17"/>
              </w:rPr>
              <w:t xml:space="preserve">Hébergement</w:t>
            </w:r>
          </w:p>
        </w:tc>
        <w:tc>
          <w:tcPr/>
          <w:p>
            <w:pPr>
              <w:pStyle w:val="Compact"/>
            </w:pPr>
            <w:r>
              <w:rPr>
                <w:sz w:val="17"/>
              </w:rPr>
              <w:t xml:space="preserve">Refacturation transparente au coût ou marché séparé</w:t>
            </w:r>
          </w:p>
        </w:tc>
        <w:tc>
          <w:tcPr/>
          <w:p>
            <w:pPr>
              <w:pStyle w:val="Compact"/>
            </w:pPr>
            <w:r>
              <w:rPr>
                <w:sz w:val="17"/>
              </w:rPr>
              <w:t xml:space="preserve">Idem</w:t>
            </w:r>
          </w:p>
        </w:tc>
      </w:tr>
      <w:tr>
        <w:tc>
          <w:tcPr>
            <w:shd w:val="clear" w:color="auto" w:fill="F5F7FB"/>
          </w:tcPr>
          <w:p>
            <w:pPr>
              <w:pStyle w:val="Compact"/>
            </w:pPr>
            <w:r>
              <w:rPr>
                <w:sz w:val="17"/>
              </w:rPr>
              <w:t xml:space="preserve">Prime de performance plafonnée</w:t>
            </w:r>
          </w:p>
        </w:tc>
        <w:tc>
          <w:tcPr>
            <w:shd w:val="clear" w:color="auto" w:fill="F5F7FB"/>
          </w:tcPr>
          <w:p>
            <w:pPr>
              <w:pStyle w:val="Compact"/>
            </w:pPr>
            <w:r>
              <w:rPr>
                <w:sz w:val="17"/>
              </w:rPr>
              <w:t xml:space="preserve">% de la</w:t>
            </w:r>
            <w:r>
              <w:rPr>
                <w:sz w:val="17"/>
              </w:rPr>
              <w:t xml:space="preserve"> </w:t>
            </w:r>
            <w:r>
              <w:rPr>
                <w:b/>
                <w:bCs/>
                <w:sz w:val="17"/>
              </w:rPr>
              <w:t xml:space="preserve">recette additionnelle nette vérifiée</w:t>
            </w:r>
            <w:r>
              <w:rPr>
                <w:sz w:val="17"/>
              </w:rPr>
              <w:t xml:space="preserve"> </w:t>
            </w:r>
            <w:r>
              <w:rPr>
                <w:sz w:val="17"/>
              </w:rPr>
              <w:t xml:space="preserve">au-delà de la base de référence</w:t>
            </w:r>
          </w:p>
        </w:tc>
        <w:tc>
          <w:tcPr>
            <w:shd w:val="clear" w:color="auto" w:fill="F5F7FB"/>
          </w:tcPr>
          <w:p>
            <w:pPr>
              <w:pStyle w:val="Compact"/>
            </w:pPr>
            <w:r>
              <w:rPr>
                <w:sz w:val="17"/>
              </w:rPr>
              <w:t xml:space="preserve">Payée annuellement après certification par l’auditeur indépendant ; plafond annuel ; durée 5 ans</w:t>
            </w:r>
          </w:p>
        </w:tc>
      </w:tr>
      <w:tr>
        <w:tc>
          <w:tcPr/>
          <w:p>
            <w:pPr>
              <w:pStyle w:val="Compact"/>
            </w:pPr>
            <w:r>
              <w:rPr>
                <w:sz w:val="17"/>
              </w:rPr>
              <w:t xml:space="preserve">Évolutions</w:t>
            </w:r>
          </w:p>
        </w:tc>
        <w:tc>
          <w:tcPr/>
          <w:p>
            <w:pPr>
              <w:pStyle w:val="Compact"/>
            </w:pPr>
            <w:r>
              <w:rPr>
                <w:sz w:val="17"/>
              </w:rPr>
              <w:t xml:space="preserve">Bordereau de prix unitaires (jours-personne par profil) fixé au contrat</w:t>
            </w:r>
          </w:p>
        </w:tc>
        <w:tc>
          <w:tcPr/>
          <w:p>
            <w:pPr>
              <w:pStyle w:val="Compact"/>
            </w:pPr>
            <w:r>
              <w:rPr>
                <w:sz w:val="17"/>
              </w:rPr>
              <w:t xml:space="preserve">Sur bons de commande approuvés</w:t>
            </w:r>
          </w:p>
        </w:tc>
      </w:tr>
    </w:tbl>
    <w:p>
      <w:pPr>
        <w:pStyle w:val="BodyText"/>
      </w:pPr>
      <w:r>
        <w:rPr>
          <w:b/>
          <w:bCs/>
        </w:rPr>
        <w:t xml:space="preserve">Formule de la prime (à ajuster en négociation).</w:t>
      </w:r>
    </w:p>
    <w:p>
      <w:pPr>
        <w:pStyle w:val="BlockText"/>
      </w:pPr>
      <w:r>
        <w:t xml:space="preserve">Prime(année) = min( taux × max(0, RANV(année)) ; plafond annuel )</w:t>
      </w:r>
    </w:p>
    <w:p>
      <w:pPr>
        <w:pStyle w:val="BlockText"/>
      </w:pPr>
      <w:r>
        <w:t xml:space="preserve">RANV = Recettes rapprochées du périmètre − Base de référence ajustée − Recettes exclues − Remboursements et corrections</w:t>
      </w:r>
    </w:p>
    <w:p>
      <w:pPr>
        <w:pStyle w:val="BlockText"/>
      </w:pPr>
      <w:r>
        <w:t xml:space="preserve">Base de référence ajustée = moyenne des recettes rapprochées des 3 exercices antérieurs × (1 + inflation officielle) × (1 + effet des changements de taux décidés par la Province)</w:t>
      </w:r>
    </w:p>
    <w:p>
      <w:pPr>
        <w:pStyle w:val="BlockText"/>
      </w:pPr>
      <w:r>
        <w:t xml:space="preserve">Exclusions : effets de hausses de taux ou de nouvelles recettes créées par acte ; recettes exceptionnelles (arriérés de grands redevables recouvrés par voie judiciaire, régularisations imposées par un texte) ; effets de change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Protection</w:t>
            </w:r>
          </w:p>
        </w:tc>
        <w:tc>
          <w:tcPr>
            <w:shd w:val="clear" w:color="auto" w:fill="232C6B"/>
          </w:tcPr>
          <w:p>
            <w:pPr>
              <w:pStyle w:val="Compact"/>
            </w:pPr>
            <w:r>
              <w:rPr>
                <w:b/>
                <w:color w:val="FFFFFF"/>
                <w:sz w:val="17"/>
              </w:rPr>
              <w:t xml:space="preserve">Clause</w:t>
            </w:r>
          </w:p>
        </w:tc>
      </w:tr>
      <w:tr>
        <w:tc>
          <w:tcPr/>
          <w:p>
            <w:pPr>
              <w:pStyle w:val="Compact"/>
            </w:pPr>
            <w:r>
              <w:rPr>
                <w:sz w:val="17"/>
              </w:rPr>
              <w:t xml:space="preserve">Base de référence</w:t>
            </w:r>
          </w:p>
        </w:tc>
        <w:tc>
          <w:tcPr/>
          <w:p>
            <w:pPr>
              <w:pStyle w:val="Compact"/>
            </w:pPr>
            <w:r>
              <w:rPr>
                <w:sz w:val="17"/>
              </w:rPr>
              <w:t xml:space="preserve">Mesurée et certifiée par un auditeur indépendant avant démarrage</w:t>
            </w:r>
          </w:p>
        </w:tc>
      </w:tr>
      <w:tr>
        <w:tc>
          <w:tcPr>
            <w:shd w:val="clear" w:color="auto" w:fill="F5F7FB"/>
          </w:tcPr>
          <w:p>
            <w:pPr>
              <w:pStyle w:val="Compact"/>
            </w:pPr>
            <w:r>
              <w:rPr>
                <w:sz w:val="17"/>
              </w:rPr>
              <w:t xml:space="preserve">Audit</w:t>
            </w:r>
          </w:p>
        </w:tc>
        <w:tc>
          <w:tcPr>
            <w:shd w:val="clear" w:color="auto" w:fill="F5F7FB"/>
          </w:tcPr>
          <w:p>
            <w:pPr>
              <w:pStyle w:val="Compact"/>
            </w:pPr>
            <w:r>
              <w:rPr>
                <w:sz w:val="17"/>
              </w:rPr>
              <w:t xml:space="preserve">Droit d’audit de la Province, de la Cour des comptes et de l’inspection</w:t>
            </w:r>
          </w:p>
        </w:tc>
      </w:tr>
      <w:tr>
        <w:tc>
          <w:tcPr/>
          <w:p>
            <w:pPr>
              <w:pStyle w:val="Compact"/>
            </w:pPr>
            <w:r>
              <w:rPr>
                <w:sz w:val="17"/>
              </w:rPr>
              <w:t xml:space="preserve">Plafond</w:t>
            </w:r>
          </w:p>
        </w:tc>
        <w:tc>
          <w:tcPr/>
          <w:p>
            <w:pPr>
              <w:pStyle w:val="Compact"/>
            </w:pPr>
            <w:r>
              <w:rPr>
                <w:sz w:val="17"/>
              </w:rPr>
              <w:t xml:space="preserve">Annuel et cumulé</w:t>
            </w:r>
          </w:p>
        </w:tc>
      </w:tr>
      <w:tr>
        <w:tc>
          <w:tcPr>
            <w:shd w:val="clear" w:color="auto" w:fill="F5F7FB"/>
          </w:tcPr>
          <w:p>
            <w:pPr>
              <w:pStyle w:val="Compact"/>
            </w:pPr>
            <w:r>
              <w:rPr>
                <w:sz w:val="17"/>
              </w:rPr>
              <w:t xml:space="preserve">Durée</w:t>
            </w:r>
          </w:p>
        </w:tc>
        <w:tc>
          <w:tcPr>
            <w:shd w:val="clear" w:color="auto" w:fill="F5F7FB"/>
          </w:tcPr>
          <w:p>
            <w:pPr>
              <w:pStyle w:val="Compact"/>
            </w:pPr>
            <w:r>
              <w:rPr>
                <w:sz w:val="17"/>
              </w:rPr>
              <w:t xml:space="preserve">Fixe, sans reconduction tacite</w:t>
            </w:r>
          </w:p>
        </w:tc>
      </w:tr>
      <w:tr>
        <w:tc>
          <w:tcPr/>
          <w:p>
            <w:pPr>
              <w:pStyle w:val="Compact"/>
            </w:pPr>
            <w:r>
              <w:rPr>
                <w:sz w:val="17"/>
              </w:rPr>
              <w:t xml:space="preserve">Frais cachés</w:t>
            </w:r>
          </w:p>
        </w:tc>
        <w:tc>
          <w:tcPr/>
          <w:p>
            <w:pPr>
              <w:pStyle w:val="Compact"/>
            </w:pPr>
            <w:r>
              <w:rPr>
                <w:sz w:val="17"/>
              </w:rPr>
              <w:t xml:space="preserve">Interdiction de toute commission non inscrite au contrat ; commissions des canaux de paiement négociées séparément et publiées</w:t>
            </w:r>
          </w:p>
        </w:tc>
      </w:tr>
      <w:tr>
        <w:tc>
          <w:tcPr>
            <w:shd w:val="clear" w:color="auto" w:fill="F5F7FB"/>
          </w:tcPr>
          <w:p>
            <w:pPr>
              <w:pStyle w:val="Compact"/>
            </w:pPr>
            <w:r>
              <w:rPr>
                <w:sz w:val="17"/>
              </w:rPr>
              <w:t xml:space="preserve">Verrouillage</w:t>
            </w:r>
          </w:p>
        </w:tc>
        <w:tc>
          <w:tcPr>
            <w:shd w:val="clear" w:color="auto" w:fill="F5F7FB"/>
          </w:tcPr>
          <w:p>
            <w:pPr>
              <w:pStyle w:val="Compact"/>
            </w:pPr>
            <w:r>
              <w:rPr>
                <w:sz w:val="17"/>
              </w:rPr>
              <w:t xml:space="preserve">Propriété ou licence perpétuelle du code, dépôt à chaque version, formats ouverts</w:t>
            </w:r>
          </w:p>
        </w:tc>
      </w:tr>
      <w:tr>
        <w:tc>
          <w:tcPr/>
          <w:p>
            <w:pPr>
              <w:pStyle w:val="Compact"/>
            </w:pPr>
            <w:r>
              <w:rPr>
                <w:sz w:val="17"/>
              </w:rPr>
              <w:t xml:space="preserve">Données</w:t>
            </w:r>
          </w:p>
        </w:tc>
        <w:tc>
          <w:tcPr/>
          <w:p>
            <w:pPr>
              <w:pStyle w:val="Compact"/>
            </w:pPr>
            <w:r>
              <w:rPr>
                <w:sz w:val="17"/>
              </w:rPr>
              <w:t xml:space="preserve">Propriété exclusive de la Province ; interdiction de réutilisation</w:t>
            </w:r>
          </w:p>
        </w:tc>
      </w:tr>
      <w:tr>
        <w:tc>
          <w:tcPr>
            <w:shd w:val="clear" w:color="auto" w:fill="F5F7FB"/>
          </w:tcPr>
          <w:p>
            <w:pPr>
              <w:pStyle w:val="Compact"/>
            </w:pPr>
            <w:r>
              <w:rPr>
                <w:sz w:val="17"/>
              </w:rPr>
              <w:t xml:space="preserve">Coûts de changement</w:t>
            </w:r>
          </w:p>
        </w:tc>
        <w:tc>
          <w:tcPr>
            <w:shd w:val="clear" w:color="auto" w:fill="F5F7FB"/>
          </w:tcPr>
          <w:p>
            <w:pPr>
              <w:pStyle w:val="Compact"/>
            </w:pPr>
            <w:r>
              <w:rPr>
                <w:sz w:val="17"/>
              </w:rPr>
              <w:t xml:space="preserve">Bordereau de prix unitaires ; plafond annuel des évolutions</w:t>
            </w:r>
          </w:p>
        </w:tc>
      </w:tr>
      <w:tr>
        <w:tc>
          <w:tcPr/>
          <w:p>
            <w:pPr>
              <w:pStyle w:val="Compact"/>
            </w:pPr>
            <w:r>
              <w:rPr>
                <w:sz w:val="17"/>
              </w:rPr>
              <w:t xml:space="preserve">Sortie</w:t>
            </w:r>
          </w:p>
        </w:tc>
        <w:tc>
          <w:tcPr/>
          <w:p>
            <w:pPr>
              <w:pStyle w:val="Compact"/>
            </w:pPr>
            <w:r>
              <w:rPr>
                <w:sz w:val="17"/>
              </w:rPr>
              <w:t xml:space="preserve">Plan de réversibilité, assistance de 12 mois, prix fixé à l’avance</w:t>
            </w:r>
          </w:p>
        </w:tc>
      </w:tr>
      <w:tr>
        <w:tc>
          <w:tcPr>
            <w:shd w:val="clear" w:color="auto" w:fill="F5F7FB"/>
          </w:tcPr>
          <w:p>
            <w:pPr>
              <w:pStyle w:val="Compact"/>
            </w:pPr>
            <w:r>
              <w:rPr>
                <w:sz w:val="17"/>
              </w:rPr>
              <w:t xml:space="preserve">Dépendance</w:t>
            </w:r>
          </w:p>
        </w:tc>
        <w:tc>
          <w:tcPr>
            <w:shd w:val="clear" w:color="auto" w:fill="F5F7FB"/>
          </w:tcPr>
          <w:p>
            <w:pPr>
              <w:pStyle w:val="Compact"/>
            </w:pPr>
            <w:r>
              <w:rPr>
                <w:sz w:val="17"/>
              </w:rPr>
              <w:t xml:space="preserve">Transfert de compétences obligatoire ; indicateur d’autonomie de l’équipe provinciale</w:t>
            </w:r>
          </w:p>
        </w:tc>
      </w:tr>
    </w:tbl>
    <w:bookmarkEnd w:id="337"/>
    <w:bookmarkStart w:id="338" w:name="postes-de-coût-à-chiffrer"/>
    <w:p>
      <w:pPr>
        <w:pStyle w:val="Heading2"/>
      </w:pPr>
      <w:r>
        <w:t xml:space="preserve">37.4 Postes de coût à chiffrer</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Poste</w:t>
            </w:r>
          </w:p>
        </w:tc>
        <w:tc>
          <w:tcPr>
            <w:shd w:val="clear" w:color="auto" w:fill="232C6B"/>
          </w:tcPr>
          <w:p>
            <w:pPr>
              <w:pStyle w:val="Compact"/>
            </w:pPr>
            <w:r>
              <w:rPr>
                <w:b/>
                <w:color w:val="FFFFFF"/>
                <w:sz w:val="17"/>
              </w:rPr>
              <w:t xml:space="preserve">Contenu</w:t>
            </w:r>
          </w:p>
        </w:tc>
        <w:tc>
          <w:tcPr>
            <w:shd w:val="clear" w:color="auto" w:fill="232C6B"/>
          </w:tcPr>
          <w:p>
            <w:pPr>
              <w:pStyle w:val="Compact"/>
            </w:pPr>
            <w:r>
              <w:rPr>
                <w:b/>
                <w:color w:val="FFFFFF"/>
                <w:sz w:val="17"/>
              </w:rPr>
              <w:t xml:space="preserve">Inducteur de coût</w:t>
            </w:r>
          </w:p>
        </w:tc>
      </w:tr>
      <w:tr>
        <w:tc>
          <w:tcPr/>
          <w:p>
            <w:pPr>
              <w:pStyle w:val="Compact"/>
            </w:pPr>
            <w:r>
              <w:rPr>
                <w:sz w:val="17"/>
              </w:rPr>
              <w:t xml:space="preserve">Réalisation</w:t>
            </w:r>
          </w:p>
        </w:tc>
        <w:tc>
          <w:tcPr/>
          <w:p>
            <w:pPr>
              <w:pStyle w:val="Compact"/>
            </w:pPr>
            <w:r>
              <w:rPr>
                <w:sz w:val="17"/>
              </w:rPr>
              <w:t xml:space="preserve">Conception, développement, tests</w:t>
            </w:r>
          </w:p>
        </w:tc>
        <w:tc>
          <w:tcPr/>
          <w:p>
            <w:pPr>
              <w:pStyle w:val="Compact"/>
            </w:pPr>
            <w:r>
              <w:rPr>
                <w:sz w:val="17"/>
              </w:rPr>
              <w:t xml:space="preserve">Périmètre fonctionnel, nombre d’intégrations</w:t>
            </w:r>
          </w:p>
        </w:tc>
      </w:tr>
      <w:tr>
        <w:tc>
          <w:tcPr>
            <w:shd w:val="clear" w:color="auto" w:fill="F5F7FB"/>
          </w:tcPr>
          <w:p>
            <w:pPr>
              <w:pStyle w:val="Compact"/>
            </w:pPr>
            <w:r>
              <w:rPr>
                <w:sz w:val="17"/>
              </w:rPr>
              <w:t xml:space="preserve">Licences</w:t>
            </w:r>
          </w:p>
        </w:tc>
        <w:tc>
          <w:tcPr>
            <w:shd w:val="clear" w:color="auto" w:fill="F5F7FB"/>
          </w:tcPr>
          <w:p>
            <w:pPr>
              <w:pStyle w:val="Compact"/>
            </w:pPr>
            <w:r>
              <w:rPr>
                <w:sz w:val="17"/>
              </w:rPr>
              <w:t xml:space="preserve">Idéalement nulles (logiciels libres) ; composants commerciaux éventuels</w:t>
            </w:r>
          </w:p>
        </w:tc>
        <w:tc>
          <w:tcPr>
            <w:shd w:val="clear" w:color="auto" w:fill="F5F7FB"/>
          </w:tcPr>
          <w:p>
            <w:pPr>
              <w:pStyle w:val="Compact"/>
            </w:pPr>
            <w:r>
              <w:rPr>
                <w:sz w:val="17"/>
              </w:rPr>
              <w:t xml:space="preserve">Nombre d’utilisateurs, cœurs</w:t>
            </w:r>
          </w:p>
        </w:tc>
      </w:tr>
      <w:tr>
        <w:tc>
          <w:tcPr/>
          <w:p>
            <w:pPr>
              <w:pStyle w:val="Compact"/>
            </w:pPr>
            <w:r>
              <w:rPr>
                <w:sz w:val="17"/>
              </w:rPr>
              <w:t xml:space="preserve">Hébergement</w:t>
            </w:r>
          </w:p>
        </w:tc>
        <w:tc>
          <w:tcPr/>
          <w:p>
            <w:pPr>
              <w:pStyle w:val="Compact"/>
            </w:pPr>
            <w:r>
              <w:rPr>
                <w:sz w:val="17"/>
              </w:rPr>
              <w:t xml:space="preserve">Colocation, matériel, réseau, énergie</w:t>
            </w:r>
          </w:p>
        </w:tc>
        <w:tc>
          <w:tcPr/>
          <w:p>
            <w:pPr>
              <w:pStyle w:val="Compact"/>
            </w:pPr>
            <w:r>
              <w:rPr>
                <w:sz w:val="17"/>
              </w:rPr>
              <w:t xml:space="preserve">Volumétrie, redondance</w:t>
            </w:r>
          </w:p>
        </w:tc>
      </w:tr>
      <w:tr>
        <w:tc>
          <w:tcPr>
            <w:shd w:val="clear" w:color="auto" w:fill="F5F7FB"/>
          </w:tcPr>
          <w:p>
            <w:pPr>
              <w:pStyle w:val="Compact"/>
            </w:pPr>
            <w:r>
              <w:rPr>
                <w:sz w:val="17"/>
              </w:rPr>
              <w:t xml:space="preserve">Maintenance et support</w:t>
            </w:r>
          </w:p>
        </w:tc>
        <w:tc>
          <w:tcPr>
            <w:shd w:val="clear" w:color="auto" w:fill="F5F7FB"/>
          </w:tcPr>
          <w:p>
            <w:pPr>
              <w:pStyle w:val="Compact"/>
            </w:pPr>
            <w:r>
              <w:rPr>
                <w:sz w:val="17"/>
              </w:rPr>
              <w:t xml:space="preserve">Correctifs, évolutions mineures, support N2/N3</w:t>
            </w:r>
          </w:p>
        </w:tc>
        <w:tc>
          <w:tcPr>
            <w:shd w:val="clear" w:color="auto" w:fill="F5F7FB"/>
          </w:tcPr>
          <w:p>
            <w:pPr>
              <w:pStyle w:val="Compact"/>
            </w:pPr>
            <w:r>
              <w:rPr>
                <w:sz w:val="17"/>
              </w:rPr>
              <w:t xml:space="preserve">Niveau de service</w:t>
            </w:r>
          </w:p>
        </w:tc>
      </w:tr>
      <w:tr>
        <w:tc>
          <w:tcPr/>
          <w:p>
            <w:pPr>
              <w:pStyle w:val="Compact"/>
            </w:pPr>
            <w:r>
              <w:rPr>
                <w:sz w:val="17"/>
              </w:rPr>
              <w:t xml:space="preserve">Intégrations</w:t>
            </w:r>
          </w:p>
        </w:tc>
        <w:tc>
          <w:tcPr/>
          <w:p>
            <w:pPr>
              <w:pStyle w:val="Compact"/>
            </w:pPr>
            <w:r>
              <w:rPr>
                <w:sz w:val="17"/>
              </w:rPr>
              <w:t xml:space="preserve">Banques, monnaie mobile, opérateurs, données partenaires</w:t>
            </w:r>
          </w:p>
        </w:tc>
        <w:tc>
          <w:tcPr/>
          <w:p>
            <w:pPr>
              <w:pStyle w:val="Compact"/>
            </w:pPr>
            <w:r>
              <w:rPr>
                <w:sz w:val="17"/>
              </w:rPr>
              <w:t xml:space="preserve">Nombre de partenaires</w:t>
            </w:r>
          </w:p>
        </w:tc>
      </w:tr>
      <w:tr>
        <w:tc>
          <w:tcPr>
            <w:shd w:val="clear" w:color="auto" w:fill="F5F7FB"/>
          </w:tcPr>
          <w:p>
            <w:pPr>
              <w:pStyle w:val="Compact"/>
            </w:pPr>
            <w:r>
              <w:rPr>
                <w:sz w:val="17"/>
              </w:rPr>
              <w:t xml:space="preserve">Coûts des canaux de paiement</w:t>
            </w:r>
          </w:p>
        </w:tc>
        <w:tc>
          <w:tcPr>
            <w:shd w:val="clear" w:color="auto" w:fill="F5F7FB"/>
          </w:tcPr>
          <w:p>
            <w:pPr>
              <w:pStyle w:val="Compact"/>
            </w:pPr>
            <w:r>
              <w:rPr>
                <w:sz w:val="17"/>
              </w:rPr>
              <w:t xml:space="preserve">Commissions par transaction</w:t>
            </w:r>
          </w:p>
        </w:tc>
        <w:tc>
          <w:tcPr>
            <w:shd w:val="clear" w:color="auto" w:fill="F5F7FB"/>
          </w:tcPr>
          <w:p>
            <w:pPr>
              <w:pStyle w:val="Compact"/>
            </w:pPr>
            <w:r>
              <w:rPr>
                <w:sz w:val="17"/>
              </w:rPr>
              <w:t xml:space="preserve">Volumes, négociation,</w:t>
            </w:r>
            <w:r>
              <w:rPr>
                <w:sz w:val="17"/>
              </w:rPr>
              <w:t xml:space="preserve"> </w:t>
            </w:r>
            <w:r>
              <w:rPr>
                <w:b/>
                <w:bCs/>
                <w:sz w:val="17"/>
              </w:rPr>
              <w:t xml:space="preserve">qui les supporte</w:t>
            </w:r>
            <w:r>
              <w:rPr>
                <w:sz w:val="17"/>
              </w:rPr>
              <w:t xml:space="preserve"> </w:t>
            </w:r>
            <w:r>
              <w:rPr>
                <w:sz w:val="17"/>
              </w:rPr>
              <w:t xml:space="preserve">(contribuable, Province)</w:t>
            </w:r>
          </w:p>
        </w:tc>
      </w:tr>
      <w:tr>
        <w:tc>
          <w:tcPr/>
          <w:p>
            <w:pPr>
              <w:pStyle w:val="Compact"/>
            </w:pPr>
            <w:r>
              <w:rPr>
                <w:sz w:val="17"/>
              </w:rPr>
              <w:t xml:space="preserve">Équipements terrain</w:t>
            </w:r>
          </w:p>
        </w:tc>
        <w:tc>
          <w:tcPr/>
          <w:p>
            <w:pPr>
              <w:pStyle w:val="Compact"/>
            </w:pPr>
            <w:r>
              <w:rPr>
                <w:sz w:val="17"/>
              </w:rPr>
              <w:t xml:space="preserve">Terminaux, batteries, imprimantes</w:t>
            </w:r>
          </w:p>
        </w:tc>
        <w:tc>
          <w:tcPr/>
          <w:p>
            <w:pPr>
              <w:pStyle w:val="Compact"/>
            </w:pPr>
            <w:r>
              <w:rPr>
                <w:sz w:val="17"/>
              </w:rPr>
              <w:t xml:space="preserve">Nombre d’agents</w:t>
            </w:r>
          </w:p>
        </w:tc>
      </w:tr>
      <w:tr>
        <w:tc>
          <w:tcPr>
            <w:shd w:val="clear" w:color="auto" w:fill="F5F7FB"/>
          </w:tcPr>
          <w:p>
            <w:pPr>
              <w:pStyle w:val="Compact"/>
            </w:pPr>
            <w:r>
              <w:rPr>
                <w:sz w:val="17"/>
              </w:rPr>
              <w:t xml:space="preserve">Plaques et cartes</w:t>
            </w:r>
          </w:p>
        </w:tc>
        <w:tc>
          <w:tcPr>
            <w:shd w:val="clear" w:color="auto" w:fill="F5F7FB"/>
          </w:tcPr>
          <w:p>
            <w:pPr>
              <w:pStyle w:val="Compact"/>
            </w:pPr>
            <w:r>
              <w:rPr>
                <w:sz w:val="17"/>
              </w:rPr>
              <w:t xml:space="preserve">Plaques fiscales, cartes MOSOLO</w:t>
            </w:r>
          </w:p>
        </w:tc>
        <w:tc>
          <w:tcPr>
            <w:shd w:val="clear" w:color="auto" w:fill="F5F7FB"/>
          </w:tcPr>
          <w:p>
            <w:pPr>
              <w:pStyle w:val="Compact"/>
            </w:pPr>
            <w:r>
              <w:rPr>
                <w:sz w:val="17"/>
              </w:rPr>
              <w:t xml:space="preserve">Nombre d’objets</w:t>
            </w:r>
          </w:p>
        </w:tc>
      </w:tr>
      <w:tr>
        <w:tc>
          <w:tcPr/>
          <w:p>
            <w:pPr>
              <w:pStyle w:val="Compact"/>
            </w:pPr>
            <w:r>
              <w:rPr>
                <w:sz w:val="17"/>
              </w:rPr>
              <w:t xml:space="preserve">SMS et communications</w:t>
            </w:r>
          </w:p>
        </w:tc>
        <w:tc>
          <w:tcPr/>
          <w:p>
            <w:pPr>
              <w:pStyle w:val="Compact"/>
            </w:pPr>
            <w:r>
              <w:rPr>
                <w:sz w:val="17"/>
              </w:rPr>
              <w:t xml:space="preserve">SMS, USSD, SVI</w:t>
            </w:r>
          </w:p>
        </w:tc>
        <w:tc>
          <w:tcPr/>
          <w:p>
            <w:pPr>
              <w:pStyle w:val="Compact"/>
            </w:pPr>
            <w:r>
              <w:rPr>
                <w:sz w:val="17"/>
              </w:rPr>
              <w:t xml:space="preserve">Nombre d’événements × canal (§ 11.4)</w:t>
            </w:r>
          </w:p>
        </w:tc>
      </w:tr>
      <w:tr>
        <w:tc>
          <w:tcPr>
            <w:shd w:val="clear" w:color="auto" w:fill="F5F7FB"/>
          </w:tcPr>
          <w:p>
            <w:pPr>
              <w:pStyle w:val="Compact"/>
            </w:pPr>
            <w:r>
              <w:rPr>
                <w:sz w:val="17"/>
              </w:rPr>
              <w:t xml:space="preserve">Formation</w:t>
            </w:r>
          </w:p>
        </w:tc>
        <w:tc>
          <w:tcPr>
            <w:shd w:val="clear" w:color="auto" w:fill="F5F7FB"/>
          </w:tcPr>
          <w:p>
            <w:pPr>
              <w:pStyle w:val="Compact"/>
            </w:pPr>
            <w:r>
              <w:rPr>
                <w:sz w:val="17"/>
              </w:rPr>
              <w:t xml:space="preserve">Parcours, formateurs, certification</w:t>
            </w:r>
          </w:p>
        </w:tc>
        <w:tc>
          <w:tcPr>
            <w:shd w:val="clear" w:color="auto" w:fill="F5F7FB"/>
          </w:tcPr>
          <w:p>
            <w:pPr>
              <w:pStyle w:val="Compact"/>
            </w:pPr>
            <w:r>
              <w:rPr>
                <w:sz w:val="17"/>
              </w:rPr>
              <w:t xml:space="preserve">Nombre d’utilisateurs</w:t>
            </w:r>
          </w:p>
        </w:tc>
      </w:tr>
      <w:tr>
        <w:tc>
          <w:tcPr/>
          <w:p>
            <w:pPr>
              <w:pStyle w:val="Compact"/>
            </w:pPr>
            <w:r>
              <w:rPr>
                <w:sz w:val="17"/>
              </w:rPr>
              <w:t xml:space="preserve">Cybersécurité</w:t>
            </w:r>
          </w:p>
        </w:tc>
        <w:tc>
          <w:tcPr/>
          <w:p>
            <w:pPr>
              <w:pStyle w:val="Compact"/>
            </w:pPr>
            <w:r>
              <w:rPr>
                <w:sz w:val="17"/>
              </w:rPr>
              <w:t xml:space="preserve">SOC, tests d’intrusion, HSM</w:t>
            </w:r>
          </w:p>
        </w:tc>
        <w:tc>
          <w:tcPr/>
          <w:p>
            <w:pPr>
              <w:pStyle w:val="Compact"/>
            </w:pPr>
            <w:r>
              <w:rPr>
                <w:sz w:val="17"/>
              </w:rPr>
              <w:t xml:space="preserve">Niveau de service</w:t>
            </w:r>
          </w:p>
        </w:tc>
      </w:tr>
      <w:tr>
        <w:tc>
          <w:tcPr>
            <w:shd w:val="clear" w:color="auto" w:fill="F5F7FB"/>
          </w:tcPr>
          <w:p>
            <w:pPr>
              <w:pStyle w:val="Compact"/>
            </w:pPr>
            <w:r>
              <w:rPr>
                <w:sz w:val="17"/>
              </w:rPr>
              <w:t xml:space="preserve">Évolutions</w:t>
            </w:r>
          </w:p>
        </w:tc>
        <w:tc>
          <w:tcPr>
            <w:shd w:val="clear" w:color="auto" w:fill="F5F7FB"/>
          </w:tcPr>
          <w:p>
            <w:pPr>
              <w:pStyle w:val="Compact"/>
            </w:pPr>
            <w:r>
              <w:rPr>
                <w:sz w:val="17"/>
              </w:rPr>
              <w:t xml:space="preserve">Demandes de changement</w:t>
            </w:r>
          </w:p>
        </w:tc>
        <w:tc>
          <w:tcPr>
            <w:shd w:val="clear" w:color="auto" w:fill="F5F7FB"/>
          </w:tcPr>
          <w:p>
            <w:pPr>
              <w:pStyle w:val="Compact"/>
            </w:pPr>
            <w:r>
              <w:rPr>
                <w:sz w:val="17"/>
              </w:rPr>
              <w:t xml:space="preserve">Bordereau</w:t>
            </w:r>
          </w:p>
        </w:tc>
      </w:tr>
      <w:tr>
        <w:tc>
          <w:tcPr/>
          <w:p>
            <w:pPr>
              <w:pStyle w:val="Compact"/>
            </w:pPr>
            <w:r>
              <w:rPr>
                <w:sz w:val="17"/>
              </w:rPr>
              <w:t xml:space="preserve">Migration de données</w:t>
            </w:r>
          </w:p>
        </w:tc>
        <w:tc>
          <w:tcPr/>
          <w:p>
            <w:pPr>
              <w:pStyle w:val="Compact"/>
            </w:pPr>
            <w:r>
              <w:rPr>
                <w:sz w:val="17"/>
              </w:rPr>
              <w:t xml:space="preserve">Reprise de l’existant</w:t>
            </w:r>
          </w:p>
        </w:tc>
        <w:tc>
          <w:tcPr/>
          <w:p>
            <w:pPr>
              <w:pStyle w:val="Compact"/>
            </w:pPr>
            <w:r>
              <w:rPr>
                <w:sz w:val="17"/>
              </w:rPr>
              <w:t xml:space="preserve">Qualité des sources</w:t>
            </w:r>
          </w:p>
        </w:tc>
      </w:tr>
      <w:tr>
        <w:tc>
          <w:tcPr>
            <w:shd w:val="clear" w:color="auto" w:fill="F5F7FB"/>
          </w:tcPr>
          <w:p>
            <w:pPr>
              <w:pStyle w:val="Compact"/>
            </w:pPr>
            <w:r>
              <w:rPr>
                <w:sz w:val="17"/>
              </w:rPr>
              <w:t xml:space="preserve">Audit</w:t>
            </w:r>
          </w:p>
        </w:tc>
        <w:tc>
          <w:tcPr>
            <w:shd w:val="clear" w:color="auto" w:fill="F5F7FB"/>
          </w:tcPr>
          <w:p>
            <w:pPr>
              <w:pStyle w:val="Compact"/>
            </w:pPr>
            <w:r>
              <w:rPr>
                <w:sz w:val="17"/>
              </w:rPr>
              <w:t xml:space="preserve">Auditeur indépendant, évaluateur du pilote</w:t>
            </w:r>
          </w:p>
        </w:tc>
        <w:tc>
          <w:tcPr>
            <w:shd w:val="clear" w:color="auto" w:fill="F5F7FB"/>
          </w:tcPr>
          <w:p>
            <w:pPr>
              <w:pStyle w:val="Compact"/>
            </w:pPr>
            <w:r>
              <w:rPr>
                <w:sz w:val="17"/>
              </w:rPr>
              <w:t xml:space="preserve">Périmètre</w:t>
            </w:r>
          </w:p>
        </w:tc>
      </w:tr>
      <w:tr>
        <w:tc>
          <w:tcPr/>
          <w:p>
            <w:pPr>
              <w:pStyle w:val="Compact"/>
            </w:pPr>
            <w:r>
              <w:rPr>
                <w:sz w:val="17"/>
              </w:rPr>
              <w:t xml:space="preserve">Sortie</w:t>
            </w:r>
          </w:p>
        </w:tc>
        <w:tc>
          <w:tcPr/>
          <w:p>
            <w:pPr>
              <w:pStyle w:val="Compact"/>
            </w:pPr>
            <w:r>
              <w:rPr>
                <w:sz w:val="17"/>
              </w:rPr>
              <w:t xml:space="preserve">Réversibilité</w:t>
            </w:r>
          </w:p>
        </w:tc>
        <w:tc>
          <w:tcPr/>
          <w:p>
            <w:pPr>
              <w:pStyle w:val="Compact"/>
            </w:pPr>
            <w:r>
              <w:rPr>
                <w:sz w:val="17"/>
              </w:rPr>
              <w:t xml:space="preserve">Fixé au contrat</w:t>
            </w:r>
          </w:p>
        </w:tc>
      </w:tr>
    </w:tbl>
    <w:p>
      <w:pPr>
        <w:pStyle w:val="BodyText"/>
      </w:pPr>
      <w:r>
        <w:t xml:space="preserve">Référence de comparaison : le système de gestion des recettes de la ville de Kampala (eCitie) a été rapporté à environ 2,1 millions de dollars, tous postes confondus (développement, matériel, formation, données, sensibilisation) [PROBABLE] ; ce chiffre n’est pas transposable sans étude, la taille et le périmètre de Kinshasa étant très supérieurs.</w:t>
      </w:r>
    </w:p>
    <w:bookmarkEnd w:id="338"/>
    <w:bookmarkEnd w:id="339"/>
    <w:bookmarkStart w:id="346" w:name="modèle-financier"/>
    <w:p>
      <w:pPr>
        <w:pStyle w:val="Heading1"/>
      </w:pPr>
      <w:r>
        <w:t xml:space="preserve">38. Modèle financier</w:t>
      </w:r>
    </w:p>
    <w:bookmarkStart w:id="340" w:name="X761843dbc34191cc039d5b428e76c9c4e79acea"/>
    <w:p>
      <w:pPr>
        <w:pStyle w:val="Heading2"/>
      </w:pPr>
      <w:r>
        <w:t xml:space="preserve">38.1 Établir la base de référence avant toute promesse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Mesure</w:t>
            </w:r>
          </w:p>
        </w:tc>
        <w:tc>
          <w:tcPr>
            <w:shd w:val="clear" w:color="auto" w:fill="232C6B"/>
          </w:tcPr>
          <w:p>
            <w:pPr>
              <w:pStyle w:val="Compact"/>
            </w:pPr>
            <w:r>
              <w:rPr>
                <w:b/>
                <w:color w:val="FFFFFF"/>
                <w:sz w:val="17"/>
              </w:rPr>
              <w:t xml:space="preserve">Définition</w:t>
            </w:r>
          </w:p>
        </w:tc>
        <w:tc>
          <w:tcPr>
            <w:shd w:val="clear" w:color="auto" w:fill="232C6B"/>
          </w:tcPr>
          <w:p>
            <w:pPr>
              <w:pStyle w:val="Compact"/>
            </w:pPr>
            <w:r>
              <w:rPr>
                <w:b/>
                <w:color w:val="FFFFFF"/>
                <w:sz w:val="17"/>
              </w:rPr>
              <w:t xml:space="preserve">Source</w:t>
            </w:r>
          </w:p>
        </w:tc>
        <w:tc>
          <w:tcPr>
            <w:shd w:val="clear" w:color="auto" w:fill="232C6B"/>
          </w:tcPr>
          <w:p>
            <w:pPr>
              <w:pStyle w:val="Compact"/>
            </w:pPr>
            <w:r>
              <w:rPr>
                <w:b/>
                <w:color w:val="FFFFFF"/>
                <w:sz w:val="17"/>
              </w:rPr>
              <w:t xml:space="preserve">Responsable</w:t>
            </w:r>
          </w:p>
        </w:tc>
      </w:tr>
      <w:tr>
        <w:tc>
          <w:tcPr/>
          <w:p>
            <w:pPr>
              <w:pStyle w:val="Compact"/>
            </w:pPr>
            <w:r>
              <w:rPr>
                <w:sz w:val="17"/>
              </w:rPr>
              <w:t xml:space="preserve">Contribuables enregistrés</w:t>
            </w:r>
          </w:p>
        </w:tc>
        <w:tc>
          <w:tcPr/>
          <w:p>
            <w:pPr>
              <w:pStyle w:val="Compact"/>
            </w:pPr>
            <w:r>
              <w:rPr>
                <w:sz w:val="17"/>
              </w:rPr>
              <w:t xml:space="preserve">Comptes actifs par catégorie</w:t>
            </w:r>
          </w:p>
        </w:tc>
        <w:tc>
          <w:tcPr/>
          <w:p>
            <w:pPr>
              <w:pStyle w:val="Compact"/>
            </w:pPr>
            <w:r>
              <w:rPr>
                <w:sz w:val="17"/>
              </w:rPr>
              <w:t xml:space="preserve">Bases des régies</w:t>
            </w:r>
          </w:p>
        </w:tc>
        <w:tc>
          <w:tcPr/>
          <w:p>
            <w:pPr>
              <w:pStyle w:val="Compact"/>
            </w:pPr>
            <w:r>
              <w:rPr>
                <w:sz w:val="17"/>
              </w:rPr>
              <w:t xml:space="preserve">DGIPK, DGTK</w:t>
            </w:r>
          </w:p>
        </w:tc>
      </w:tr>
      <w:tr>
        <w:tc>
          <w:tcPr>
            <w:shd w:val="clear" w:color="auto" w:fill="F5F7FB"/>
          </w:tcPr>
          <w:p>
            <w:pPr>
              <w:pStyle w:val="Compact"/>
            </w:pPr>
            <w:r>
              <w:rPr>
                <w:sz w:val="17"/>
              </w:rPr>
              <w:t xml:space="preserve">Objets imposables connus</w:t>
            </w:r>
          </w:p>
        </w:tc>
        <w:tc>
          <w:tcPr>
            <w:shd w:val="clear" w:color="auto" w:fill="F5F7FB"/>
          </w:tcPr>
          <w:p>
            <w:pPr>
              <w:pStyle w:val="Compact"/>
            </w:pPr>
            <w:r>
              <w:rPr>
                <w:sz w:val="17"/>
              </w:rPr>
              <w:t xml:space="preserve">Par type et commune</w:t>
            </w:r>
          </w:p>
        </w:tc>
        <w:tc>
          <w:tcPr>
            <w:shd w:val="clear" w:color="auto" w:fill="F5F7FB"/>
          </w:tcPr>
          <w:p>
            <w:pPr>
              <w:pStyle w:val="Compact"/>
            </w:pPr>
            <w:r>
              <w:rPr>
                <w:sz w:val="17"/>
              </w:rPr>
              <w:t xml:space="preserve">Bases, rôles</w:t>
            </w:r>
          </w:p>
        </w:tc>
        <w:tc>
          <w:tcPr>
            <w:shd w:val="clear" w:color="auto" w:fill="F5F7FB"/>
          </w:tcPr>
          <w:p>
            <w:pPr>
              <w:pStyle w:val="Compact"/>
            </w:pPr>
            <w:r>
              <w:rPr>
                <w:sz w:val="17"/>
              </w:rPr>
              <w:t xml:space="preserve">Régies</w:t>
            </w:r>
          </w:p>
        </w:tc>
      </w:tr>
      <w:tr>
        <w:tc>
          <w:tcPr/>
          <w:p>
            <w:pPr>
              <w:pStyle w:val="Compact"/>
            </w:pPr>
            <w:r>
              <w:rPr>
                <w:sz w:val="17"/>
              </w:rPr>
              <w:t xml:space="preserve">Liquidations annuelles</w:t>
            </w:r>
          </w:p>
        </w:tc>
        <w:tc>
          <w:tcPr/>
          <w:p>
            <w:pPr>
              <w:pStyle w:val="Compact"/>
            </w:pPr>
            <w:r>
              <w:rPr>
                <w:sz w:val="17"/>
              </w:rPr>
              <w:t xml:space="preserve">Montants émis par recette</w:t>
            </w:r>
          </w:p>
        </w:tc>
        <w:tc>
          <w:tcPr/>
          <w:p>
            <w:pPr>
              <w:pStyle w:val="Compact"/>
            </w:pPr>
            <w:r>
              <w:rPr>
                <w:sz w:val="17"/>
              </w:rPr>
              <w:t xml:space="preserve">Rôles, avis</w:t>
            </w:r>
          </w:p>
        </w:tc>
        <w:tc>
          <w:tcPr/>
          <w:p>
            <w:pPr>
              <w:pStyle w:val="Compact"/>
            </w:pPr>
            <w:r>
              <w:rPr>
                <w:sz w:val="17"/>
              </w:rPr>
              <w:t xml:space="preserve">Régies</w:t>
            </w:r>
          </w:p>
        </w:tc>
      </w:tr>
      <w:tr>
        <w:tc>
          <w:tcPr>
            <w:shd w:val="clear" w:color="auto" w:fill="F5F7FB"/>
          </w:tcPr>
          <w:p>
            <w:pPr>
              <w:pStyle w:val="Compact"/>
            </w:pPr>
            <w:r>
              <w:rPr>
                <w:sz w:val="17"/>
              </w:rPr>
              <w:t xml:space="preserve">Encaissements</w:t>
            </w:r>
          </w:p>
        </w:tc>
        <w:tc>
          <w:tcPr>
            <w:shd w:val="clear" w:color="auto" w:fill="F5F7FB"/>
          </w:tcPr>
          <w:p>
            <w:pPr>
              <w:pStyle w:val="Compact"/>
            </w:pPr>
            <w:r>
              <w:rPr>
                <w:sz w:val="17"/>
              </w:rPr>
              <w:t xml:space="preserve">Montants encaissés</w:t>
            </w:r>
          </w:p>
        </w:tc>
        <w:tc>
          <w:tcPr>
            <w:shd w:val="clear" w:color="auto" w:fill="F5F7FB"/>
          </w:tcPr>
          <w:p>
            <w:pPr>
              <w:pStyle w:val="Compact"/>
            </w:pPr>
            <w:r>
              <w:rPr>
                <w:sz w:val="17"/>
              </w:rPr>
              <w:t xml:space="preserve">Banques, Trésor</w:t>
            </w:r>
          </w:p>
        </w:tc>
        <w:tc>
          <w:tcPr>
            <w:shd w:val="clear" w:color="auto" w:fill="F5F7FB"/>
          </w:tcPr>
          <w:p>
            <w:pPr>
              <w:pStyle w:val="Compact"/>
            </w:pPr>
            <w:r>
              <w:rPr>
                <w:sz w:val="17"/>
              </w:rPr>
              <w:t xml:space="preserve">Trésor</w:t>
            </w:r>
          </w:p>
        </w:tc>
      </w:tr>
      <w:tr>
        <w:tc>
          <w:tcPr/>
          <w:p>
            <w:pPr>
              <w:pStyle w:val="Compact"/>
            </w:pPr>
            <w:r>
              <w:rPr>
                <w:sz w:val="17"/>
              </w:rPr>
              <w:t xml:space="preserve">Délais de règlement</w:t>
            </w:r>
          </w:p>
        </w:tc>
        <w:tc>
          <w:tcPr/>
          <w:p>
            <w:pPr>
              <w:pStyle w:val="Compact"/>
            </w:pPr>
            <w:r>
              <w:rPr>
                <w:sz w:val="17"/>
              </w:rPr>
              <w:t xml:space="preserve">Paiement → crédit du compte public</w:t>
            </w:r>
          </w:p>
        </w:tc>
        <w:tc>
          <w:tcPr/>
          <w:p>
            <w:pPr>
              <w:pStyle w:val="Compact"/>
            </w:pPr>
            <w:r>
              <w:rPr>
                <w:sz w:val="17"/>
              </w:rPr>
              <w:t xml:space="preserve">Relevés</w:t>
            </w:r>
          </w:p>
        </w:tc>
        <w:tc>
          <w:tcPr/>
          <w:p>
            <w:pPr>
              <w:pStyle w:val="Compact"/>
            </w:pPr>
            <w:r>
              <w:rPr>
                <w:sz w:val="17"/>
              </w:rPr>
              <w:t xml:space="preserve">Trésor</w:t>
            </w:r>
          </w:p>
        </w:tc>
      </w:tr>
      <w:tr>
        <w:tc>
          <w:tcPr>
            <w:shd w:val="clear" w:color="auto" w:fill="F5F7FB"/>
          </w:tcPr>
          <w:p>
            <w:pPr>
              <w:pStyle w:val="Compact"/>
            </w:pPr>
            <w:r>
              <w:rPr>
                <w:sz w:val="17"/>
              </w:rPr>
              <w:t xml:space="preserve">Paiements non rapprochés</w:t>
            </w:r>
          </w:p>
        </w:tc>
        <w:tc>
          <w:tcPr>
            <w:shd w:val="clear" w:color="auto" w:fill="F5F7FB"/>
          </w:tcPr>
          <w:p>
            <w:pPr>
              <w:pStyle w:val="Compact"/>
            </w:pPr>
            <w:r>
              <w:rPr>
                <w:sz w:val="17"/>
              </w:rPr>
              <w:t xml:space="preserve">Montants en suspens</w:t>
            </w:r>
          </w:p>
        </w:tc>
        <w:tc>
          <w:tcPr>
            <w:shd w:val="clear" w:color="auto" w:fill="F5F7FB"/>
          </w:tcPr>
          <w:p>
            <w:pPr>
              <w:pStyle w:val="Compact"/>
            </w:pPr>
            <w:r>
              <w:rPr>
                <w:sz w:val="17"/>
              </w:rPr>
              <w:t xml:space="preserve">Rapprochement</w:t>
            </w:r>
          </w:p>
        </w:tc>
        <w:tc>
          <w:tcPr>
            <w:shd w:val="clear" w:color="auto" w:fill="F5F7FB"/>
          </w:tcPr>
          <w:p>
            <w:pPr>
              <w:pStyle w:val="Compact"/>
            </w:pPr>
            <w:r>
              <w:rPr>
                <w:sz w:val="17"/>
              </w:rPr>
              <w:t xml:space="preserve">Trésor</w:t>
            </w:r>
          </w:p>
        </w:tc>
      </w:tr>
      <w:tr>
        <w:tc>
          <w:tcPr/>
          <w:p>
            <w:pPr>
              <w:pStyle w:val="Compact"/>
            </w:pPr>
            <w:r>
              <w:rPr>
                <w:sz w:val="17"/>
              </w:rPr>
              <w:t xml:space="preserve">Arriérés</w:t>
            </w:r>
          </w:p>
        </w:tc>
        <w:tc>
          <w:tcPr/>
          <w:p>
            <w:pPr>
              <w:pStyle w:val="Compact"/>
            </w:pPr>
            <w:r>
              <w:rPr>
                <w:sz w:val="17"/>
              </w:rPr>
              <w:t xml:space="preserve">Stock par âge</w:t>
            </w:r>
          </w:p>
        </w:tc>
        <w:tc>
          <w:tcPr/>
          <w:p>
            <w:pPr>
              <w:pStyle w:val="Compact"/>
            </w:pPr>
            <w:r>
              <w:rPr>
                <w:sz w:val="17"/>
              </w:rPr>
              <w:t xml:space="preserve">Régies</w:t>
            </w:r>
          </w:p>
        </w:tc>
        <w:tc>
          <w:tcPr/>
          <w:p>
            <w:pPr>
              <w:pStyle w:val="Compact"/>
            </w:pPr>
            <w:r>
              <w:rPr>
                <w:sz w:val="17"/>
              </w:rPr>
              <w:t xml:space="preserve">Régies</w:t>
            </w:r>
          </w:p>
        </w:tc>
      </w:tr>
      <w:tr>
        <w:tc>
          <w:tcPr>
            <w:shd w:val="clear" w:color="auto" w:fill="F5F7FB"/>
          </w:tcPr>
          <w:p>
            <w:pPr>
              <w:pStyle w:val="Compact"/>
            </w:pPr>
            <w:r>
              <w:rPr>
                <w:sz w:val="17"/>
              </w:rPr>
              <w:t xml:space="preserve">Exonérations</w:t>
            </w:r>
          </w:p>
        </w:tc>
        <w:tc>
          <w:tcPr>
            <w:shd w:val="clear" w:color="auto" w:fill="F5F7FB"/>
          </w:tcPr>
          <w:p>
            <w:pPr>
              <w:pStyle w:val="Compact"/>
            </w:pPr>
            <w:r>
              <w:rPr>
                <w:sz w:val="17"/>
              </w:rPr>
              <w:t xml:space="preserve">Nombre, montant, fondement</w:t>
            </w:r>
          </w:p>
        </w:tc>
        <w:tc>
          <w:tcPr>
            <w:shd w:val="clear" w:color="auto" w:fill="F5F7FB"/>
          </w:tcPr>
          <w:p>
            <w:pPr>
              <w:pStyle w:val="Compact"/>
            </w:pPr>
            <w:r>
              <w:rPr>
                <w:sz w:val="17"/>
              </w:rPr>
              <w:t xml:space="preserve">Régies</w:t>
            </w:r>
          </w:p>
        </w:tc>
        <w:tc>
          <w:tcPr>
            <w:shd w:val="clear" w:color="auto" w:fill="F5F7FB"/>
          </w:tcPr>
          <w:p>
            <w:pPr>
              <w:pStyle w:val="Compact"/>
            </w:pPr>
            <w:r>
              <w:rPr>
                <w:sz w:val="17"/>
              </w:rPr>
              <w:t xml:space="preserve">Audit</w:t>
            </w:r>
          </w:p>
        </w:tc>
      </w:tr>
      <w:tr>
        <w:tc>
          <w:tcPr/>
          <w:p>
            <w:pPr>
              <w:pStyle w:val="Compact"/>
            </w:pPr>
            <w:r>
              <w:rPr>
                <w:sz w:val="17"/>
              </w:rPr>
              <w:t xml:space="preserve">Annulations</w:t>
            </w:r>
          </w:p>
        </w:tc>
        <w:tc>
          <w:tcPr/>
          <w:p>
            <w:pPr>
              <w:pStyle w:val="Compact"/>
            </w:pPr>
            <w:r>
              <w:rPr>
                <w:sz w:val="17"/>
              </w:rPr>
              <w:t xml:space="preserve">Nombre, montant, motif</w:t>
            </w:r>
          </w:p>
        </w:tc>
        <w:tc>
          <w:tcPr/>
          <w:p>
            <w:pPr>
              <w:pStyle w:val="Compact"/>
            </w:pPr>
            <w:r>
              <w:rPr>
                <w:sz w:val="17"/>
              </w:rPr>
              <w:t xml:space="preserve">Régies</w:t>
            </w:r>
          </w:p>
        </w:tc>
        <w:tc>
          <w:tcPr/>
          <w:p>
            <w:pPr>
              <w:pStyle w:val="Compact"/>
            </w:pPr>
            <w:r>
              <w:rPr>
                <w:sz w:val="17"/>
              </w:rPr>
              <w:t xml:space="preserve">Audit</w:t>
            </w:r>
          </w:p>
        </w:tc>
      </w:tr>
      <w:tr>
        <w:tc>
          <w:tcPr>
            <w:shd w:val="clear" w:color="auto" w:fill="F5F7FB"/>
          </w:tcPr>
          <w:p>
            <w:pPr>
              <w:pStyle w:val="Compact"/>
            </w:pPr>
            <w:r>
              <w:rPr>
                <w:sz w:val="17"/>
              </w:rPr>
              <w:t xml:space="preserve">Coût de recouvrement et de collecte</w:t>
            </w:r>
          </w:p>
        </w:tc>
        <w:tc>
          <w:tcPr>
            <w:shd w:val="clear" w:color="auto" w:fill="F5F7FB"/>
          </w:tcPr>
          <w:p>
            <w:pPr>
              <w:pStyle w:val="Compact"/>
            </w:pPr>
            <w:r>
              <w:rPr>
                <w:sz w:val="17"/>
              </w:rPr>
              <w:t xml:space="preserve">Personnel, commissions, équipements</w:t>
            </w:r>
          </w:p>
        </w:tc>
        <w:tc>
          <w:tcPr>
            <w:shd w:val="clear" w:color="auto" w:fill="F5F7FB"/>
          </w:tcPr>
          <w:p>
            <w:pPr>
              <w:pStyle w:val="Compact"/>
            </w:pPr>
            <w:r>
              <w:rPr>
                <w:sz w:val="17"/>
              </w:rPr>
              <w:t xml:space="preserve">Finances</w:t>
            </w:r>
          </w:p>
        </w:tc>
        <w:tc>
          <w:tcPr>
            <w:shd w:val="clear" w:color="auto" w:fill="F5F7FB"/>
          </w:tcPr>
          <w:p>
            <w:pPr>
              <w:pStyle w:val="Compact"/>
            </w:pPr>
            <w:r>
              <w:rPr>
                <w:sz w:val="17"/>
              </w:rPr>
              <w:t xml:space="preserve">Finances</w:t>
            </w:r>
          </w:p>
        </w:tc>
      </w:tr>
      <w:tr>
        <w:tc>
          <w:tcPr/>
          <w:p>
            <w:pPr>
              <w:pStyle w:val="Compact"/>
            </w:pPr>
            <w:r>
              <w:rPr>
                <w:sz w:val="17"/>
              </w:rPr>
              <w:t xml:space="preserve">Pertes par fraude</w:t>
            </w:r>
          </w:p>
        </w:tc>
        <w:tc>
          <w:tcPr/>
          <w:p>
            <w:pPr>
              <w:pStyle w:val="Compact"/>
            </w:pPr>
            <w:r>
              <w:rPr>
                <w:sz w:val="17"/>
              </w:rPr>
              <w:t xml:space="preserve">Cas établis</w:t>
            </w:r>
          </w:p>
        </w:tc>
        <w:tc>
          <w:tcPr/>
          <w:p>
            <w:pPr>
              <w:pStyle w:val="Compact"/>
            </w:pPr>
            <w:r>
              <w:rPr>
                <w:sz w:val="17"/>
              </w:rPr>
              <w:t xml:space="preserve">Inspection</w:t>
            </w:r>
          </w:p>
        </w:tc>
        <w:tc>
          <w:tcPr/>
          <w:p>
            <w:pPr>
              <w:pStyle w:val="Compact"/>
            </w:pPr>
            <w:r>
              <w:rPr>
                <w:sz w:val="17"/>
              </w:rPr>
              <w:t xml:space="preserve">Audit</w:t>
            </w:r>
          </w:p>
        </w:tc>
      </w:tr>
      <w:tr>
        <w:tc>
          <w:tcPr>
            <w:shd w:val="clear" w:color="auto" w:fill="F5F7FB"/>
          </w:tcPr>
          <w:p>
            <w:pPr>
              <w:pStyle w:val="Compact"/>
            </w:pPr>
            <w:r>
              <w:rPr>
                <w:sz w:val="17"/>
              </w:rPr>
              <w:t xml:space="preserve">Délais de traitement</w:t>
            </w:r>
          </w:p>
        </w:tc>
        <w:tc>
          <w:tcPr>
            <w:shd w:val="clear" w:color="auto" w:fill="F5F7FB"/>
          </w:tcPr>
          <w:p>
            <w:pPr>
              <w:pStyle w:val="Compact"/>
            </w:pPr>
            <w:r>
              <w:rPr>
                <w:sz w:val="17"/>
              </w:rPr>
              <w:t xml:space="preserve">Demande → décision</w:t>
            </w:r>
          </w:p>
        </w:tc>
        <w:tc>
          <w:tcPr>
            <w:shd w:val="clear" w:color="auto" w:fill="F5F7FB"/>
          </w:tcPr>
          <w:p>
            <w:pPr>
              <w:pStyle w:val="Compact"/>
            </w:pPr>
            <w:r>
              <w:rPr>
                <w:sz w:val="17"/>
              </w:rPr>
              <w:t xml:space="preserve">Échantillon</w:t>
            </w:r>
          </w:p>
        </w:tc>
        <w:tc>
          <w:tcPr>
            <w:shd w:val="clear" w:color="auto" w:fill="F5F7FB"/>
          </w:tcPr>
          <w:p>
            <w:pPr>
              <w:pStyle w:val="Compact"/>
            </w:pPr>
            <w:r>
              <w:rPr>
                <w:sz w:val="17"/>
              </w:rPr>
              <w:t xml:space="preserve">Programme</w:t>
            </w:r>
          </w:p>
        </w:tc>
      </w:tr>
    </w:tbl>
    <w:bookmarkEnd w:id="340"/>
    <w:bookmarkStart w:id="341" w:name="formules"/>
    <w:p>
      <w:pPr>
        <w:pStyle w:val="Heading2"/>
      </w:pPr>
      <w:r>
        <w:t xml:space="preserve">38.2 Formules</w:t>
      </w:r>
    </w:p>
    <w:p>
      <w:pPr>
        <w:pStyle w:val="Compact"/>
        <w:numPr>
          <w:ilvl w:val="0"/>
          <w:numId w:val="1022"/>
        </w:numPr>
      </w:pPr>
      <w:r>
        <w:t xml:space="preserve">Potentiel théorique = Σ objets × montant légal moyen dû</w:t>
      </w:r>
    </w:p>
    <w:p>
      <w:pPr>
        <w:pStyle w:val="Compact"/>
        <w:numPr>
          <w:ilvl w:val="0"/>
          <w:numId w:val="1022"/>
        </w:numPr>
      </w:pPr>
      <w:r>
        <w:t xml:space="preserve">Recette additionnelle attendue = potentiel × (conformité cible − conformité actuelle) − coût marginal de recouvrement</w:t>
      </w:r>
    </w:p>
    <w:p>
      <w:pPr>
        <w:pStyle w:val="Compact"/>
        <w:numPr>
          <w:ilvl w:val="0"/>
          <w:numId w:val="1022"/>
        </w:numPr>
      </w:pPr>
      <w:r>
        <w:rPr>
          <w:b/>
          <w:bCs/>
        </w:rPr>
        <w:t xml:space="preserve">Recette additionnelle nette vérifiée (RANV)</w:t>
      </w:r>
      <w:r>
        <w:t xml:space="preserve"> </w:t>
      </w:r>
      <w:r>
        <w:t xml:space="preserve">= assiette vérifiée supplémentaire + gains de conformité + arriérés recouvrés + déperdition évitée + gains de rapprochement − coûts additionnels − remboursements − corrections</w:t>
      </w:r>
    </w:p>
    <w:p>
      <w:pPr>
        <w:pStyle w:val="Compact"/>
        <w:numPr>
          <w:ilvl w:val="0"/>
          <w:numId w:val="1022"/>
        </w:numPr>
      </w:pPr>
      <w:r>
        <w:t xml:space="preserve">Délai de retour = coût d’investissement cumulé / RANV annuelle moyenne</w:t>
      </w:r>
    </w:p>
    <w:bookmarkEnd w:id="341"/>
    <w:bookmarkStart w:id="345" w:name="scénarios"/>
    <w:p>
      <w:pPr>
        <w:pStyle w:val="Heading2"/>
      </w:pPr>
      <w:r>
        <w:t xml:space="preserve">38.3 Scénarios</w:t>
      </w:r>
    </w:p>
    <w:p>
      <w:pPr>
        <w:pStyle w:val="CaptionedFigure"/>
      </w:pPr>
      <w:r>
        <w:drawing>
          <wp:inline>
            <wp:extent cx="6108700" cy="3072936"/>
            <wp:effectExtent b="0" l="0" r="0" t="0"/>
            <wp:docPr descr="Trois scénarios" title="" id="343" name="Picture"/>
            <a:graphic>
              <a:graphicData uri="http://schemas.openxmlformats.org/drawingml/2006/picture">
                <pic:pic>
                  <pic:nvPicPr>
                    <pic:cNvPr descr="figures/fig-scenarios.png" id="344" name="Picture"/>
                    <pic:cNvPicPr>
                      <a:picLocks noChangeArrowheads="1" noChangeAspect="1"/>
                    </pic:cNvPicPr>
                  </pic:nvPicPr>
                  <pic:blipFill>
                    <a:blip r:embed="rId342"/>
                    <a:stretch>
                      <a:fillRect/>
                    </a:stretch>
                  </pic:blipFill>
                  <pic:spPr bwMode="auto">
                    <a:xfrm>
                      <a:off x="0" y="0"/>
                      <a:ext cx="6108700" cy="3072936"/>
                    </a:xfrm>
                    <a:prstGeom prst="rect">
                      <a:avLst/>
                    </a:prstGeom>
                    <a:noFill/>
                    <a:ln w="9525">
                      <a:noFill/>
                      <a:headEnd/>
                      <a:tailEnd/>
                    </a:ln>
                  </pic:spPr>
                </pic:pic>
              </a:graphicData>
            </a:graphic>
          </wp:inline>
        </w:drawing>
      </w:r>
    </w:p>
    <w:p>
      <w:pPr>
        <w:pStyle w:val="ImageCaption"/>
      </w:pPr>
      <w:r>
        <w:t xml:space="preserve">Trois scénarios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Élément</w:t>
            </w:r>
          </w:p>
        </w:tc>
        <w:tc>
          <w:tcPr>
            <w:shd w:val="clear" w:color="auto" w:fill="232C6B"/>
          </w:tcPr>
          <w:p>
            <w:pPr>
              <w:pStyle w:val="Compact"/>
            </w:pPr>
            <w:r>
              <w:rPr>
                <w:b/>
                <w:color w:val="FFFFFF"/>
                <w:sz w:val="17"/>
              </w:rPr>
              <w:t xml:space="preserve">Conservateur</w:t>
            </w:r>
          </w:p>
        </w:tc>
        <w:tc>
          <w:tcPr>
            <w:shd w:val="clear" w:color="auto" w:fill="232C6B"/>
          </w:tcPr>
          <w:p>
            <w:pPr>
              <w:pStyle w:val="Compact"/>
            </w:pPr>
            <w:r>
              <w:rPr>
                <w:b/>
                <w:color w:val="FFFFFF"/>
                <w:sz w:val="17"/>
              </w:rPr>
              <w:t xml:space="preserve">Attendu</w:t>
            </w:r>
          </w:p>
        </w:tc>
        <w:tc>
          <w:tcPr>
            <w:shd w:val="clear" w:color="auto" w:fill="232C6B"/>
          </w:tcPr>
          <w:p>
            <w:pPr>
              <w:pStyle w:val="Compact"/>
            </w:pPr>
            <w:r>
              <w:rPr>
                <w:b/>
                <w:color w:val="FFFFFF"/>
                <w:sz w:val="17"/>
              </w:rPr>
              <w:t xml:space="preserve">Transformationnel</w:t>
            </w:r>
          </w:p>
        </w:tc>
      </w:tr>
      <w:tr>
        <w:tc>
          <w:tcPr/>
          <w:p>
            <w:pPr>
              <w:pStyle w:val="Compact"/>
            </w:pPr>
            <w:r>
              <w:rPr>
                <w:sz w:val="17"/>
              </w:rPr>
              <w:t xml:space="preserve">Hypothèses</w:t>
            </w:r>
          </w:p>
        </w:tc>
        <w:tc>
          <w:tcPr/>
          <w:p>
            <w:pPr>
              <w:pStyle w:val="Compact"/>
            </w:pPr>
            <w:r>
              <w:rPr>
                <w:sz w:val="17"/>
              </w:rPr>
              <w:t xml:space="preserve">Conformité locative +3 à +5 points ; adoption lente ; protocoles tardifs</w:t>
            </w:r>
          </w:p>
        </w:tc>
        <w:tc>
          <w:tcPr/>
          <w:p>
            <w:pPr>
              <w:pStyle w:val="Compact"/>
            </w:pPr>
            <w:r>
              <w:rPr>
                <w:sz w:val="17"/>
              </w:rPr>
              <w:t xml:space="preserve">+10 à +15 points ; pilote réussi ; protocoles obtenus</w:t>
            </w:r>
          </w:p>
        </w:tc>
        <w:tc>
          <w:tcPr/>
          <w:p>
            <w:pPr>
              <w:pStyle w:val="Compact"/>
            </w:pPr>
            <w:r>
              <w:rPr>
                <w:sz w:val="17"/>
              </w:rPr>
              <w:t xml:space="preserve">+20 points et plus ; quitus généralisé ; grands redevables fiabilisés</w:t>
            </w:r>
          </w:p>
        </w:tc>
      </w:tr>
      <w:tr>
        <w:tc>
          <w:tcPr>
            <w:shd w:val="clear" w:color="auto" w:fill="F5F7FB"/>
          </w:tcPr>
          <w:p>
            <w:pPr>
              <w:pStyle w:val="Compact"/>
            </w:pPr>
            <w:r>
              <w:rPr>
                <w:sz w:val="17"/>
              </w:rPr>
              <w:t xml:space="preserve">Objets additionnels enregistrés</w:t>
            </w:r>
          </w:p>
        </w:tc>
        <w:tc>
          <w:tcPr>
            <w:shd w:val="clear" w:color="auto" w:fill="F5F7FB"/>
          </w:tcPr>
          <w:p>
            <w:pPr>
              <w:pStyle w:val="Compact"/>
            </w:pPr>
            <w:r>
              <w:rPr>
                <w:sz w:val="17"/>
              </w:rPr>
              <w:t xml:space="preserve">Faible</w:t>
            </w:r>
          </w:p>
        </w:tc>
        <w:tc>
          <w:tcPr>
            <w:shd w:val="clear" w:color="auto" w:fill="F5F7FB"/>
          </w:tcPr>
          <w:p>
            <w:pPr>
              <w:pStyle w:val="Compact"/>
            </w:pPr>
            <w:r>
              <w:rPr>
                <w:sz w:val="17"/>
              </w:rPr>
              <w:t xml:space="preserve">Moyen</w:t>
            </w:r>
          </w:p>
        </w:tc>
        <w:tc>
          <w:tcPr>
            <w:shd w:val="clear" w:color="auto" w:fill="F5F7FB"/>
          </w:tcPr>
          <w:p>
            <w:pPr>
              <w:pStyle w:val="Compact"/>
            </w:pPr>
            <w:r>
              <w:rPr>
                <w:sz w:val="17"/>
              </w:rPr>
              <w:t xml:space="preserve">Élevé</w:t>
            </w:r>
          </w:p>
        </w:tc>
      </w:tr>
      <w:tr>
        <w:tc>
          <w:tcPr/>
          <w:p>
            <w:pPr>
              <w:pStyle w:val="Compact"/>
            </w:pPr>
            <w:r>
              <w:rPr>
                <w:sz w:val="17"/>
              </w:rPr>
              <w:t xml:space="preserve">Amélioration du paiement</w:t>
            </w:r>
          </w:p>
        </w:tc>
        <w:tc>
          <w:tcPr/>
          <w:p>
            <w:pPr>
              <w:pStyle w:val="Compact"/>
            </w:pPr>
            <w:r>
              <w:rPr>
                <w:sz w:val="17"/>
              </w:rPr>
              <w:t xml:space="preserve">Faible</w:t>
            </w:r>
          </w:p>
        </w:tc>
        <w:tc>
          <w:tcPr/>
          <w:p>
            <w:pPr>
              <w:pStyle w:val="Compact"/>
            </w:pPr>
            <w:r>
              <w:rPr>
                <w:sz w:val="17"/>
              </w:rPr>
              <w:t xml:space="preserve">Moyenne</w:t>
            </w:r>
          </w:p>
        </w:tc>
        <w:tc>
          <w:tcPr/>
          <w:p>
            <w:pPr>
              <w:pStyle w:val="Compact"/>
            </w:pPr>
            <w:r>
              <w:rPr>
                <w:sz w:val="17"/>
              </w:rPr>
              <w:t xml:space="preserve">Forte</w:t>
            </w:r>
          </w:p>
        </w:tc>
      </w:tr>
      <w:tr>
        <w:tc>
          <w:tcPr>
            <w:shd w:val="clear" w:color="auto" w:fill="F5F7FB"/>
          </w:tcPr>
          <w:p>
            <w:pPr>
              <w:pStyle w:val="Compact"/>
            </w:pPr>
            <w:r>
              <w:rPr>
                <w:sz w:val="17"/>
              </w:rPr>
              <w:t xml:space="preserve">Réduction de la déperdition</w:t>
            </w:r>
          </w:p>
        </w:tc>
        <w:tc>
          <w:tcPr>
            <w:shd w:val="clear" w:color="auto" w:fill="F5F7FB"/>
          </w:tcPr>
          <w:p>
            <w:pPr>
              <w:pStyle w:val="Compact"/>
            </w:pPr>
            <w:r>
              <w:rPr>
                <w:sz w:val="17"/>
              </w:rPr>
              <w:t xml:space="preserve">Faible</w:t>
            </w:r>
          </w:p>
        </w:tc>
        <w:tc>
          <w:tcPr>
            <w:shd w:val="clear" w:color="auto" w:fill="F5F7FB"/>
          </w:tcPr>
          <w:p>
            <w:pPr>
              <w:pStyle w:val="Compact"/>
            </w:pPr>
            <w:r>
              <w:rPr>
                <w:sz w:val="17"/>
              </w:rPr>
              <w:t xml:space="preserve">Moyenne</w:t>
            </w:r>
          </w:p>
        </w:tc>
        <w:tc>
          <w:tcPr>
            <w:shd w:val="clear" w:color="auto" w:fill="F5F7FB"/>
          </w:tcPr>
          <w:p>
            <w:pPr>
              <w:pStyle w:val="Compact"/>
            </w:pPr>
            <w:r>
              <w:rPr>
                <w:sz w:val="17"/>
              </w:rPr>
              <w:t xml:space="preserve">Forte</w:t>
            </w:r>
          </w:p>
        </w:tc>
      </w:tr>
      <w:tr>
        <w:tc>
          <w:tcPr/>
          <w:p>
            <w:pPr>
              <w:pStyle w:val="Compact"/>
            </w:pPr>
            <w:r>
              <w:rPr>
                <w:sz w:val="17"/>
              </w:rPr>
              <w:t xml:space="preserve">Rapprochement automatique</w:t>
            </w:r>
          </w:p>
        </w:tc>
        <w:tc>
          <w:tcPr/>
          <w:p>
            <w:pPr>
              <w:pStyle w:val="Compact"/>
            </w:pPr>
            <w:r>
              <w:rPr>
                <w:sz w:val="17"/>
              </w:rPr>
              <w:t xml:space="preserve">80 %</w:t>
            </w:r>
          </w:p>
        </w:tc>
        <w:tc>
          <w:tcPr/>
          <w:p>
            <w:pPr>
              <w:pStyle w:val="Compact"/>
            </w:pPr>
            <w:r>
              <w:rPr>
                <w:sz w:val="17"/>
              </w:rPr>
              <w:t xml:space="preserve">95 %</w:t>
            </w:r>
          </w:p>
        </w:tc>
        <w:tc>
          <w:tcPr/>
          <w:p>
            <w:pPr>
              <w:pStyle w:val="Compact"/>
            </w:pPr>
            <w:r>
              <w:rPr>
                <w:sz w:val="17"/>
              </w:rPr>
              <w:t xml:space="preserve">98 %</w:t>
            </w:r>
          </w:p>
        </w:tc>
      </w:tr>
      <w:tr>
        <w:tc>
          <w:tcPr>
            <w:shd w:val="clear" w:color="auto" w:fill="F5F7FB"/>
          </w:tcPr>
          <w:p>
            <w:pPr>
              <w:pStyle w:val="Compact"/>
            </w:pPr>
            <w:r>
              <w:rPr>
                <w:sz w:val="17"/>
              </w:rPr>
              <w:t xml:space="preserve">Recette brute additionnelle</w:t>
            </w:r>
          </w:p>
        </w:tc>
        <w:tc>
          <w:tcPr>
            <w:shd w:val="clear" w:color="auto" w:fill="F5F7FB"/>
          </w:tcPr>
          <w:p>
            <w:pPr>
              <w:pStyle w:val="Compact"/>
            </w:pPr>
            <w:r>
              <w:rPr>
                <w:sz w:val="17"/>
              </w:rPr>
              <w:t xml:space="preserve">Formule § 38.2 sur base mesurée</w:t>
            </w:r>
          </w:p>
        </w:tc>
        <w:tc>
          <w:tcPr>
            <w:shd w:val="clear" w:color="auto" w:fill="F5F7FB"/>
          </w:tcPr>
          <w:p>
            <w:pPr>
              <w:pStyle w:val="Compact"/>
            </w:pPr>
            <w:r>
              <w:rPr>
                <w:sz w:val="17"/>
              </w:rPr>
              <w:t xml:space="preserve">Idem</w:t>
            </w:r>
          </w:p>
        </w:tc>
        <w:tc>
          <w:tcPr>
            <w:shd w:val="clear" w:color="auto" w:fill="F5F7FB"/>
          </w:tcPr>
          <w:p>
            <w:pPr>
              <w:pStyle w:val="Compact"/>
            </w:pPr>
            <w:r>
              <w:rPr>
                <w:sz w:val="17"/>
              </w:rPr>
              <w:t xml:space="preserve">Idem</w:t>
            </w:r>
          </w:p>
        </w:tc>
      </w:tr>
      <w:tr>
        <w:tc>
          <w:tcPr/>
          <w:p>
            <w:pPr>
              <w:pStyle w:val="Compact"/>
            </w:pPr>
            <w:r>
              <w:rPr>
                <w:sz w:val="17"/>
              </w:rPr>
              <w:t xml:space="preserve">Coût de mise en œuvre</w:t>
            </w:r>
          </w:p>
        </w:tc>
        <w:tc>
          <w:tcPr/>
          <w:p>
            <w:pPr>
              <w:pStyle w:val="Compact"/>
            </w:pPr>
            <w:r>
              <w:rPr>
                <w:sz w:val="17"/>
              </w:rPr>
              <w:t xml:space="preserve">Complet</w:t>
            </w:r>
          </w:p>
        </w:tc>
        <w:tc>
          <w:tcPr/>
          <w:p>
            <w:pPr>
              <w:pStyle w:val="Compact"/>
            </w:pPr>
            <w:r>
              <w:rPr>
                <w:sz w:val="17"/>
              </w:rPr>
              <w:t xml:space="preserve">Complet</w:t>
            </w:r>
          </w:p>
        </w:tc>
        <w:tc>
          <w:tcPr/>
          <w:p>
            <w:pPr>
              <w:pStyle w:val="Compact"/>
            </w:pPr>
            <w:r>
              <w:rPr>
                <w:sz w:val="17"/>
              </w:rPr>
              <w:t xml:space="preserve">Complet + campagnes</w:t>
            </w:r>
          </w:p>
        </w:tc>
      </w:tr>
      <w:tr>
        <w:tc>
          <w:tcPr>
            <w:shd w:val="clear" w:color="auto" w:fill="F5F7FB"/>
          </w:tcPr>
          <w:p>
            <w:pPr>
              <w:pStyle w:val="Compact"/>
            </w:pPr>
            <w:r>
              <w:rPr>
                <w:sz w:val="17"/>
              </w:rPr>
              <w:t xml:space="preserve">Coût récurrent</w:t>
            </w:r>
          </w:p>
        </w:tc>
        <w:tc>
          <w:tcPr>
            <w:shd w:val="clear" w:color="auto" w:fill="F5F7FB"/>
          </w:tcPr>
          <w:p>
            <w:pPr>
              <w:pStyle w:val="Compact"/>
            </w:pPr>
            <w:r>
              <w:rPr>
                <w:sz w:val="17"/>
              </w:rPr>
              <w:t xml:space="preserve">Exploitation</w:t>
            </w:r>
          </w:p>
        </w:tc>
        <w:tc>
          <w:tcPr>
            <w:shd w:val="clear" w:color="auto" w:fill="F5F7FB"/>
          </w:tcPr>
          <w:p>
            <w:pPr>
              <w:pStyle w:val="Compact"/>
            </w:pPr>
            <w:r>
              <w:rPr>
                <w:sz w:val="17"/>
              </w:rPr>
              <w:t xml:space="preserve">Exploitation</w:t>
            </w:r>
          </w:p>
        </w:tc>
        <w:tc>
          <w:tcPr>
            <w:shd w:val="clear" w:color="auto" w:fill="F5F7FB"/>
          </w:tcPr>
          <w:p>
            <w:pPr>
              <w:pStyle w:val="Compact"/>
            </w:pPr>
            <w:r>
              <w:rPr>
                <w:sz w:val="17"/>
              </w:rPr>
              <w:t xml:space="preserve">Exploitation + terrain accru</w:t>
            </w:r>
          </w:p>
        </w:tc>
      </w:tr>
      <w:tr>
        <w:tc>
          <w:tcPr/>
          <w:p>
            <w:pPr>
              <w:pStyle w:val="Compact"/>
            </w:pPr>
            <w:r>
              <w:rPr>
                <w:sz w:val="17"/>
              </w:rPr>
              <w:t xml:space="preserve">Recette nette additionnelle</w:t>
            </w:r>
          </w:p>
        </w:tc>
        <w:tc>
          <w:tcPr/>
          <w:p>
            <w:pPr>
              <w:pStyle w:val="Compact"/>
            </w:pPr>
            <w:r>
              <w:rPr>
                <w:sz w:val="17"/>
              </w:rPr>
              <w:t xml:space="preserve">À calculer</w:t>
            </w:r>
          </w:p>
        </w:tc>
        <w:tc>
          <w:tcPr/>
          <w:p>
            <w:pPr>
              <w:pStyle w:val="Compact"/>
            </w:pPr>
            <w:r>
              <w:rPr>
                <w:sz w:val="17"/>
              </w:rPr>
              <w:t xml:space="preserve">À calculer</w:t>
            </w:r>
          </w:p>
        </w:tc>
        <w:tc>
          <w:tcPr/>
          <w:p>
            <w:pPr>
              <w:pStyle w:val="Compact"/>
            </w:pPr>
            <w:r>
              <w:rPr>
                <w:sz w:val="17"/>
              </w:rPr>
              <w:t xml:space="preserve">À calculer</w:t>
            </w:r>
          </w:p>
        </w:tc>
      </w:tr>
      <w:tr>
        <w:tc>
          <w:tcPr>
            <w:shd w:val="clear" w:color="auto" w:fill="F5F7FB"/>
          </w:tcPr>
          <w:p>
            <w:pPr>
              <w:pStyle w:val="Compact"/>
            </w:pPr>
            <w:r>
              <w:rPr>
                <w:sz w:val="17"/>
              </w:rPr>
              <w:t xml:space="preserve">Délai de retour</w:t>
            </w:r>
          </w:p>
        </w:tc>
        <w:tc>
          <w:tcPr>
            <w:shd w:val="clear" w:color="auto" w:fill="F5F7FB"/>
          </w:tcPr>
          <w:p>
            <w:pPr>
              <w:pStyle w:val="Compact"/>
            </w:pPr>
            <w:r>
              <w:rPr>
                <w:sz w:val="17"/>
              </w:rPr>
              <w:t xml:space="preserve">&gt; 24 mois</w:t>
            </w:r>
          </w:p>
        </w:tc>
        <w:tc>
          <w:tcPr>
            <w:shd w:val="clear" w:color="auto" w:fill="F5F7FB"/>
          </w:tcPr>
          <w:p>
            <w:pPr>
              <w:pStyle w:val="Compact"/>
            </w:pPr>
            <w:r>
              <w:rPr>
                <w:sz w:val="17"/>
              </w:rPr>
              <w:t xml:space="preserve">12–24 mois</w:t>
            </w:r>
          </w:p>
        </w:tc>
        <w:tc>
          <w:tcPr>
            <w:shd w:val="clear" w:color="auto" w:fill="F5F7FB"/>
          </w:tcPr>
          <w:p>
            <w:pPr>
              <w:pStyle w:val="Compact"/>
            </w:pPr>
            <w:r>
              <w:rPr>
                <w:sz w:val="17"/>
              </w:rPr>
              <w:t xml:space="preserve">&lt; 12 mois</w:t>
            </w:r>
          </w:p>
        </w:tc>
      </w:tr>
      <w:tr>
        <w:tc>
          <w:tcPr/>
          <w:p>
            <w:pPr>
              <w:pStyle w:val="Compact"/>
            </w:pPr>
            <w:r>
              <w:rPr>
                <w:sz w:val="17"/>
              </w:rPr>
              <w:t xml:space="preserve">Référence empirique</w:t>
            </w:r>
          </w:p>
        </w:tc>
        <w:tc>
          <w:tcPr/>
          <w:p>
            <w:pPr>
              <w:pStyle w:val="Compact"/>
            </w:pPr>
            <w:r>
              <w:rPr>
                <w:sz w:val="17"/>
              </w:rPr>
              <w:t xml:space="preserve">Kananga (RDC)</w:t>
            </w:r>
          </w:p>
        </w:tc>
        <w:tc>
          <w:tcPr/>
          <w:p>
            <w:pPr>
              <w:pStyle w:val="Compact"/>
            </w:pPr>
            <w:r>
              <w:rPr>
                <w:sz w:val="17"/>
              </w:rPr>
              <w:t xml:space="preserve">Kampala</w:t>
            </w:r>
          </w:p>
        </w:tc>
        <w:tc>
          <w:tcPr/>
          <w:p>
            <w:pPr>
              <w:pStyle w:val="Compact"/>
            </w:pPr>
            <w:r>
              <w:rPr>
                <w:sz w:val="17"/>
              </w:rPr>
              <w:t xml:space="preserve">Freetown</w:t>
            </w:r>
          </w:p>
        </w:tc>
      </w:tr>
    </w:tbl>
    <w:p>
      <w:pPr>
        <w:pStyle w:val="BodyText"/>
      </w:pPr>
      <w:r>
        <w:rPr>
          <w:b/>
          <w:bCs/>
        </w:rPr>
        <w:t xml:space="preserve">Exemple illustratif</w:t>
      </w:r>
      <w:r>
        <w:t xml:space="preserve"> </w:t>
      </w:r>
      <w:r>
        <w:t xml:space="preserve">[EXEMPLE — hypothèses de travail à remplacer par le recensement pilote et les tarifs certifiés] : si 200 000 unités louées nouvellement identifiées dans le périmètre pilote avaient un loyer moyen de 60 USD par mois, l’IRL théorique au taux de 17 % (hors 1er rang) serait de 200 000 × 60 × 12 × 17 % ≈ 24,5 millions USD par an ; avec une conformité de 25 %, la recette effective serait d’environ 6,1 millions USD, avant coûts.</w:t>
      </w:r>
      <w:r>
        <w:t xml:space="preserve"> </w:t>
      </w:r>
      <w:r>
        <w:rPr>
          <w:b/>
          <w:bCs/>
        </w:rPr>
        <w:t xml:space="preserve">Chaque paramètre de cet exemple est une hypothèse.</w:t>
      </w:r>
    </w:p>
    <w:p>
      <w:pPr>
        <w:pStyle w:val="BodyText"/>
      </w:pPr>
      <w:r>
        <w:rPr>
          <w:b/>
          <w:bCs/>
        </w:rPr>
        <w:t xml:space="preserve">Sensibilité.</w:t>
      </w:r>
      <w:r>
        <w:t xml:space="preserve"> </w:t>
      </w:r>
      <w:r>
        <w:t xml:space="preserve">Chaque scénario est testé sur : taux de conformité (± 50 %), taux de change CDF/USD (le budget 2026 supposait environ 2 900 CDF pour 1 USD, le cours de septembre 2026 est rapporté autour de 2 270 [À VÉRIFIER] — tout scénario libellé en USD doit indiquer son taux), délai d’obtention des protocoles de données (± 6 mois), coût des canaux de paiement.</w:t>
      </w:r>
    </w:p>
    <w:bookmarkEnd w:id="345"/>
    <w:bookmarkEnd w:id="346"/>
    <w:bookmarkStart w:id="347" w:name="indicateurs-de-performance"/>
    <w:p>
      <w:pPr>
        <w:pStyle w:val="Heading1"/>
      </w:pPr>
      <w:r>
        <w:t xml:space="preserve">39. Indicateurs de performance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Domaine</w:t>
            </w:r>
          </w:p>
        </w:tc>
        <w:tc>
          <w:tcPr>
            <w:shd w:val="clear" w:color="auto" w:fill="232C6B"/>
          </w:tcPr>
          <w:p>
            <w:pPr>
              <w:pStyle w:val="Compact"/>
            </w:pPr>
            <w:r>
              <w:rPr>
                <w:b/>
                <w:color w:val="FFFFFF"/>
                <w:sz w:val="17"/>
              </w:rPr>
              <w:t xml:space="preserve">Indicateur</w:t>
            </w:r>
          </w:p>
        </w:tc>
        <w:tc>
          <w:tcPr>
            <w:shd w:val="clear" w:color="auto" w:fill="232C6B"/>
          </w:tcPr>
          <w:p>
            <w:pPr>
              <w:pStyle w:val="Compact"/>
            </w:pPr>
            <w:r>
              <w:rPr>
                <w:b/>
                <w:color w:val="FFFFFF"/>
                <w:sz w:val="17"/>
              </w:rPr>
              <w:t xml:space="preserve">Formule</w:t>
            </w:r>
          </w:p>
        </w:tc>
        <w:tc>
          <w:tcPr>
            <w:shd w:val="clear" w:color="auto" w:fill="232C6B"/>
          </w:tcPr>
          <w:p>
            <w:pPr>
              <w:pStyle w:val="Compact"/>
            </w:pPr>
            <w:r>
              <w:rPr>
                <w:b/>
                <w:color w:val="FFFFFF"/>
                <w:sz w:val="17"/>
              </w:rPr>
              <w:t xml:space="preserve">Cible pilote</w:t>
            </w:r>
          </w:p>
        </w:tc>
      </w:tr>
      <w:tr>
        <w:tc>
          <w:tcPr/>
          <w:p>
            <w:pPr>
              <w:pStyle w:val="Compact"/>
            </w:pPr>
            <w:r>
              <w:rPr>
                <w:sz w:val="17"/>
              </w:rPr>
              <w:t xml:space="preserve">Couverture</w:t>
            </w:r>
          </w:p>
        </w:tc>
        <w:tc>
          <w:tcPr/>
          <w:p>
            <w:pPr>
              <w:pStyle w:val="Compact"/>
            </w:pPr>
            <w:r>
              <w:rPr>
                <w:sz w:val="17"/>
              </w:rPr>
              <w:t xml:space="preserve">Taux de recensement</w:t>
            </w:r>
          </w:p>
        </w:tc>
        <w:tc>
          <w:tcPr/>
          <w:p>
            <w:pPr>
              <w:pStyle w:val="Compact"/>
            </w:pPr>
            <w:r>
              <w:rPr>
                <w:sz w:val="17"/>
              </w:rPr>
              <w:t xml:space="preserve">Objets recensés / objets estimés (quartiers pilotes)</w:t>
            </w:r>
          </w:p>
        </w:tc>
        <w:tc>
          <w:tcPr/>
          <w:p>
            <w:pPr>
              <w:pStyle w:val="Compact"/>
            </w:pPr>
            <w:r>
              <w:rPr>
                <w:sz w:val="17"/>
              </w:rPr>
              <w:t xml:space="preserve">≥ 90 %</w:t>
            </w:r>
          </w:p>
        </w:tc>
      </w:tr>
      <w:tr>
        <w:tc>
          <w:tcPr>
            <w:shd w:val="clear" w:color="auto" w:fill="F5F7FB"/>
          </w:tcPr>
          <w:p>
            <w:pPr>
              <w:pStyle w:val="Compact"/>
            </w:pPr>
            <w:r>
              <w:rPr>
                <w:sz w:val="17"/>
              </w:rPr>
              <w:t xml:space="preserve">Identification</w:t>
            </w:r>
          </w:p>
        </w:tc>
        <w:tc>
          <w:tcPr>
            <w:shd w:val="clear" w:color="auto" w:fill="F5F7FB"/>
          </w:tcPr>
          <w:p>
            <w:pPr>
              <w:pStyle w:val="Compact"/>
            </w:pPr>
            <w:r>
              <w:rPr>
                <w:sz w:val="17"/>
              </w:rPr>
              <w:t xml:space="preserve">Taux de rattachement vérifié</w:t>
            </w:r>
          </w:p>
        </w:tc>
        <w:tc>
          <w:tcPr>
            <w:shd w:val="clear" w:color="auto" w:fill="F5F7FB"/>
          </w:tcPr>
          <w:p>
            <w:pPr>
              <w:pStyle w:val="Compact"/>
            </w:pPr>
            <w:r>
              <w:rPr>
                <w:sz w:val="17"/>
              </w:rPr>
              <w:t xml:space="preserve">Objets rattachés N2+ / objets recensés</w:t>
            </w:r>
          </w:p>
        </w:tc>
        <w:tc>
          <w:tcPr>
            <w:shd w:val="clear" w:color="auto" w:fill="F5F7FB"/>
          </w:tcPr>
          <w:p>
            <w:pPr>
              <w:pStyle w:val="Compact"/>
            </w:pPr>
            <w:r>
              <w:rPr>
                <w:sz w:val="17"/>
              </w:rPr>
              <w:t xml:space="preserve">≥ 70 %</w:t>
            </w:r>
          </w:p>
        </w:tc>
      </w:tr>
      <w:tr>
        <w:tc>
          <w:tcPr/>
          <w:p>
            <w:pPr>
              <w:pStyle w:val="Compact"/>
            </w:pPr>
            <w:r>
              <w:rPr>
                <w:sz w:val="17"/>
              </w:rPr>
              <w:t xml:space="preserve">Légalité</w:t>
            </w:r>
          </w:p>
        </w:tc>
        <w:tc>
          <w:tcPr/>
          <w:p>
            <w:pPr>
              <w:pStyle w:val="Compact"/>
            </w:pPr>
            <w:r>
              <w:rPr>
                <w:sz w:val="17"/>
              </w:rPr>
              <w:t xml:space="preserve">Règles actives certifiées</w:t>
            </w:r>
          </w:p>
        </w:tc>
        <w:tc>
          <w:tcPr/>
          <w:p>
            <w:pPr>
              <w:pStyle w:val="Compact"/>
            </w:pPr>
            <w:r>
              <w:rPr>
                <w:sz w:val="17"/>
              </w:rPr>
              <w:t xml:space="preserve">Règles actives avec pièce officielle / règles actives</w:t>
            </w:r>
          </w:p>
        </w:tc>
        <w:tc>
          <w:tcPr/>
          <w:p>
            <w:pPr>
              <w:pStyle w:val="Compact"/>
            </w:pPr>
            <w:r>
              <w:rPr>
                <w:sz w:val="17"/>
              </w:rPr>
              <w:t xml:space="preserve">100 %</w:t>
            </w:r>
          </w:p>
        </w:tc>
      </w:tr>
      <w:tr>
        <w:tc>
          <w:tcPr>
            <w:shd w:val="clear" w:color="auto" w:fill="F5F7FB"/>
          </w:tcPr>
          <w:p>
            <w:pPr>
              <w:pStyle w:val="Compact"/>
            </w:pPr>
            <w:r>
              <w:rPr>
                <w:sz w:val="17"/>
              </w:rPr>
              <w:t xml:space="preserve">Liquidation</w:t>
            </w:r>
          </w:p>
        </w:tc>
        <w:tc>
          <w:tcPr>
            <w:shd w:val="clear" w:color="auto" w:fill="F5F7FB"/>
          </w:tcPr>
          <w:p>
            <w:pPr>
              <w:pStyle w:val="Compact"/>
            </w:pPr>
            <w:r>
              <w:rPr>
                <w:sz w:val="17"/>
              </w:rPr>
              <w:t xml:space="preserve">Exactitude</w:t>
            </w:r>
          </w:p>
        </w:tc>
        <w:tc>
          <w:tcPr>
            <w:shd w:val="clear" w:color="auto" w:fill="F5F7FB"/>
          </w:tcPr>
          <w:p>
            <w:pPr>
              <w:pStyle w:val="Compact"/>
            </w:pPr>
            <w:r>
              <w:rPr>
                <w:sz w:val="17"/>
              </w:rPr>
              <w:t xml:space="preserve">Obligations sans rectification fondée / obligations émises</w:t>
            </w:r>
          </w:p>
        </w:tc>
        <w:tc>
          <w:tcPr>
            <w:shd w:val="clear" w:color="auto" w:fill="F5F7FB"/>
          </w:tcPr>
          <w:p>
            <w:pPr>
              <w:pStyle w:val="Compact"/>
            </w:pPr>
            <w:r>
              <w:rPr>
                <w:sz w:val="17"/>
              </w:rPr>
              <w:t xml:space="preserve">≥ 98 %</w:t>
            </w:r>
          </w:p>
        </w:tc>
      </w:tr>
      <w:tr>
        <w:tc>
          <w:tcPr/>
          <w:p>
            <w:pPr>
              <w:pStyle w:val="Compact"/>
            </w:pPr>
            <w:r>
              <w:rPr>
                <w:sz w:val="17"/>
              </w:rPr>
              <w:t xml:space="preserve">Paiement</w:t>
            </w:r>
          </w:p>
        </w:tc>
        <w:tc>
          <w:tcPr/>
          <w:p>
            <w:pPr>
              <w:pStyle w:val="Compact"/>
            </w:pPr>
            <w:r>
              <w:rPr>
                <w:sz w:val="17"/>
              </w:rPr>
              <w:t xml:space="preserve">Conversion</w:t>
            </w:r>
          </w:p>
        </w:tc>
        <w:tc>
          <w:tcPr/>
          <w:p>
            <w:pPr>
              <w:pStyle w:val="Compact"/>
            </w:pPr>
            <w:r>
              <w:rPr>
                <w:sz w:val="17"/>
              </w:rPr>
              <w:t xml:space="preserve">Obligations payées à l’échéance / exigibles</w:t>
            </w:r>
          </w:p>
        </w:tc>
        <w:tc>
          <w:tcPr/>
          <w:p>
            <w:pPr>
              <w:pStyle w:val="Compact"/>
            </w:pPr>
            <w:r>
              <w:rPr>
                <w:sz w:val="17"/>
              </w:rPr>
              <w:t xml:space="preserve">Base + 15 points</w:t>
            </w:r>
          </w:p>
        </w:tc>
      </w:tr>
      <w:tr>
        <w:tc>
          <w:tcPr>
            <w:shd w:val="clear" w:color="auto" w:fill="F5F7FB"/>
          </w:tcPr>
          <w:p>
            <w:pPr>
              <w:pStyle w:val="Compact"/>
            </w:pPr>
            <w:r>
              <w:rPr>
                <w:sz w:val="17"/>
              </w:rPr>
              <w:t xml:space="preserve">Numérique</w:t>
            </w:r>
          </w:p>
        </w:tc>
        <w:tc>
          <w:tcPr>
            <w:shd w:val="clear" w:color="auto" w:fill="F5F7FB"/>
          </w:tcPr>
          <w:p>
            <w:pPr>
              <w:pStyle w:val="Compact"/>
            </w:pPr>
            <w:r>
              <w:rPr>
                <w:sz w:val="17"/>
              </w:rPr>
              <w:t xml:space="preserve">Part électronique</w:t>
            </w:r>
          </w:p>
        </w:tc>
        <w:tc>
          <w:tcPr>
            <w:shd w:val="clear" w:color="auto" w:fill="F5F7FB"/>
          </w:tcPr>
          <w:p>
            <w:pPr>
              <w:pStyle w:val="Compact"/>
            </w:pPr>
            <w:r>
              <w:rPr>
                <w:sz w:val="17"/>
              </w:rPr>
              <w:t xml:space="preserve">Encaissements électroniques / total (flux couverts)</w:t>
            </w:r>
          </w:p>
        </w:tc>
        <w:tc>
          <w:tcPr>
            <w:shd w:val="clear" w:color="auto" w:fill="F5F7FB"/>
          </w:tcPr>
          <w:p>
            <w:pPr>
              <w:pStyle w:val="Compact"/>
            </w:pPr>
            <w:r>
              <w:rPr>
                <w:sz w:val="17"/>
              </w:rPr>
              <w:t xml:space="preserve">≥ 80 %</w:t>
            </w:r>
          </w:p>
        </w:tc>
      </w:tr>
      <w:tr>
        <w:tc>
          <w:tcPr/>
          <w:p>
            <w:pPr>
              <w:pStyle w:val="Compact"/>
            </w:pPr>
            <w:r>
              <w:rPr>
                <w:sz w:val="17"/>
              </w:rPr>
              <w:t xml:space="preserve">Règlement</w:t>
            </w:r>
          </w:p>
        </w:tc>
        <w:tc>
          <w:tcPr/>
          <w:p>
            <w:pPr>
              <w:pStyle w:val="Compact"/>
            </w:pPr>
            <w:r>
              <w:rPr>
                <w:sz w:val="17"/>
              </w:rPr>
              <w:t xml:space="preserve">Délai</w:t>
            </w:r>
          </w:p>
        </w:tc>
        <w:tc>
          <w:tcPr/>
          <w:p>
            <w:pPr>
              <w:pStyle w:val="Compact"/>
            </w:pPr>
            <w:r>
              <w:rPr>
                <w:sz w:val="17"/>
              </w:rPr>
              <w:t xml:space="preserve">Médiane confirmation → crédit</w:t>
            </w:r>
          </w:p>
        </w:tc>
        <w:tc>
          <w:tcPr/>
          <w:p>
            <w:pPr>
              <w:pStyle w:val="Compact"/>
            </w:pPr>
            <w:r>
              <w:rPr>
                <w:sz w:val="17"/>
              </w:rPr>
              <w:t xml:space="preserve">≤ 1 jour ouvré</w:t>
            </w:r>
          </w:p>
        </w:tc>
      </w:tr>
      <w:tr>
        <w:tc>
          <w:tcPr>
            <w:shd w:val="clear" w:color="auto" w:fill="F5F7FB"/>
          </w:tcPr>
          <w:p>
            <w:pPr>
              <w:pStyle w:val="Compact"/>
            </w:pPr>
            <w:r>
              <w:rPr>
                <w:sz w:val="17"/>
              </w:rPr>
              <w:t xml:space="preserve">Rapprochement</w:t>
            </w:r>
          </w:p>
        </w:tc>
        <w:tc>
          <w:tcPr>
            <w:shd w:val="clear" w:color="auto" w:fill="F5F7FB"/>
          </w:tcPr>
          <w:p>
            <w:pPr>
              <w:pStyle w:val="Compact"/>
            </w:pPr>
            <w:r>
              <w:rPr>
                <w:sz w:val="17"/>
              </w:rPr>
              <w:t xml:space="preserve">Taux automatique J+1</w:t>
            </w:r>
          </w:p>
        </w:tc>
        <w:tc>
          <w:tcPr>
            <w:shd w:val="clear" w:color="auto" w:fill="F5F7FB"/>
          </w:tcPr>
          <w:p>
            <w:pPr>
              <w:pStyle w:val="Compact"/>
            </w:pPr>
            <w:r>
              <w:rPr>
                <w:sz w:val="17"/>
              </w:rPr>
              <w:t xml:space="preserve">Rapprochés auto / confirmés</w:t>
            </w:r>
          </w:p>
        </w:tc>
        <w:tc>
          <w:tcPr>
            <w:shd w:val="clear" w:color="auto" w:fill="F5F7FB"/>
          </w:tcPr>
          <w:p>
            <w:pPr>
              <w:pStyle w:val="Compact"/>
            </w:pPr>
            <w:r>
              <w:rPr>
                <w:sz w:val="17"/>
              </w:rPr>
              <w:t xml:space="preserve">≥ 95 %</w:t>
            </w:r>
          </w:p>
        </w:tc>
      </w:tr>
      <w:tr>
        <w:tc>
          <w:tcPr/>
          <w:p>
            <w:pPr>
              <w:pStyle w:val="Compact"/>
            </w:pPr>
            <w:r>
              <w:rPr>
                <w:sz w:val="17"/>
              </w:rPr>
              <w:t xml:space="preserve">Exceptions</w:t>
            </w:r>
          </w:p>
        </w:tc>
        <w:tc>
          <w:tcPr/>
          <w:p>
            <w:pPr>
              <w:pStyle w:val="Compact"/>
            </w:pPr>
            <w:r>
              <w:rPr>
                <w:sz w:val="17"/>
              </w:rPr>
              <w:t xml:space="preserve">Âge</w:t>
            </w:r>
          </w:p>
        </w:tc>
        <w:tc>
          <w:tcPr/>
          <w:p>
            <w:pPr>
              <w:pStyle w:val="Compact"/>
            </w:pPr>
            <w:r>
              <w:rPr>
                <w:sz w:val="17"/>
              </w:rPr>
              <w:t xml:space="preserve">Exceptions &gt; 30 jours</w:t>
            </w:r>
          </w:p>
        </w:tc>
        <w:tc>
          <w:tcPr/>
          <w:p>
            <w:pPr>
              <w:pStyle w:val="Compact"/>
            </w:pPr>
            <w:r>
              <w:rPr>
                <w:sz w:val="17"/>
              </w:rPr>
              <w:t xml:space="preserve">0</w:t>
            </w:r>
          </w:p>
        </w:tc>
      </w:tr>
      <w:tr>
        <w:tc>
          <w:tcPr>
            <w:shd w:val="clear" w:color="auto" w:fill="F5F7FB"/>
          </w:tcPr>
          <w:p>
            <w:pPr>
              <w:pStyle w:val="Compact"/>
            </w:pPr>
            <w:r>
              <w:rPr>
                <w:sz w:val="17"/>
              </w:rPr>
              <w:t xml:space="preserve">Quittance</w:t>
            </w:r>
          </w:p>
        </w:tc>
        <w:tc>
          <w:tcPr>
            <w:shd w:val="clear" w:color="auto" w:fill="F5F7FB"/>
          </w:tcPr>
          <w:p>
            <w:pPr>
              <w:pStyle w:val="Compact"/>
            </w:pPr>
            <w:r>
              <w:rPr>
                <w:sz w:val="17"/>
              </w:rPr>
              <w:t xml:space="preserve">Délai</w:t>
            </w:r>
          </w:p>
        </w:tc>
        <w:tc>
          <w:tcPr>
            <w:shd w:val="clear" w:color="auto" w:fill="F5F7FB"/>
          </w:tcPr>
          <w:p>
            <w:pPr>
              <w:pStyle w:val="Compact"/>
            </w:pPr>
            <w:r>
              <w:rPr>
                <w:sz w:val="17"/>
              </w:rPr>
              <w:t xml:space="preserve">Confirmation → quittance provisoire</w:t>
            </w:r>
          </w:p>
        </w:tc>
        <w:tc>
          <w:tcPr>
            <w:shd w:val="clear" w:color="auto" w:fill="F5F7FB"/>
          </w:tcPr>
          <w:p>
            <w:pPr>
              <w:pStyle w:val="Compact"/>
            </w:pPr>
            <w:r>
              <w:rPr>
                <w:sz w:val="17"/>
              </w:rPr>
              <w:t xml:space="preserve">&lt; 60 s</w:t>
            </w:r>
          </w:p>
        </w:tc>
      </w:tr>
      <w:tr>
        <w:tc>
          <w:tcPr/>
          <w:p>
            <w:pPr>
              <w:pStyle w:val="Compact"/>
            </w:pPr>
            <w:r>
              <w:rPr>
                <w:sz w:val="17"/>
              </w:rPr>
              <w:t xml:space="preserve">Recouvrement</w:t>
            </w:r>
          </w:p>
        </w:tc>
        <w:tc>
          <w:tcPr/>
          <w:p>
            <w:pPr>
              <w:pStyle w:val="Compact"/>
            </w:pPr>
            <w:r>
              <w:rPr>
                <w:sz w:val="17"/>
              </w:rPr>
              <w:t xml:space="preserve">Rendement</w:t>
            </w:r>
          </w:p>
        </w:tc>
        <w:tc>
          <w:tcPr/>
          <w:p>
            <w:pPr>
              <w:pStyle w:val="Compact"/>
            </w:pPr>
            <w:r>
              <w:rPr>
                <w:sz w:val="17"/>
              </w:rPr>
              <w:t xml:space="preserve">Recouvré / coût de recouvrement</w:t>
            </w:r>
          </w:p>
        </w:tc>
        <w:tc>
          <w:tcPr/>
          <w:p>
            <w:pPr>
              <w:pStyle w:val="Compact"/>
            </w:pPr>
            <w:r>
              <w:rPr>
                <w:sz w:val="17"/>
              </w:rPr>
              <w:t xml:space="preserve">Base + 20 %</w:t>
            </w:r>
          </w:p>
        </w:tc>
      </w:tr>
      <w:tr>
        <w:tc>
          <w:tcPr>
            <w:shd w:val="clear" w:color="auto" w:fill="F5F7FB"/>
          </w:tcPr>
          <w:p>
            <w:pPr>
              <w:pStyle w:val="Compact"/>
            </w:pPr>
            <w:r>
              <w:rPr>
                <w:sz w:val="17"/>
              </w:rPr>
              <w:t xml:space="preserve">Arriérés</w:t>
            </w:r>
          </w:p>
        </w:tc>
        <w:tc>
          <w:tcPr>
            <w:shd w:val="clear" w:color="auto" w:fill="F5F7FB"/>
          </w:tcPr>
          <w:p>
            <w:pPr>
              <w:pStyle w:val="Compact"/>
            </w:pPr>
            <w:r>
              <w:rPr>
                <w:sz w:val="17"/>
              </w:rPr>
              <w:t xml:space="preserve">Récupération</w:t>
            </w:r>
          </w:p>
        </w:tc>
        <w:tc>
          <w:tcPr>
            <w:shd w:val="clear" w:color="auto" w:fill="F5F7FB"/>
          </w:tcPr>
          <w:p>
            <w:pPr>
              <w:pStyle w:val="Compact"/>
            </w:pPr>
            <w:r>
              <w:rPr>
                <w:sz w:val="17"/>
              </w:rPr>
              <w:t xml:space="preserve">Arriérés recouvrés / stock recouvrable</w:t>
            </w:r>
          </w:p>
        </w:tc>
        <w:tc>
          <w:tcPr>
            <w:shd w:val="clear" w:color="auto" w:fill="F5F7FB"/>
          </w:tcPr>
          <w:p>
            <w:pPr>
              <w:pStyle w:val="Compact"/>
            </w:pPr>
            <w:r>
              <w:rPr>
                <w:sz w:val="17"/>
              </w:rPr>
              <w:t xml:space="preserve">À fixer</w:t>
            </w:r>
          </w:p>
        </w:tc>
      </w:tr>
      <w:tr>
        <w:tc>
          <w:tcPr/>
          <w:p>
            <w:pPr>
              <w:pStyle w:val="Compact"/>
            </w:pPr>
            <w:r>
              <w:rPr>
                <w:sz w:val="17"/>
              </w:rPr>
              <w:t xml:space="preserve">Intégrité</w:t>
            </w:r>
          </w:p>
        </w:tc>
        <w:tc>
          <w:tcPr/>
          <w:p>
            <w:pPr>
              <w:pStyle w:val="Compact"/>
            </w:pPr>
            <w:r>
              <w:rPr>
                <w:sz w:val="17"/>
              </w:rPr>
              <w:t xml:space="preserve">Anomalies traitées</w:t>
            </w:r>
          </w:p>
        </w:tc>
        <w:tc>
          <w:tcPr/>
          <w:p>
            <w:pPr>
              <w:pStyle w:val="Compact"/>
            </w:pPr>
            <w:r>
              <w:rPr>
                <w:sz w:val="17"/>
              </w:rPr>
              <w:t xml:space="preserve">Alertes instruites dans le délai / alertes</w:t>
            </w:r>
          </w:p>
        </w:tc>
        <w:tc>
          <w:tcPr/>
          <w:p>
            <w:pPr>
              <w:pStyle w:val="Compact"/>
            </w:pPr>
            <w:r>
              <w:rPr>
                <w:sz w:val="17"/>
              </w:rPr>
              <w:t xml:space="preserve">≥ 90 %</w:t>
            </w:r>
          </w:p>
        </w:tc>
      </w:tr>
      <w:tr>
        <w:tc>
          <w:tcPr>
            <w:shd w:val="clear" w:color="auto" w:fill="F5F7FB"/>
          </w:tcPr>
          <w:p>
            <w:pPr>
              <w:pStyle w:val="Compact"/>
            </w:pPr>
            <w:r>
              <w:rPr>
                <w:sz w:val="17"/>
              </w:rPr>
              <w:t xml:space="preserve">Intégrité</w:t>
            </w:r>
          </w:p>
        </w:tc>
        <w:tc>
          <w:tcPr>
            <w:shd w:val="clear" w:color="auto" w:fill="F5F7FB"/>
          </w:tcPr>
          <w:p>
            <w:pPr>
              <w:pStyle w:val="Compact"/>
            </w:pPr>
            <w:r>
              <w:rPr>
                <w:sz w:val="17"/>
              </w:rPr>
              <w:t xml:space="preserve">Espèces hors canal</w:t>
            </w:r>
          </w:p>
        </w:tc>
        <w:tc>
          <w:tcPr>
            <w:shd w:val="clear" w:color="auto" w:fill="F5F7FB"/>
          </w:tcPr>
          <w:p>
            <w:pPr>
              <w:pStyle w:val="Compact"/>
            </w:pPr>
            <w:r>
              <w:rPr>
                <w:sz w:val="17"/>
              </w:rPr>
              <w:t xml:space="preserve">Cas détectés</w:t>
            </w:r>
          </w:p>
        </w:tc>
        <w:tc>
          <w:tcPr>
            <w:shd w:val="clear" w:color="auto" w:fill="F5F7FB"/>
          </w:tcPr>
          <w:p>
            <w:pPr>
              <w:pStyle w:val="Compact"/>
            </w:pPr>
            <w:r>
              <w:rPr>
                <w:sz w:val="17"/>
              </w:rPr>
              <w:t xml:space="preserve">0 toléré</w:t>
            </w:r>
          </w:p>
        </w:tc>
      </w:tr>
      <w:tr>
        <w:tc>
          <w:tcPr/>
          <w:p>
            <w:pPr>
              <w:pStyle w:val="Compact"/>
            </w:pPr>
            <w:r>
              <w:rPr>
                <w:sz w:val="17"/>
              </w:rPr>
              <w:t xml:space="preserve">Recours</w:t>
            </w:r>
          </w:p>
        </w:tc>
        <w:tc>
          <w:tcPr/>
          <w:p>
            <w:pPr>
              <w:pStyle w:val="Compact"/>
            </w:pPr>
            <w:r>
              <w:rPr>
                <w:sz w:val="17"/>
              </w:rPr>
              <w:t xml:space="preserve">Délai</w:t>
            </w:r>
          </w:p>
        </w:tc>
        <w:tc>
          <w:tcPr/>
          <w:p>
            <w:pPr>
              <w:pStyle w:val="Compact"/>
            </w:pPr>
            <w:r>
              <w:rPr>
                <w:sz w:val="17"/>
              </w:rPr>
              <w:t xml:space="preserve">Médiane dépôt → décision</w:t>
            </w:r>
          </w:p>
        </w:tc>
        <w:tc>
          <w:tcPr/>
          <w:p>
            <w:pPr>
              <w:pStyle w:val="Compact"/>
            </w:pPr>
            <w:r>
              <w:rPr>
                <w:sz w:val="17"/>
              </w:rPr>
              <w:t xml:space="preserve">Délai légal</w:t>
            </w:r>
          </w:p>
        </w:tc>
      </w:tr>
      <w:tr>
        <w:tc>
          <w:tcPr>
            <w:shd w:val="clear" w:color="auto" w:fill="F5F7FB"/>
          </w:tcPr>
          <w:p>
            <w:pPr>
              <w:pStyle w:val="Compact"/>
            </w:pPr>
            <w:r>
              <w:rPr>
                <w:sz w:val="17"/>
              </w:rPr>
              <w:t xml:space="preserve">Recours</w:t>
            </w:r>
          </w:p>
        </w:tc>
        <w:tc>
          <w:tcPr>
            <w:shd w:val="clear" w:color="auto" w:fill="F5F7FB"/>
          </w:tcPr>
          <w:p>
            <w:pPr>
              <w:pStyle w:val="Compact"/>
            </w:pPr>
            <w:r>
              <w:rPr>
                <w:sz w:val="17"/>
              </w:rPr>
              <w:t xml:space="preserve">Taux fondé</w:t>
            </w:r>
          </w:p>
        </w:tc>
        <w:tc>
          <w:tcPr>
            <w:shd w:val="clear" w:color="auto" w:fill="F5F7FB"/>
          </w:tcPr>
          <w:p>
            <w:pPr>
              <w:pStyle w:val="Compact"/>
            </w:pPr>
            <w:r>
              <w:rPr>
                <w:sz w:val="17"/>
              </w:rPr>
              <w:t xml:space="preserve">Décisions favorables / décisions</w:t>
            </w:r>
          </w:p>
        </w:tc>
        <w:tc>
          <w:tcPr>
            <w:shd w:val="clear" w:color="auto" w:fill="F5F7FB"/>
          </w:tcPr>
          <w:p>
            <w:pPr>
              <w:pStyle w:val="Compact"/>
            </w:pPr>
            <w:r>
              <w:rPr>
                <w:sz w:val="17"/>
              </w:rPr>
              <w:t xml:space="preserve">Suivi (alerte si &gt; 20 % sur un motif)</w:t>
            </w:r>
          </w:p>
        </w:tc>
      </w:tr>
      <w:tr>
        <w:tc>
          <w:tcPr/>
          <w:p>
            <w:pPr>
              <w:pStyle w:val="Compact"/>
            </w:pPr>
            <w:r>
              <w:rPr>
                <w:sz w:val="17"/>
              </w:rPr>
              <w:t xml:space="preserve">Service</w:t>
            </w:r>
          </w:p>
        </w:tc>
        <w:tc>
          <w:tcPr/>
          <w:p>
            <w:pPr>
              <w:pStyle w:val="Compact"/>
            </w:pPr>
            <w:r>
              <w:rPr>
                <w:sz w:val="17"/>
              </w:rPr>
              <w:t xml:space="preserve">Satisfaction</w:t>
            </w:r>
          </w:p>
        </w:tc>
        <w:tc>
          <w:tcPr/>
          <w:p>
            <w:pPr>
              <w:pStyle w:val="Compact"/>
            </w:pPr>
            <w:r>
              <w:rPr>
                <w:sz w:val="17"/>
              </w:rPr>
              <w:t xml:space="preserve">Enquête post-paiement</w:t>
            </w:r>
          </w:p>
        </w:tc>
        <w:tc>
          <w:tcPr/>
          <w:p>
            <w:pPr>
              <w:pStyle w:val="Compact"/>
            </w:pPr>
            <w:r>
              <w:rPr>
                <w:sz w:val="17"/>
              </w:rPr>
              <w:t xml:space="preserve">≥ 4/5</w:t>
            </w:r>
          </w:p>
        </w:tc>
      </w:tr>
      <w:tr>
        <w:tc>
          <w:tcPr>
            <w:shd w:val="clear" w:color="auto" w:fill="F5F7FB"/>
          </w:tcPr>
          <w:p>
            <w:pPr>
              <w:pStyle w:val="Compact"/>
            </w:pPr>
            <w:r>
              <w:rPr>
                <w:sz w:val="17"/>
              </w:rPr>
              <w:t xml:space="preserve">Inclusion</w:t>
            </w:r>
          </w:p>
        </w:tc>
        <w:tc>
          <w:tcPr>
            <w:shd w:val="clear" w:color="auto" w:fill="F5F7FB"/>
          </w:tcPr>
          <w:p>
            <w:pPr>
              <w:pStyle w:val="Compact"/>
            </w:pPr>
            <w:r>
              <w:rPr>
                <w:sz w:val="17"/>
              </w:rPr>
              <w:t xml:space="preserve">Parcours assistés</w:t>
            </w:r>
          </w:p>
        </w:tc>
        <w:tc>
          <w:tcPr>
            <w:shd w:val="clear" w:color="auto" w:fill="F5F7FB"/>
          </w:tcPr>
          <w:p>
            <w:pPr>
              <w:pStyle w:val="Compact"/>
            </w:pPr>
            <w:r>
              <w:rPr>
                <w:sz w:val="17"/>
              </w:rPr>
              <w:t xml:space="preserve">Opérations par USSD, SVI, guichet / total</w:t>
            </w:r>
          </w:p>
        </w:tc>
        <w:tc>
          <w:tcPr>
            <w:shd w:val="clear" w:color="auto" w:fill="F5F7FB"/>
          </w:tcPr>
          <w:p>
            <w:pPr>
              <w:pStyle w:val="Compact"/>
            </w:pPr>
            <w:r>
              <w:rPr>
                <w:sz w:val="17"/>
              </w:rPr>
              <w:t xml:space="preserve">Suivi</w:t>
            </w:r>
          </w:p>
        </w:tc>
      </w:tr>
      <w:tr>
        <w:tc>
          <w:tcPr/>
          <w:p>
            <w:pPr>
              <w:pStyle w:val="Compact"/>
            </w:pPr>
            <w:r>
              <w:rPr>
                <w:sz w:val="17"/>
              </w:rPr>
              <w:t xml:space="preserve">Communication</w:t>
            </w:r>
          </w:p>
        </w:tc>
        <w:tc>
          <w:tcPr/>
          <w:p>
            <w:pPr>
              <w:pStyle w:val="Compact"/>
            </w:pPr>
            <w:r>
              <w:rPr>
                <w:sz w:val="17"/>
              </w:rPr>
              <w:t xml:space="preserve">Délivrance</w:t>
            </w:r>
          </w:p>
        </w:tc>
        <w:tc>
          <w:tcPr/>
          <w:p>
            <w:pPr>
              <w:pStyle w:val="Compact"/>
            </w:pPr>
            <w:r>
              <w:rPr>
                <w:sz w:val="17"/>
              </w:rPr>
              <w:t xml:space="preserve">Messages délivrés / tentés, par canal</w:t>
            </w:r>
          </w:p>
        </w:tc>
        <w:tc>
          <w:tcPr/>
          <w:p>
            <w:pPr>
              <w:pStyle w:val="Compact"/>
            </w:pPr>
            <w:r>
              <w:rPr>
                <w:sz w:val="17"/>
              </w:rPr>
              <w:t xml:space="preserve">≥ 95 %</w:t>
            </w:r>
          </w:p>
        </w:tc>
      </w:tr>
      <w:tr>
        <w:tc>
          <w:tcPr>
            <w:shd w:val="clear" w:color="auto" w:fill="F5F7FB"/>
          </w:tcPr>
          <w:p>
            <w:pPr>
              <w:pStyle w:val="Compact"/>
            </w:pPr>
            <w:r>
              <w:rPr>
                <w:sz w:val="17"/>
              </w:rPr>
              <w:t xml:space="preserve">Technique</w:t>
            </w:r>
          </w:p>
        </w:tc>
        <w:tc>
          <w:tcPr>
            <w:shd w:val="clear" w:color="auto" w:fill="F5F7FB"/>
          </w:tcPr>
          <w:p>
            <w:pPr>
              <w:pStyle w:val="Compact"/>
            </w:pPr>
            <w:r>
              <w:rPr>
                <w:sz w:val="17"/>
              </w:rPr>
              <w:t xml:space="preserve">Disponibilité</w:t>
            </w:r>
          </w:p>
        </w:tc>
        <w:tc>
          <w:tcPr>
            <w:shd w:val="clear" w:color="auto" w:fill="F5F7FB"/>
          </w:tcPr>
          <w:p>
            <w:pPr>
              <w:pStyle w:val="Compact"/>
            </w:pPr>
            <w:r>
              <w:rPr>
                <w:sz w:val="17"/>
              </w:rPr>
              <w:t xml:space="preserve">Temps disponible / temps total</w:t>
            </w:r>
          </w:p>
        </w:tc>
        <w:tc>
          <w:tcPr>
            <w:shd w:val="clear" w:color="auto" w:fill="F5F7FB"/>
          </w:tcPr>
          <w:p>
            <w:pPr>
              <w:pStyle w:val="Compact"/>
            </w:pPr>
            <w:r>
              <w:rPr>
                <w:sz w:val="17"/>
              </w:rPr>
              <w:t xml:space="preserve">≥ 99,5 %</w:t>
            </w:r>
          </w:p>
        </w:tc>
      </w:tr>
      <w:tr>
        <w:tc>
          <w:tcPr/>
          <w:p>
            <w:pPr>
              <w:pStyle w:val="Compact"/>
            </w:pPr>
            <w:r>
              <w:rPr>
                <w:sz w:val="17"/>
              </w:rPr>
              <w:t xml:space="preserve">Sécurité</w:t>
            </w:r>
          </w:p>
        </w:tc>
        <w:tc>
          <w:tcPr/>
          <w:p>
            <w:pPr>
              <w:pStyle w:val="Compact"/>
            </w:pPr>
            <w:r>
              <w:rPr>
                <w:sz w:val="17"/>
              </w:rPr>
              <w:t xml:space="preserve">Vulnérabilités critiques ouvertes</w:t>
            </w:r>
          </w:p>
        </w:tc>
        <w:tc>
          <w:tcPr/>
          <w:p>
            <w:pPr>
              <w:pStyle w:val="Compact"/>
            </w:pPr>
            <w:r>
              <w:rPr>
                <w:sz w:val="17"/>
              </w:rPr>
              <w:t xml:space="preserve">Nombre</w:t>
            </w:r>
          </w:p>
        </w:tc>
        <w:tc>
          <w:tcPr/>
          <w:p>
            <w:pPr>
              <w:pStyle w:val="Compact"/>
            </w:pPr>
            <w:r>
              <w:rPr>
                <w:sz w:val="17"/>
              </w:rPr>
              <w:t xml:space="preserve">0</w:t>
            </w:r>
          </w:p>
        </w:tc>
      </w:tr>
      <w:tr>
        <w:tc>
          <w:tcPr>
            <w:shd w:val="clear" w:color="auto" w:fill="F5F7FB"/>
          </w:tcPr>
          <w:p>
            <w:pPr>
              <w:pStyle w:val="Compact"/>
            </w:pPr>
            <w:r>
              <w:rPr>
                <w:sz w:val="17"/>
              </w:rPr>
              <w:t xml:space="preserve">IA</w:t>
            </w:r>
          </w:p>
        </w:tc>
        <w:tc>
          <w:tcPr>
            <w:shd w:val="clear" w:color="auto" w:fill="F5F7FB"/>
          </w:tcPr>
          <w:p>
            <w:pPr>
              <w:pStyle w:val="Compact"/>
            </w:pPr>
            <w:r>
              <w:rPr>
                <w:sz w:val="17"/>
              </w:rPr>
              <w:t xml:space="preserve">Acceptation</w:t>
            </w:r>
          </w:p>
        </w:tc>
        <w:tc>
          <w:tcPr>
            <w:shd w:val="clear" w:color="auto" w:fill="F5F7FB"/>
          </w:tcPr>
          <w:p>
            <w:pPr>
              <w:pStyle w:val="Compact"/>
            </w:pPr>
            <w:r>
              <w:rPr>
                <w:sz w:val="17"/>
              </w:rPr>
              <w:t xml:space="preserve">Recommandations acceptées / émises</w:t>
            </w:r>
          </w:p>
        </w:tc>
        <w:tc>
          <w:tcPr>
            <w:shd w:val="clear" w:color="auto" w:fill="F5F7FB"/>
          </w:tcPr>
          <w:p>
            <w:pPr>
              <w:pStyle w:val="Compact"/>
            </w:pPr>
            <w:r>
              <w:rPr>
                <w:sz w:val="17"/>
              </w:rPr>
              <w:t xml:space="preserve">Suivi ; alerte si &lt; 30 % ou &gt; 95 %</w:t>
            </w:r>
          </w:p>
        </w:tc>
      </w:tr>
      <w:tr>
        <w:tc>
          <w:tcPr/>
          <w:p>
            <w:pPr>
              <w:pStyle w:val="Compact"/>
            </w:pPr>
            <w:r>
              <w:rPr>
                <w:sz w:val="17"/>
              </w:rPr>
              <w:t xml:space="preserve">Coût</w:t>
            </w:r>
          </w:p>
        </w:tc>
        <w:tc>
          <w:tcPr/>
          <w:p>
            <w:pPr>
              <w:pStyle w:val="Compact"/>
            </w:pPr>
            <w:r>
              <w:rPr>
                <w:sz w:val="17"/>
              </w:rPr>
              <w:t xml:space="preserve">Coût de collecte</w:t>
            </w:r>
          </w:p>
        </w:tc>
        <w:tc>
          <w:tcPr/>
          <w:p>
            <w:pPr>
              <w:pStyle w:val="Compact"/>
            </w:pPr>
            <w:r>
              <w:rPr>
                <w:sz w:val="17"/>
              </w:rPr>
              <w:t xml:space="preserve">Coût total / recettes rapprochées</w:t>
            </w:r>
          </w:p>
        </w:tc>
        <w:tc>
          <w:tcPr/>
          <w:p>
            <w:pPr>
              <w:pStyle w:val="Compact"/>
            </w:pPr>
            <w:r>
              <w:rPr>
                <w:sz w:val="17"/>
              </w:rPr>
              <w:t xml:space="preserve">En baisse</w:t>
            </w:r>
          </w:p>
        </w:tc>
      </w:tr>
      <w:tr>
        <w:tc>
          <w:tcPr>
            <w:shd w:val="clear" w:color="auto" w:fill="F5F7FB"/>
          </w:tcPr>
          <w:p>
            <w:pPr>
              <w:pStyle w:val="Compact"/>
            </w:pPr>
            <w:r>
              <w:rPr>
                <w:sz w:val="17"/>
              </w:rPr>
              <w:t xml:space="preserve">Résultat</w:t>
            </w:r>
          </w:p>
        </w:tc>
        <w:tc>
          <w:tcPr>
            <w:shd w:val="clear" w:color="auto" w:fill="F5F7FB"/>
          </w:tcPr>
          <w:p>
            <w:pPr>
              <w:pStyle w:val="Compact"/>
            </w:pPr>
            <w:r>
              <w:rPr>
                <w:sz w:val="17"/>
              </w:rPr>
              <w:t xml:space="preserve">RANV</w:t>
            </w:r>
          </w:p>
        </w:tc>
        <w:tc>
          <w:tcPr>
            <w:shd w:val="clear" w:color="auto" w:fill="F5F7FB"/>
          </w:tcPr>
          <w:p>
            <w:pPr>
              <w:pStyle w:val="Compact"/>
            </w:pPr>
            <w:r>
              <w:rPr>
                <w:sz w:val="17"/>
              </w:rPr>
              <w:t xml:space="preserve">§ 38.2</w:t>
            </w:r>
          </w:p>
        </w:tc>
        <w:tc>
          <w:tcPr>
            <w:shd w:val="clear" w:color="auto" w:fill="F5F7FB"/>
          </w:tcPr>
          <w:p>
            <w:pPr>
              <w:pStyle w:val="Compact"/>
            </w:pPr>
            <w:r>
              <w:rPr>
                <w:sz w:val="17"/>
              </w:rPr>
              <w:t xml:space="preserve">Positive et certifiée</w:t>
            </w:r>
          </w:p>
        </w:tc>
      </w:tr>
      <w:tr>
        <w:tc>
          <w:tcPr/>
          <w:p>
            <w:pPr>
              <w:pStyle w:val="Compact"/>
            </w:pPr>
            <w:r>
              <w:rPr>
                <w:sz w:val="17"/>
              </w:rPr>
              <w:t xml:space="preserve">Souveraineté</w:t>
            </w:r>
          </w:p>
        </w:tc>
        <w:tc>
          <w:tcPr/>
          <w:p>
            <w:pPr>
              <w:pStyle w:val="Compact"/>
            </w:pPr>
            <w:r>
              <w:rPr>
                <w:sz w:val="17"/>
              </w:rPr>
              <w:t xml:space="preserve">Autonomie</w:t>
            </w:r>
          </w:p>
        </w:tc>
        <w:tc>
          <w:tcPr/>
          <w:p>
            <w:pPr>
              <w:pStyle w:val="Compact"/>
            </w:pPr>
            <w:r>
              <w:rPr>
                <w:sz w:val="17"/>
              </w:rPr>
              <w:t xml:space="preserve">Tâches d’exploitation réalisées par l’équipe provinciale</w:t>
            </w:r>
          </w:p>
        </w:tc>
        <w:tc>
          <w:tcPr/>
          <w:p>
            <w:pPr>
              <w:pStyle w:val="Compact"/>
            </w:pPr>
            <w:r>
              <w:rPr>
                <w:sz w:val="17"/>
              </w:rPr>
              <w:t xml:space="preserve">≥ 50 % à 24 mois</w:t>
            </w:r>
          </w:p>
        </w:tc>
      </w:tr>
    </w:tbl>
    <w:bookmarkEnd w:id="347"/>
    <w:bookmarkStart w:id="351" w:name="registre-des-risques"/>
    <w:p>
      <w:pPr>
        <w:pStyle w:val="Heading1"/>
      </w:pPr>
      <w:r>
        <w:t xml:space="preserve">40. Registre des risques</w:t>
      </w:r>
    </w:p>
    <w:p>
      <w:pPr>
        <w:pStyle w:val="CaptionedFigure"/>
      </w:pPr>
      <w:r>
        <w:drawing>
          <wp:inline>
            <wp:extent cx="6108700" cy="4592480"/>
            <wp:effectExtent b="0" l="0" r="0" t="0"/>
            <wp:docPr descr="Cartographie des risques" title="" id="349" name="Picture"/>
            <a:graphic>
              <a:graphicData uri="http://schemas.openxmlformats.org/drawingml/2006/picture">
                <pic:pic>
                  <pic:nvPicPr>
                    <pic:cNvPr descr="figures/fig-risques.png" id="350" name="Picture"/>
                    <pic:cNvPicPr>
                      <a:picLocks noChangeArrowheads="1" noChangeAspect="1"/>
                    </pic:cNvPicPr>
                  </pic:nvPicPr>
                  <pic:blipFill>
                    <a:blip r:embed="rId348"/>
                    <a:stretch>
                      <a:fillRect/>
                    </a:stretch>
                  </pic:blipFill>
                  <pic:spPr bwMode="auto">
                    <a:xfrm>
                      <a:off x="0" y="0"/>
                      <a:ext cx="6108700" cy="4592480"/>
                    </a:xfrm>
                    <a:prstGeom prst="rect">
                      <a:avLst/>
                    </a:prstGeom>
                    <a:noFill/>
                    <a:ln w="9525">
                      <a:noFill/>
                      <a:headEnd/>
                      <a:tailEnd/>
                    </a:ln>
                  </pic:spPr>
                </pic:pic>
              </a:graphicData>
            </a:graphic>
          </wp:inline>
        </w:drawing>
      </w:r>
    </w:p>
    <w:p>
      <w:pPr>
        <w:pStyle w:val="ImageCaption"/>
      </w:pPr>
      <w:r>
        <w:t xml:space="preserve">Cartographie des risques</w:t>
      </w:r>
    </w:p>
    <w:p>
      <w:pPr>
        <w:pStyle w:val="BodyText"/>
      </w:pPr>
      <w:r>
        <w:t xml:space="preserve">Échelle : probabilité (P) et impact (I) de 1 à 5.</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320"/>
        <w:gridCol w:w="1320"/>
        <w:gridCol w:w="1320"/>
        <w:gridCol w:w="1320"/>
        <w:gridCol w:w="1320"/>
        <w:gridCol w:w="1320"/>
      </w:tblGrid>
      <w:tr>
        <w:trPr>
          <w:tblHeader w:val="on"/>
        </w:trPr>
        <w:tc>
          <w:tcPr>
            <w:shd w:val="clear" w:color="auto" w:fill="232C6B"/>
          </w:tcPr>
          <w:p>
            <w:pPr>
              <w:pStyle w:val="Compact"/>
            </w:pPr>
            <w:r>
              <w:rPr>
                <w:b/>
                <w:color w:val="FFFFFF"/>
                <w:sz w:val="17"/>
              </w:rPr>
              <w:t xml:space="preserve">ID</w:t>
            </w:r>
          </w:p>
        </w:tc>
        <w:tc>
          <w:tcPr>
            <w:shd w:val="clear" w:color="auto" w:fill="232C6B"/>
          </w:tcPr>
          <w:p>
            <w:pPr>
              <w:pStyle w:val="Compact"/>
            </w:pPr>
            <w:r>
              <w:rPr>
                <w:b/>
                <w:color w:val="FFFFFF"/>
                <w:sz w:val="17"/>
              </w:rPr>
              <w:t xml:space="preserve">Risque</w:t>
            </w:r>
          </w:p>
        </w:tc>
        <w:tc>
          <w:tcPr>
            <w:shd w:val="clear" w:color="auto" w:fill="232C6B"/>
          </w:tcPr>
          <w:p>
            <w:pPr>
              <w:pStyle w:val="Compact"/>
            </w:pPr>
            <w:r>
              <w:rPr>
                <w:b/>
                <w:color w:val="FFFFFF"/>
                <w:sz w:val="17"/>
              </w:rPr>
              <w:t xml:space="preserve">P</w:t>
            </w:r>
          </w:p>
        </w:tc>
        <w:tc>
          <w:tcPr>
            <w:shd w:val="clear" w:color="auto" w:fill="232C6B"/>
          </w:tcPr>
          <w:p>
            <w:pPr>
              <w:pStyle w:val="Compact"/>
            </w:pPr>
            <w:r>
              <w:rPr>
                <w:b/>
                <w:color w:val="FFFFFF"/>
                <w:sz w:val="17"/>
              </w:rPr>
              <w:t xml:space="preserve">I</w:t>
            </w:r>
          </w:p>
        </w:tc>
        <w:tc>
          <w:tcPr>
            <w:shd w:val="clear" w:color="auto" w:fill="232C6B"/>
          </w:tcPr>
          <w:p>
            <w:pPr>
              <w:pStyle w:val="Compact"/>
            </w:pPr>
            <w:r>
              <w:rPr>
                <w:b/>
                <w:color w:val="FFFFFF"/>
                <w:sz w:val="17"/>
              </w:rPr>
              <w:t xml:space="preserve">Traitement</w:t>
            </w:r>
          </w:p>
        </w:tc>
        <w:tc>
          <w:tcPr>
            <w:shd w:val="clear" w:color="auto" w:fill="232C6B"/>
          </w:tcPr>
          <w:p>
            <w:pPr>
              <w:pStyle w:val="Compact"/>
            </w:pPr>
            <w:r>
              <w:rPr>
                <w:b/>
                <w:color w:val="FFFFFF"/>
                <w:sz w:val="17"/>
              </w:rPr>
              <w:t xml:space="preserve">Propriétaire</w:t>
            </w:r>
          </w:p>
        </w:tc>
      </w:tr>
      <w:tr>
        <w:tc>
          <w:tcPr/>
          <w:p>
            <w:pPr>
              <w:pStyle w:val="Compact"/>
            </w:pPr>
            <w:r>
              <w:rPr>
                <w:sz w:val="17"/>
              </w:rPr>
              <w:t xml:space="preserve">R01</w:t>
            </w:r>
          </w:p>
        </w:tc>
        <w:tc>
          <w:tcPr/>
          <w:p>
            <w:pPr>
              <w:pStyle w:val="Compact"/>
            </w:pPr>
            <w:r>
              <w:rPr>
                <w:sz w:val="17"/>
              </w:rPr>
              <w:t xml:space="preserve">Liquidations fondées sur des textes ou taux non certifiés, contestées en masse</w:t>
            </w:r>
          </w:p>
        </w:tc>
        <w:tc>
          <w:tcPr/>
          <w:p>
            <w:pPr>
              <w:pStyle w:val="Compact"/>
            </w:pPr>
            <w:r>
              <w:rPr>
                <w:sz w:val="17"/>
              </w:rPr>
              <w:t xml:space="preserve">4</w:t>
            </w:r>
          </w:p>
        </w:tc>
        <w:tc>
          <w:tcPr/>
          <w:p>
            <w:pPr>
              <w:pStyle w:val="Compact"/>
            </w:pPr>
            <w:r>
              <w:rPr>
                <w:sz w:val="17"/>
              </w:rPr>
              <w:t xml:space="preserve">5</w:t>
            </w:r>
          </w:p>
        </w:tc>
        <w:tc>
          <w:tcPr/>
          <w:p>
            <w:pPr>
              <w:pStyle w:val="Compact"/>
            </w:pPr>
            <w:r>
              <w:rPr>
                <w:sz w:val="17"/>
              </w:rPr>
              <w:t xml:space="preserve">Registre juridique, statut</w:t>
            </w:r>
            <w:r>
              <w:rPr>
                <w:sz w:val="17"/>
              </w:rPr>
              <w:t xml:space="preserve"> </w:t>
            </w:r>
            <w:r>
              <w:rPr>
                <w:rStyle w:val="VerbatimChar"/>
                <w:sz w:val="17"/>
              </w:rPr>
              <w:t xml:space="preserve">A_VERIFIER</w:t>
            </w:r>
            <w:r>
              <w:rPr>
                <w:sz w:val="17"/>
              </w:rPr>
              <w:t xml:space="preserve"> </w:t>
            </w:r>
            <w:r>
              <w:rPr>
                <w:sz w:val="17"/>
              </w:rPr>
              <w:t xml:space="preserve">bloquant, relevé certifié en phase 0</w:t>
            </w:r>
          </w:p>
        </w:tc>
        <w:tc>
          <w:tcPr/>
          <w:p>
            <w:pPr>
              <w:pStyle w:val="Compact"/>
            </w:pPr>
            <w:r>
              <w:rPr>
                <w:sz w:val="17"/>
              </w:rPr>
              <w:t xml:space="preserve">Cellule juridique</w:t>
            </w:r>
          </w:p>
        </w:tc>
      </w:tr>
      <w:tr>
        <w:tc>
          <w:tcPr>
            <w:shd w:val="clear" w:color="auto" w:fill="F5F7FB"/>
          </w:tcPr>
          <w:p>
            <w:pPr>
              <w:pStyle w:val="Compact"/>
            </w:pPr>
            <w:r>
              <w:rPr>
                <w:sz w:val="17"/>
              </w:rPr>
              <w:t xml:space="preserve">R02</w:t>
            </w:r>
          </w:p>
        </w:tc>
        <w:tc>
          <w:tcPr>
            <w:shd w:val="clear" w:color="auto" w:fill="F5F7FB"/>
          </w:tcPr>
          <w:p>
            <w:pPr>
              <w:pStyle w:val="Compact"/>
            </w:pPr>
            <w:r>
              <w:rPr>
                <w:sz w:val="17"/>
              </w:rPr>
              <w:t xml:space="preserve">Détournement par changement de compte bénéficiaire ou fraude interne majeure</w:t>
            </w:r>
          </w:p>
        </w:tc>
        <w:tc>
          <w:tcPr>
            <w:shd w:val="clear" w:color="auto" w:fill="F5F7FB"/>
          </w:tcPr>
          <w:p>
            <w:pPr>
              <w:pStyle w:val="Compact"/>
            </w:pPr>
            <w:r>
              <w:rPr>
                <w:sz w:val="17"/>
              </w:rPr>
              <w:t xml:space="preserve">3</w:t>
            </w:r>
          </w:p>
        </w:tc>
        <w:tc>
          <w:tcPr>
            <w:shd w:val="clear" w:color="auto" w:fill="F5F7FB"/>
          </w:tcPr>
          <w:p>
            <w:pPr>
              <w:pStyle w:val="Compact"/>
            </w:pPr>
            <w:r>
              <w:rPr>
                <w:sz w:val="17"/>
              </w:rPr>
              <w:t xml:space="preserve">5</w:t>
            </w:r>
          </w:p>
        </w:tc>
        <w:tc>
          <w:tcPr>
            <w:shd w:val="clear" w:color="auto" w:fill="F5F7FB"/>
          </w:tcPr>
          <w:p>
            <w:pPr>
              <w:pStyle w:val="Compact"/>
            </w:pPr>
            <w:r>
              <w:rPr>
                <w:sz w:val="17"/>
              </w:rPr>
              <w:t xml:space="preserve">Coffre, quorum, hors bande, refroidissement, audit</w:t>
            </w:r>
          </w:p>
        </w:tc>
        <w:tc>
          <w:tcPr>
            <w:shd w:val="clear" w:color="auto" w:fill="F5F7FB"/>
          </w:tcPr>
          <w:p>
            <w:pPr>
              <w:pStyle w:val="Compact"/>
            </w:pPr>
            <w:r>
              <w:rPr>
                <w:sz w:val="17"/>
              </w:rPr>
              <w:t xml:space="preserve">Trésor, audit</w:t>
            </w:r>
          </w:p>
        </w:tc>
      </w:tr>
      <w:tr>
        <w:tc>
          <w:tcPr/>
          <w:p>
            <w:pPr>
              <w:pStyle w:val="Compact"/>
            </w:pPr>
            <w:r>
              <w:rPr>
                <w:sz w:val="17"/>
              </w:rPr>
              <w:t xml:space="preserve">R03</w:t>
            </w:r>
          </w:p>
        </w:tc>
        <w:tc>
          <w:tcPr/>
          <w:p>
            <w:pPr>
              <w:pStyle w:val="Compact"/>
            </w:pPr>
            <w:r>
              <w:rPr>
                <w:sz w:val="17"/>
              </w:rPr>
              <w:t xml:space="preserve">Rejet politique ou social (hausse perçue de la pression fiscale)</w:t>
            </w:r>
          </w:p>
        </w:tc>
        <w:tc>
          <w:tcPr/>
          <w:p>
            <w:pPr>
              <w:pStyle w:val="Compact"/>
            </w:pPr>
            <w:r>
              <w:rPr>
                <w:sz w:val="17"/>
              </w:rPr>
              <w:t xml:space="preserve">4</w:t>
            </w:r>
          </w:p>
        </w:tc>
        <w:tc>
          <w:tcPr/>
          <w:p>
            <w:pPr>
              <w:pStyle w:val="Compact"/>
            </w:pPr>
            <w:r>
              <w:rPr>
                <w:sz w:val="17"/>
              </w:rPr>
              <w:t xml:space="preserve">4</w:t>
            </w:r>
          </w:p>
        </w:tc>
        <w:tc>
          <w:tcPr/>
          <w:p>
            <w:pPr>
              <w:pStyle w:val="Compact"/>
            </w:pPr>
            <w:r>
              <w:rPr>
                <w:sz w:val="17"/>
              </w:rPr>
              <w:t xml:space="preserve">Communication, simplicité, équité, transparence de l’emploi des fonds, pas de nouvelle taxe au pilote</w:t>
            </w:r>
          </w:p>
        </w:tc>
        <w:tc>
          <w:tcPr/>
          <w:p>
            <w:pPr>
              <w:pStyle w:val="Compact"/>
            </w:pPr>
            <w:r>
              <w:rPr>
                <w:sz w:val="17"/>
              </w:rPr>
              <w:t xml:space="preserve">Gouverneur, programme</w:t>
            </w:r>
          </w:p>
        </w:tc>
      </w:tr>
      <w:tr>
        <w:tc>
          <w:tcPr>
            <w:shd w:val="clear" w:color="auto" w:fill="F5F7FB"/>
          </w:tcPr>
          <w:p>
            <w:pPr>
              <w:pStyle w:val="Compact"/>
            </w:pPr>
            <w:r>
              <w:rPr>
                <w:sz w:val="17"/>
              </w:rPr>
              <w:t xml:space="preserve">R04</w:t>
            </w:r>
          </w:p>
        </w:tc>
        <w:tc>
          <w:tcPr>
            <w:shd w:val="clear" w:color="auto" w:fill="F5F7FB"/>
          </w:tcPr>
          <w:p>
            <w:pPr>
              <w:pStyle w:val="Compact"/>
            </w:pPr>
            <w:r>
              <w:rPr>
                <w:sz w:val="17"/>
              </w:rPr>
              <w:t xml:space="preserve">Retard des protocoles de données partenaires</w:t>
            </w:r>
          </w:p>
        </w:tc>
        <w:tc>
          <w:tcPr>
            <w:shd w:val="clear" w:color="auto" w:fill="F5F7FB"/>
          </w:tcPr>
          <w:p>
            <w:pPr>
              <w:pStyle w:val="Compact"/>
            </w:pPr>
            <w:r>
              <w:rPr>
                <w:sz w:val="17"/>
              </w:rPr>
              <w:t xml:space="preserve">3</w:t>
            </w:r>
          </w:p>
        </w:tc>
        <w:tc>
          <w:tcPr>
            <w:shd w:val="clear" w:color="auto" w:fill="F5F7FB"/>
          </w:tcPr>
          <w:p>
            <w:pPr>
              <w:pStyle w:val="Compact"/>
            </w:pPr>
            <w:r>
              <w:rPr>
                <w:sz w:val="17"/>
              </w:rPr>
              <w:t xml:space="preserve">4</w:t>
            </w:r>
          </w:p>
        </w:tc>
        <w:tc>
          <w:tcPr>
            <w:shd w:val="clear" w:color="auto" w:fill="F5F7FB"/>
          </w:tcPr>
          <w:p>
            <w:pPr>
              <w:pStyle w:val="Compact"/>
            </w:pPr>
            <w:r>
              <w:rPr>
                <w:sz w:val="17"/>
              </w:rPr>
              <w:t xml:space="preserve">Recensement terrain d’abord ; protocoles en parallèle</w:t>
            </w:r>
          </w:p>
        </w:tc>
        <w:tc>
          <w:tcPr>
            <w:shd w:val="clear" w:color="auto" w:fill="F5F7FB"/>
          </w:tcPr>
          <w:p>
            <w:pPr>
              <w:pStyle w:val="Compact"/>
            </w:pPr>
            <w:r>
              <w:rPr>
                <w:sz w:val="17"/>
              </w:rPr>
              <w:t xml:space="preserve">Programme</w:t>
            </w:r>
          </w:p>
        </w:tc>
      </w:tr>
      <w:tr>
        <w:tc>
          <w:tcPr/>
          <w:p>
            <w:pPr>
              <w:pStyle w:val="Compact"/>
            </w:pPr>
            <w:r>
              <w:rPr>
                <w:sz w:val="17"/>
              </w:rPr>
              <w:t xml:space="preserve">R05</w:t>
            </w:r>
          </w:p>
        </w:tc>
        <w:tc>
          <w:tcPr/>
          <w:p>
            <w:pPr>
              <w:pStyle w:val="Compact"/>
            </w:pPr>
            <w:r>
              <w:rPr>
                <w:sz w:val="17"/>
              </w:rPr>
              <w:t xml:space="preserve">Cyberattaque ou fuite de données fiscales</w:t>
            </w:r>
          </w:p>
        </w:tc>
        <w:tc>
          <w:tcPr/>
          <w:p>
            <w:pPr>
              <w:pStyle w:val="Compact"/>
            </w:pPr>
            <w:r>
              <w:rPr>
                <w:sz w:val="17"/>
              </w:rPr>
              <w:t xml:space="preserve">3</w:t>
            </w:r>
          </w:p>
        </w:tc>
        <w:tc>
          <w:tcPr/>
          <w:p>
            <w:pPr>
              <w:pStyle w:val="Compact"/>
            </w:pPr>
            <w:r>
              <w:rPr>
                <w:sz w:val="17"/>
              </w:rPr>
              <w:t xml:space="preserve">5</w:t>
            </w:r>
          </w:p>
        </w:tc>
        <w:tc>
          <w:tcPr/>
          <w:p>
            <w:pPr>
              <w:pStyle w:val="Compact"/>
            </w:pPr>
            <w:r>
              <w:rPr>
                <w:sz w:val="17"/>
              </w:rPr>
              <w:t xml:space="preserve">Zéro confiance, SOC, chiffrement, tests d’intrusion</w:t>
            </w:r>
          </w:p>
        </w:tc>
        <w:tc>
          <w:tcPr/>
          <w:p>
            <w:pPr>
              <w:pStyle w:val="Compact"/>
            </w:pPr>
            <w:r>
              <w:rPr>
                <w:sz w:val="17"/>
              </w:rPr>
              <w:t xml:space="preserve">RSSI</w:t>
            </w:r>
          </w:p>
        </w:tc>
      </w:tr>
      <w:tr>
        <w:tc>
          <w:tcPr>
            <w:shd w:val="clear" w:color="auto" w:fill="F5F7FB"/>
          </w:tcPr>
          <w:p>
            <w:pPr>
              <w:pStyle w:val="Compact"/>
            </w:pPr>
            <w:r>
              <w:rPr>
                <w:sz w:val="17"/>
              </w:rPr>
              <w:t xml:space="preserve">R06</w:t>
            </w:r>
          </w:p>
        </w:tc>
        <w:tc>
          <w:tcPr>
            <w:shd w:val="clear" w:color="auto" w:fill="F5F7FB"/>
          </w:tcPr>
          <w:p>
            <w:pPr>
              <w:pStyle w:val="Compact"/>
            </w:pPr>
            <w:r>
              <w:rPr>
                <w:sz w:val="17"/>
              </w:rPr>
              <w:t xml:space="preserve">Désorganisation liée à la réforme des régies (DGRK → DGIPK et DGTK)</w:t>
            </w:r>
          </w:p>
        </w:tc>
        <w:tc>
          <w:tcPr>
            <w:shd w:val="clear" w:color="auto" w:fill="F5F7FB"/>
          </w:tcPr>
          <w:p>
            <w:pPr>
              <w:pStyle w:val="Compact"/>
            </w:pPr>
            <w:r>
              <w:rPr>
                <w:sz w:val="17"/>
              </w:rPr>
              <w:t xml:space="preserve">4</w:t>
            </w:r>
          </w:p>
        </w:tc>
        <w:tc>
          <w:tcPr>
            <w:shd w:val="clear" w:color="auto" w:fill="F5F7FB"/>
          </w:tcPr>
          <w:p>
            <w:pPr>
              <w:pStyle w:val="Compact"/>
            </w:pPr>
            <w:r>
              <w:rPr>
                <w:sz w:val="17"/>
              </w:rPr>
              <w:t xml:space="preserve">4</w:t>
            </w:r>
          </w:p>
        </w:tc>
        <w:tc>
          <w:tcPr>
            <w:shd w:val="clear" w:color="auto" w:fill="F5F7FB"/>
          </w:tcPr>
          <w:p>
            <w:pPr>
              <w:pStyle w:val="Compact"/>
            </w:pPr>
            <w:r>
              <w:rPr>
                <w:sz w:val="17"/>
              </w:rPr>
              <w:t xml:space="preserve">Administration paramétrable ; association des nouvelles directions dès J+30</w:t>
            </w:r>
          </w:p>
        </w:tc>
        <w:tc>
          <w:tcPr>
            <w:shd w:val="clear" w:color="auto" w:fill="F5F7FB"/>
          </w:tcPr>
          <w:p>
            <w:pPr>
              <w:pStyle w:val="Compact"/>
            </w:pPr>
            <w:r>
              <w:rPr>
                <w:sz w:val="17"/>
              </w:rPr>
              <w:t xml:space="preserve">Finances</w:t>
            </w:r>
          </w:p>
        </w:tc>
      </w:tr>
      <w:tr>
        <w:tc>
          <w:tcPr/>
          <w:p>
            <w:pPr>
              <w:pStyle w:val="Compact"/>
            </w:pPr>
            <w:r>
              <w:rPr>
                <w:sz w:val="17"/>
              </w:rPr>
              <w:t xml:space="preserve">R07</w:t>
            </w:r>
          </w:p>
        </w:tc>
        <w:tc>
          <w:tcPr/>
          <w:p>
            <w:pPr>
              <w:pStyle w:val="Compact"/>
            </w:pPr>
            <w:r>
              <w:rPr>
                <w:sz w:val="17"/>
              </w:rPr>
              <w:t xml:space="preserve">Dépendance au fournisseur</w:t>
            </w:r>
          </w:p>
        </w:tc>
        <w:tc>
          <w:tcPr/>
          <w:p>
            <w:pPr>
              <w:pStyle w:val="Compact"/>
            </w:pPr>
            <w:r>
              <w:rPr>
                <w:sz w:val="17"/>
              </w:rPr>
              <w:t xml:space="preserve">3</w:t>
            </w:r>
          </w:p>
        </w:tc>
        <w:tc>
          <w:tcPr/>
          <w:p>
            <w:pPr>
              <w:pStyle w:val="Compact"/>
            </w:pPr>
            <w:r>
              <w:rPr>
                <w:sz w:val="17"/>
              </w:rPr>
              <w:t xml:space="preserve">4</w:t>
            </w:r>
          </w:p>
        </w:tc>
        <w:tc>
          <w:tcPr/>
          <w:p>
            <w:pPr>
              <w:pStyle w:val="Compact"/>
            </w:pPr>
            <w:r>
              <w:rPr>
                <w:sz w:val="17"/>
              </w:rPr>
              <w:t xml:space="preserve">Clauses § 33 et § 37 ; code déposé ; réversibilité testée</w:t>
            </w:r>
          </w:p>
        </w:tc>
        <w:tc>
          <w:tcPr/>
          <w:p>
            <w:pPr>
              <w:pStyle w:val="Compact"/>
            </w:pPr>
            <w:r>
              <w:rPr>
                <w:sz w:val="17"/>
              </w:rPr>
              <w:t xml:space="preserve">Comité de pilotage</w:t>
            </w:r>
          </w:p>
        </w:tc>
      </w:tr>
      <w:tr>
        <w:tc>
          <w:tcPr>
            <w:shd w:val="clear" w:color="auto" w:fill="F5F7FB"/>
          </w:tcPr>
          <w:p>
            <w:pPr>
              <w:pStyle w:val="Compact"/>
            </w:pPr>
            <w:r>
              <w:rPr>
                <w:sz w:val="17"/>
              </w:rPr>
              <w:t xml:space="preserve">R08</w:t>
            </w:r>
          </w:p>
        </w:tc>
        <w:tc>
          <w:tcPr>
            <w:shd w:val="clear" w:color="auto" w:fill="F5F7FB"/>
          </w:tcPr>
          <w:p>
            <w:pPr>
              <w:pStyle w:val="Compact"/>
            </w:pPr>
            <w:r>
              <w:rPr>
                <w:sz w:val="17"/>
              </w:rPr>
              <w:t xml:space="preserve">Connectivité et énergie insuffisantes sur le terrain</w:t>
            </w:r>
          </w:p>
        </w:tc>
        <w:tc>
          <w:tcPr>
            <w:shd w:val="clear" w:color="auto" w:fill="F5F7FB"/>
          </w:tcPr>
          <w:p>
            <w:pPr>
              <w:pStyle w:val="Compact"/>
            </w:pPr>
            <w:r>
              <w:rPr>
                <w:sz w:val="17"/>
              </w:rPr>
              <w:t xml:space="preserve">4</w:t>
            </w:r>
          </w:p>
        </w:tc>
        <w:tc>
          <w:tcPr>
            <w:shd w:val="clear" w:color="auto" w:fill="F5F7FB"/>
          </w:tcPr>
          <w:p>
            <w:pPr>
              <w:pStyle w:val="Compact"/>
            </w:pPr>
            <w:r>
              <w:rPr>
                <w:sz w:val="17"/>
              </w:rPr>
              <w:t xml:space="preserve">3</w:t>
            </w:r>
          </w:p>
        </w:tc>
        <w:tc>
          <w:tcPr>
            <w:shd w:val="clear" w:color="auto" w:fill="F5F7FB"/>
          </w:tcPr>
          <w:p>
            <w:pPr>
              <w:pStyle w:val="Compact"/>
            </w:pPr>
            <w:r>
              <w:rPr>
                <w:sz w:val="17"/>
              </w:rPr>
              <w:t xml:space="preserve">Hors ligne ; batteries ; synchronisation au bureau</w:t>
            </w:r>
          </w:p>
        </w:tc>
        <w:tc>
          <w:tcPr>
            <w:shd w:val="clear" w:color="auto" w:fill="F5F7FB"/>
          </w:tcPr>
          <w:p>
            <w:pPr>
              <w:pStyle w:val="Compact"/>
            </w:pPr>
            <w:r>
              <w:rPr>
                <w:sz w:val="17"/>
              </w:rPr>
              <w:t xml:space="preserve">Opérations</w:t>
            </w:r>
          </w:p>
        </w:tc>
      </w:tr>
      <w:tr>
        <w:tc>
          <w:tcPr/>
          <w:p>
            <w:pPr>
              <w:pStyle w:val="Compact"/>
            </w:pPr>
            <w:r>
              <w:rPr>
                <w:sz w:val="17"/>
              </w:rPr>
              <w:t xml:space="preserve">R09</w:t>
            </w:r>
          </w:p>
        </w:tc>
        <w:tc>
          <w:tcPr/>
          <w:p>
            <w:pPr>
              <w:pStyle w:val="Compact"/>
            </w:pPr>
            <w:r>
              <w:rPr>
                <w:sz w:val="17"/>
              </w:rPr>
              <w:t xml:space="preserve">Invalidation du modèle de rémunération du prestataire (fermage, gestion de fait)</w:t>
            </w:r>
          </w:p>
        </w:tc>
        <w:tc>
          <w:tcPr/>
          <w:p>
            <w:pPr>
              <w:pStyle w:val="Compact"/>
            </w:pPr>
            <w:r>
              <w:rPr>
                <w:sz w:val="17"/>
              </w:rPr>
              <w:t xml:space="preserve">2</w:t>
            </w:r>
          </w:p>
        </w:tc>
        <w:tc>
          <w:tcPr/>
          <w:p>
            <w:pPr>
              <w:pStyle w:val="Compact"/>
            </w:pPr>
            <w:r>
              <w:rPr>
                <w:sz w:val="17"/>
              </w:rPr>
              <w:t xml:space="preserve">5</w:t>
            </w:r>
          </w:p>
        </w:tc>
        <w:tc>
          <w:tcPr/>
          <w:p>
            <w:pPr>
              <w:pStyle w:val="Compact"/>
            </w:pPr>
            <w:r>
              <w:rPr>
                <w:sz w:val="17"/>
              </w:rPr>
              <w:t xml:space="preserve">Modèle hybride § 37.3 ; avis juridique</w:t>
            </w:r>
          </w:p>
        </w:tc>
        <w:tc>
          <w:tcPr/>
          <w:p>
            <w:pPr>
              <w:pStyle w:val="Compact"/>
            </w:pPr>
            <w:r>
              <w:rPr>
                <w:sz w:val="17"/>
              </w:rPr>
              <w:t xml:space="preserve">Finances</w:t>
            </w:r>
          </w:p>
        </w:tc>
      </w:tr>
      <w:tr>
        <w:tc>
          <w:tcPr>
            <w:shd w:val="clear" w:color="auto" w:fill="F5F7FB"/>
          </w:tcPr>
          <w:p>
            <w:pPr>
              <w:pStyle w:val="Compact"/>
            </w:pPr>
            <w:r>
              <w:rPr>
                <w:sz w:val="17"/>
              </w:rPr>
              <w:t xml:space="preserve">R10</w:t>
            </w:r>
          </w:p>
        </w:tc>
        <w:tc>
          <w:tcPr>
            <w:shd w:val="clear" w:color="auto" w:fill="F5F7FB"/>
          </w:tcPr>
          <w:p>
            <w:pPr>
              <w:pStyle w:val="Compact"/>
            </w:pPr>
            <w:r>
              <w:rPr>
                <w:sz w:val="17"/>
              </w:rPr>
              <w:t xml:space="preserve">Corruption et collusion sur le terrain</w:t>
            </w:r>
          </w:p>
        </w:tc>
        <w:tc>
          <w:tcPr>
            <w:shd w:val="clear" w:color="auto" w:fill="F5F7FB"/>
          </w:tcPr>
          <w:p>
            <w:pPr>
              <w:pStyle w:val="Compact"/>
            </w:pPr>
            <w:r>
              <w:rPr>
                <w:sz w:val="17"/>
              </w:rPr>
              <w:t xml:space="preserve">3</w:t>
            </w:r>
          </w:p>
        </w:tc>
        <w:tc>
          <w:tcPr>
            <w:shd w:val="clear" w:color="auto" w:fill="F5F7FB"/>
          </w:tcPr>
          <w:p>
            <w:pPr>
              <w:pStyle w:val="Compact"/>
            </w:pPr>
            <w:r>
              <w:rPr>
                <w:sz w:val="17"/>
              </w:rPr>
              <w:t xml:space="preserve">4</w:t>
            </w:r>
          </w:p>
        </w:tc>
        <w:tc>
          <w:tcPr>
            <w:shd w:val="clear" w:color="auto" w:fill="F5F7FB"/>
          </w:tcPr>
          <w:p>
            <w:pPr>
              <w:pStyle w:val="Compact"/>
            </w:pPr>
            <w:r>
              <w:rPr>
                <w:sz w:val="17"/>
              </w:rPr>
              <w:t xml:space="preserve">Zéro espèce, contrôle qualité indépendant, badges, signalement</w:t>
            </w:r>
          </w:p>
        </w:tc>
        <w:tc>
          <w:tcPr>
            <w:shd w:val="clear" w:color="auto" w:fill="F5F7FB"/>
          </w:tcPr>
          <w:p>
            <w:pPr>
              <w:pStyle w:val="Compact"/>
            </w:pPr>
            <w:r>
              <w:rPr>
                <w:sz w:val="17"/>
              </w:rPr>
              <w:t xml:space="preserve">Audit</w:t>
            </w:r>
          </w:p>
        </w:tc>
      </w:tr>
      <w:tr>
        <w:tc>
          <w:tcPr/>
          <w:p>
            <w:pPr>
              <w:pStyle w:val="Compact"/>
            </w:pPr>
            <w:r>
              <w:rPr>
                <w:sz w:val="17"/>
              </w:rPr>
              <w:t xml:space="preserve">R11</w:t>
            </w:r>
          </w:p>
        </w:tc>
        <w:tc>
          <w:tcPr/>
          <w:p>
            <w:pPr>
              <w:pStyle w:val="Compact"/>
            </w:pPr>
            <w:r>
              <w:rPr>
                <w:sz w:val="17"/>
              </w:rPr>
              <w:t xml:space="preserve">Mauvaise qualité des données (adresses, doublons)</w:t>
            </w:r>
          </w:p>
        </w:tc>
        <w:tc>
          <w:tcPr/>
          <w:p>
            <w:pPr>
              <w:pStyle w:val="Compact"/>
            </w:pPr>
            <w:r>
              <w:rPr>
                <w:sz w:val="17"/>
              </w:rPr>
              <w:t xml:space="preserve">4</w:t>
            </w:r>
          </w:p>
        </w:tc>
        <w:tc>
          <w:tcPr/>
          <w:p>
            <w:pPr>
              <w:pStyle w:val="Compact"/>
            </w:pPr>
            <w:r>
              <w:rPr>
                <w:sz w:val="17"/>
              </w:rPr>
              <w:t xml:space="preserve">3</w:t>
            </w:r>
          </w:p>
        </w:tc>
        <w:tc>
          <w:tcPr/>
          <w:p>
            <w:pPr>
              <w:pStyle w:val="Compact"/>
            </w:pPr>
            <w:r>
              <w:rPr>
                <w:sz w:val="17"/>
              </w:rPr>
              <w:t xml:space="preserve">Référentiel territorial, anti-doublon, contrôles de qualité</w:t>
            </w:r>
          </w:p>
        </w:tc>
        <w:tc>
          <w:tcPr/>
          <w:p>
            <w:pPr>
              <w:pStyle w:val="Compact"/>
            </w:pPr>
            <w:r>
              <w:rPr>
                <w:sz w:val="17"/>
              </w:rPr>
              <w:t xml:space="preserve">Données</w:t>
            </w:r>
          </w:p>
        </w:tc>
      </w:tr>
      <w:tr>
        <w:tc>
          <w:tcPr>
            <w:shd w:val="clear" w:color="auto" w:fill="F5F7FB"/>
          </w:tcPr>
          <w:p>
            <w:pPr>
              <w:pStyle w:val="Compact"/>
            </w:pPr>
            <w:r>
              <w:rPr>
                <w:sz w:val="17"/>
              </w:rPr>
              <w:t xml:space="preserve">R12</w:t>
            </w:r>
          </w:p>
        </w:tc>
        <w:tc>
          <w:tcPr>
            <w:shd w:val="clear" w:color="auto" w:fill="F5F7FB"/>
          </w:tcPr>
          <w:p>
            <w:pPr>
              <w:pStyle w:val="Compact"/>
            </w:pPr>
            <w:r>
              <w:rPr>
                <w:sz w:val="17"/>
              </w:rPr>
              <w:t xml:space="preserve">Faible adoption par les contribuables</w:t>
            </w:r>
          </w:p>
        </w:tc>
        <w:tc>
          <w:tcPr>
            <w:shd w:val="clear" w:color="auto" w:fill="F5F7FB"/>
          </w:tcPr>
          <w:p>
            <w:pPr>
              <w:pStyle w:val="Compact"/>
            </w:pPr>
            <w:r>
              <w:rPr>
                <w:sz w:val="17"/>
              </w:rPr>
              <w:t xml:space="preserve">3</w:t>
            </w:r>
          </w:p>
        </w:tc>
        <w:tc>
          <w:tcPr>
            <w:shd w:val="clear" w:color="auto" w:fill="F5F7FB"/>
          </w:tcPr>
          <w:p>
            <w:pPr>
              <w:pStyle w:val="Compact"/>
            </w:pPr>
            <w:r>
              <w:rPr>
                <w:sz w:val="17"/>
              </w:rPr>
              <w:t xml:space="preserve">3</w:t>
            </w:r>
          </w:p>
        </w:tc>
        <w:tc>
          <w:tcPr>
            <w:shd w:val="clear" w:color="auto" w:fill="F5F7FB"/>
          </w:tcPr>
          <w:p>
            <w:pPr>
              <w:pStyle w:val="Compact"/>
            </w:pPr>
            <w:r>
              <w:rPr>
                <w:sz w:val="17"/>
              </w:rPr>
              <w:t xml:space="preserve">Canaux assistés, langues nationales, simplicité</w:t>
            </w:r>
          </w:p>
        </w:tc>
        <w:tc>
          <w:tcPr>
            <w:shd w:val="clear" w:color="auto" w:fill="F5F7FB"/>
          </w:tcPr>
          <w:p>
            <w:pPr>
              <w:pStyle w:val="Compact"/>
            </w:pPr>
            <w:r>
              <w:rPr>
                <w:sz w:val="17"/>
              </w:rPr>
              <w:t xml:space="preserve">Service contribuables</w:t>
            </w:r>
          </w:p>
        </w:tc>
      </w:tr>
      <w:tr>
        <w:tc>
          <w:tcPr/>
          <w:p>
            <w:pPr>
              <w:pStyle w:val="Compact"/>
            </w:pPr>
            <w:r>
              <w:rPr>
                <w:sz w:val="17"/>
              </w:rPr>
              <w:t xml:space="preserve">R13</w:t>
            </w:r>
          </w:p>
        </w:tc>
        <w:tc>
          <w:tcPr/>
          <w:p>
            <w:pPr>
              <w:pStyle w:val="Compact"/>
            </w:pPr>
            <w:r>
              <w:rPr>
                <w:sz w:val="17"/>
              </w:rPr>
              <w:t xml:space="preserve">Biais de ciblage des modèles d’IA</w:t>
            </w:r>
          </w:p>
        </w:tc>
        <w:tc>
          <w:tcPr/>
          <w:p>
            <w:pPr>
              <w:pStyle w:val="Compact"/>
            </w:pPr>
            <w:r>
              <w:rPr>
                <w:sz w:val="17"/>
              </w:rPr>
              <w:t xml:space="preserve">2</w:t>
            </w:r>
          </w:p>
        </w:tc>
        <w:tc>
          <w:tcPr/>
          <w:p>
            <w:pPr>
              <w:pStyle w:val="Compact"/>
            </w:pPr>
            <w:r>
              <w:rPr>
                <w:sz w:val="17"/>
              </w:rPr>
              <w:t xml:space="preserve">4</w:t>
            </w:r>
          </w:p>
        </w:tc>
        <w:tc>
          <w:tcPr/>
          <w:p>
            <w:pPr>
              <w:pStyle w:val="Compact"/>
            </w:pPr>
            <w:r>
              <w:rPr>
                <w:sz w:val="17"/>
              </w:rPr>
              <w:t xml:space="preserve">Tests de biais, validation humaine, comité des modèles</w:t>
            </w:r>
          </w:p>
        </w:tc>
        <w:tc>
          <w:tcPr/>
          <w:p>
            <w:pPr>
              <w:pStyle w:val="Compact"/>
            </w:pPr>
            <w:r>
              <w:rPr>
                <w:sz w:val="17"/>
              </w:rPr>
              <w:t xml:space="preserve">Comité IA</w:t>
            </w:r>
          </w:p>
        </w:tc>
      </w:tr>
      <w:tr>
        <w:tc>
          <w:tcPr>
            <w:shd w:val="clear" w:color="auto" w:fill="F5F7FB"/>
          </w:tcPr>
          <w:p>
            <w:pPr>
              <w:pStyle w:val="Compact"/>
            </w:pPr>
            <w:r>
              <w:rPr>
                <w:sz w:val="17"/>
              </w:rPr>
              <w:t xml:space="preserve">R14</w:t>
            </w:r>
          </w:p>
        </w:tc>
        <w:tc>
          <w:tcPr>
            <w:shd w:val="clear" w:color="auto" w:fill="F5F7FB"/>
          </w:tcPr>
          <w:p>
            <w:pPr>
              <w:pStyle w:val="Compact"/>
            </w:pPr>
            <w:r>
              <w:rPr>
                <w:sz w:val="17"/>
              </w:rPr>
              <w:t xml:space="preserve">Défaillance ou fraude d’un canal de paiement</w:t>
            </w:r>
          </w:p>
        </w:tc>
        <w:tc>
          <w:tcPr>
            <w:shd w:val="clear" w:color="auto" w:fill="F5F7FB"/>
          </w:tcPr>
          <w:p>
            <w:pPr>
              <w:pStyle w:val="Compact"/>
            </w:pPr>
            <w:r>
              <w:rPr>
                <w:sz w:val="17"/>
              </w:rPr>
              <w:t xml:space="preserve">3</w:t>
            </w:r>
          </w:p>
        </w:tc>
        <w:tc>
          <w:tcPr>
            <w:shd w:val="clear" w:color="auto" w:fill="F5F7FB"/>
          </w:tcPr>
          <w:p>
            <w:pPr>
              <w:pStyle w:val="Compact"/>
            </w:pPr>
            <w:r>
              <w:rPr>
                <w:sz w:val="17"/>
              </w:rPr>
              <w:t xml:space="preserve">4</w:t>
            </w:r>
          </w:p>
        </w:tc>
        <w:tc>
          <w:tcPr>
            <w:shd w:val="clear" w:color="auto" w:fill="F5F7FB"/>
          </w:tcPr>
          <w:p>
            <w:pPr>
              <w:pStyle w:val="Compact"/>
            </w:pPr>
            <w:r>
              <w:rPr>
                <w:sz w:val="17"/>
              </w:rPr>
              <w:t xml:space="preserve">Multi-prestataires, rapprochement, pénalités, signatures</w:t>
            </w:r>
          </w:p>
        </w:tc>
        <w:tc>
          <w:tcPr>
            <w:shd w:val="clear" w:color="auto" w:fill="F5F7FB"/>
          </w:tcPr>
          <w:p>
            <w:pPr>
              <w:pStyle w:val="Compact"/>
            </w:pPr>
            <w:r>
              <w:rPr>
                <w:sz w:val="17"/>
              </w:rPr>
              <w:t xml:space="preserve">Trésor</w:t>
            </w:r>
          </w:p>
        </w:tc>
      </w:tr>
      <w:tr>
        <w:tc>
          <w:tcPr/>
          <w:p>
            <w:pPr>
              <w:pStyle w:val="Compact"/>
            </w:pPr>
            <w:r>
              <w:rPr>
                <w:sz w:val="17"/>
              </w:rPr>
              <w:t xml:space="preserve">R15</w:t>
            </w:r>
          </w:p>
        </w:tc>
        <w:tc>
          <w:tcPr/>
          <w:p>
            <w:pPr>
              <w:pStyle w:val="Compact"/>
            </w:pPr>
            <w:r>
              <w:rPr>
                <w:sz w:val="17"/>
              </w:rPr>
              <w:t xml:space="preserve">Coexistence avec la plateforme existante et doubles systèmes</w:t>
            </w:r>
          </w:p>
        </w:tc>
        <w:tc>
          <w:tcPr/>
          <w:p>
            <w:pPr>
              <w:pStyle w:val="Compact"/>
            </w:pPr>
            <w:r>
              <w:rPr>
                <w:sz w:val="17"/>
              </w:rPr>
              <w:t xml:space="preserve">3</w:t>
            </w:r>
          </w:p>
        </w:tc>
        <w:tc>
          <w:tcPr/>
          <w:p>
            <w:pPr>
              <w:pStyle w:val="Compact"/>
            </w:pPr>
            <w:r>
              <w:rPr>
                <w:sz w:val="17"/>
              </w:rPr>
              <w:t xml:space="preserve">3</w:t>
            </w:r>
          </w:p>
        </w:tc>
        <w:tc>
          <w:tcPr/>
          <w:p>
            <w:pPr>
              <w:pStyle w:val="Compact"/>
            </w:pPr>
            <w:r>
              <w:rPr>
                <w:sz w:val="17"/>
              </w:rPr>
              <w:t xml:space="preserve">Plan d’intégration puis migration ; un seul système de référence par recette</w:t>
            </w:r>
          </w:p>
        </w:tc>
        <w:tc>
          <w:tcPr/>
          <w:p>
            <w:pPr>
              <w:pStyle w:val="Compact"/>
            </w:pPr>
            <w:r>
              <w:rPr>
                <w:sz w:val="17"/>
              </w:rPr>
              <w:t xml:space="preserve">DSI</w:t>
            </w:r>
          </w:p>
        </w:tc>
      </w:tr>
      <w:tr>
        <w:tc>
          <w:tcPr>
            <w:shd w:val="clear" w:color="auto" w:fill="F5F7FB"/>
          </w:tcPr>
          <w:p>
            <w:pPr>
              <w:pStyle w:val="Compact"/>
            </w:pPr>
            <w:r>
              <w:rPr>
                <w:sz w:val="17"/>
              </w:rPr>
              <w:t xml:space="preserve">R16</w:t>
            </w:r>
          </w:p>
        </w:tc>
        <w:tc>
          <w:tcPr>
            <w:shd w:val="clear" w:color="auto" w:fill="F5F7FB"/>
          </w:tcPr>
          <w:p>
            <w:pPr>
              <w:pStyle w:val="Compact"/>
            </w:pPr>
            <w:r>
              <w:rPr>
                <w:sz w:val="17"/>
              </w:rPr>
              <w:t xml:space="preserve">Non-conformité en matière de protection des données (autorité non encore créée)</w:t>
            </w:r>
          </w:p>
        </w:tc>
        <w:tc>
          <w:tcPr>
            <w:shd w:val="clear" w:color="auto" w:fill="F5F7FB"/>
          </w:tcPr>
          <w:p>
            <w:pPr>
              <w:pStyle w:val="Compact"/>
            </w:pPr>
            <w:r>
              <w:rPr>
                <w:sz w:val="17"/>
              </w:rPr>
              <w:t xml:space="preserve">2</w:t>
            </w:r>
          </w:p>
        </w:tc>
        <w:tc>
          <w:tcPr>
            <w:shd w:val="clear" w:color="auto" w:fill="F5F7FB"/>
          </w:tcPr>
          <w:p>
            <w:pPr>
              <w:pStyle w:val="Compact"/>
            </w:pPr>
            <w:r>
              <w:rPr>
                <w:sz w:val="17"/>
              </w:rPr>
              <w:t xml:space="preserve">4</w:t>
            </w:r>
          </w:p>
        </w:tc>
        <w:tc>
          <w:tcPr>
            <w:shd w:val="clear" w:color="auto" w:fill="F5F7FB"/>
          </w:tcPr>
          <w:p>
            <w:pPr>
              <w:pStyle w:val="Compact"/>
            </w:pPr>
            <w:r>
              <w:rPr>
                <w:sz w:val="17"/>
              </w:rPr>
              <w:t xml:space="preserve">Délégué, analyses d’impact, formalités auprès de l’autorité intérimaire</w:t>
            </w:r>
          </w:p>
        </w:tc>
        <w:tc>
          <w:tcPr>
            <w:shd w:val="clear" w:color="auto" w:fill="F5F7FB"/>
          </w:tcPr>
          <w:p>
            <w:pPr>
              <w:pStyle w:val="Compact"/>
            </w:pPr>
            <w:r>
              <w:rPr>
                <w:sz w:val="17"/>
              </w:rPr>
              <w:t xml:space="preserve">DPD</w:t>
            </w:r>
          </w:p>
        </w:tc>
      </w:tr>
      <w:tr>
        <w:tc>
          <w:tcPr/>
          <w:p>
            <w:pPr>
              <w:pStyle w:val="Compact"/>
            </w:pPr>
            <w:r>
              <w:rPr>
                <w:sz w:val="17"/>
              </w:rPr>
              <w:t xml:space="preserve">R17</w:t>
            </w:r>
          </w:p>
        </w:tc>
        <w:tc>
          <w:tcPr/>
          <w:p>
            <w:pPr>
              <w:pStyle w:val="Compact"/>
            </w:pPr>
            <w:r>
              <w:rPr>
                <w:sz w:val="17"/>
              </w:rPr>
              <w:t xml:space="preserve">Calendrier de février 2027 non tenu</w:t>
            </w:r>
          </w:p>
        </w:tc>
        <w:tc>
          <w:tcPr/>
          <w:p>
            <w:pPr>
              <w:pStyle w:val="Compact"/>
            </w:pPr>
            <w:r>
              <w:rPr>
                <w:sz w:val="17"/>
              </w:rPr>
              <w:t xml:space="preserve">4</w:t>
            </w:r>
          </w:p>
        </w:tc>
        <w:tc>
          <w:tcPr/>
          <w:p>
            <w:pPr>
              <w:pStyle w:val="Compact"/>
            </w:pPr>
            <w:r>
              <w:rPr>
                <w:sz w:val="17"/>
              </w:rPr>
              <w:t xml:space="preserve">4</w:t>
            </w:r>
          </w:p>
        </w:tc>
        <w:tc>
          <w:tcPr/>
          <w:p>
            <w:pPr>
              <w:pStyle w:val="Compact"/>
            </w:pPr>
            <w:r>
              <w:rPr>
                <w:sz w:val="17"/>
              </w:rPr>
              <w:t xml:space="preserve">Plan de repli par export vers l’existant ; périmètre R0 réduit</w:t>
            </w:r>
          </w:p>
        </w:tc>
        <w:tc>
          <w:tcPr/>
          <w:p>
            <w:pPr>
              <w:pStyle w:val="Compact"/>
            </w:pPr>
            <w:r>
              <w:rPr>
                <w:sz w:val="17"/>
              </w:rPr>
              <w:t xml:space="preserve">Programme</w:t>
            </w:r>
          </w:p>
        </w:tc>
      </w:tr>
      <w:tr>
        <w:tc>
          <w:tcPr>
            <w:shd w:val="clear" w:color="auto" w:fill="F5F7FB"/>
          </w:tcPr>
          <w:p>
            <w:pPr>
              <w:pStyle w:val="Compact"/>
            </w:pPr>
            <w:r>
              <w:rPr>
                <w:sz w:val="17"/>
              </w:rPr>
              <w:t xml:space="preserve">R18</w:t>
            </w:r>
          </w:p>
        </w:tc>
        <w:tc>
          <w:tcPr>
            <w:shd w:val="clear" w:color="auto" w:fill="F5F7FB"/>
          </w:tcPr>
          <w:p>
            <w:pPr>
              <w:pStyle w:val="Compact"/>
            </w:pPr>
            <w:r>
              <w:rPr>
                <w:sz w:val="17"/>
              </w:rPr>
              <w:t xml:space="preserve">Financement des moyens physiques non arrêté</w:t>
            </w:r>
          </w:p>
        </w:tc>
        <w:tc>
          <w:tcPr>
            <w:shd w:val="clear" w:color="auto" w:fill="F5F7FB"/>
          </w:tcPr>
          <w:p>
            <w:pPr>
              <w:pStyle w:val="Compact"/>
            </w:pPr>
            <w:r>
              <w:rPr>
                <w:sz w:val="17"/>
              </w:rPr>
              <w:t xml:space="preserve">3</w:t>
            </w:r>
          </w:p>
        </w:tc>
        <w:tc>
          <w:tcPr>
            <w:shd w:val="clear" w:color="auto" w:fill="F5F7FB"/>
          </w:tcPr>
          <w:p>
            <w:pPr>
              <w:pStyle w:val="Compact"/>
            </w:pPr>
            <w:r>
              <w:rPr>
                <w:sz w:val="17"/>
              </w:rPr>
              <w:t xml:space="preserve">3</w:t>
            </w:r>
          </w:p>
        </w:tc>
        <w:tc>
          <w:tcPr>
            <w:shd w:val="clear" w:color="auto" w:fill="F5F7FB"/>
          </w:tcPr>
          <w:p>
            <w:pPr>
              <w:pStyle w:val="Compact"/>
            </w:pPr>
            <w:r>
              <w:rPr>
                <w:sz w:val="17"/>
              </w:rPr>
              <w:t xml:space="preserve">Décision budgétaire en phase 0</w:t>
            </w:r>
          </w:p>
        </w:tc>
        <w:tc>
          <w:tcPr>
            <w:shd w:val="clear" w:color="auto" w:fill="F5F7FB"/>
          </w:tcPr>
          <w:p>
            <w:pPr>
              <w:pStyle w:val="Compact"/>
            </w:pPr>
            <w:r>
              <w:rPr>
                <w:sz w:val="17"/>
              </w:rPr>
              <w:t xml:space="preserve">Finances</w:t>
            </w:r>
          </w:p>
        </w:tc>
      </w:tr>
      <w:tr>
        <w:tc>
          <w:tcPr/>
          <w:p>
            <w:pPr>
              <w:pStyle w:val="Compact"/>
            </w:pPr>
            <w:r>
              <w:rPr>
                <w:sz w:val="17"/>
              </w:rPr>
              <w:t xml:space="preserve">R19</w:t>
            </w:r>
          </w:p>
        </w:tc>
        <w:tc>
          <w:tcPr/>
          <w:p>
            <w:pPr>
              <w:pStyle w:val="Compact"/>
            </w:pPr>
            <w:r>
              <w:rPr>
                <w:sz w:val="17"/>
              </w:rPr>
              <w:t xml:space="preserve">Volatilité du change CDF/USD</w:t>
            </w:r>
          </w:p>
        </w:tc>
        <w:tc>
          <w:tcPr/>
          <w:p>
            <w:pPr>
              <w:pStyle w:val="Compact"/>
            </w:pPr>
            <w:r>
              <w:rPr>
                <w:sz w:val="17"/>
              </w:rPr>
              <w:t xml:space="preserve">3</w:t>
            </w:r>
          </w:p>
        </w:tc>
        <w:tc>
          <w:tcPr/>
          <w:p>
            <w:pPr>
              <w:pStyle w:val="Compact"/>
            </w:pPr>
            <w:r>
              <w:rPr>
                <w:sz w:val="17"/>
              </w:rPr>
              <w:t xml:space="preserve">4</w:t>
            </w:r>
          </w:p>
        </w:tc>
        <w:tc>
          <w:tcPr/>
          <w:p>
            <w:pPr>
              <w:pStyle w:val="Compact"/>
            </w:pPr>
            <w:r>
              <w:rPr>
                <w:sz w:val="17"/>
              </w:rPr>
              <w:t xml:space="preserve">Règles de change certifiées ; scénarios avec taux explicites</w:t>
            </w:r>
          </w:p>
        </w:tc>
        <w:tc>
          <w:tcPr/>
          <w:p>
            <w:pPr>
              <w:pStyle w:val="Compact"/>
            </w:pPr>
            <w:r>
              <w:rPr>
                <w:sz w:val="17"/>
              </w:rPr>
              <w:t xml:space="preserve">Trésor</w:t>
            </w:r>
          </w:p>
        </w:tc>
      </w:tr>
      <w:tr>
        <w:tc>
          <w:tcPr>
            <w:shd w:val="clear" w:color="auto" w:fill="F5F7FB"/>
          </w:tcPr>
          <w:p>
            <w:pPr>
              <w:pStyle w:val="Compact"/>
            </w:pPr>
            <w:r>
              <w:rPr>
                <w:sz w:val="17"/>
              </w:rPr>
              <w:t xml:space="preserve">R20</w:t>
            </w:r>
          </w:p>
        </w:tc>
        <w:tc>
          <w:tcPr>
            <w:shd w:val="clear" w:color="auto" w:fill="F5F7FB"/>
          </w:tcPr>
          <w:p>
            <w:pPr>
              <w:pStyle w:val="Compact"/>
            </w:pPr>
            <w:r>
              <w:rPr>
                <w:sz w:val="17"/>
              </w:rPr>
              <w:t xml:space="preserve">Rotation du personnel formé</w:t>
            </w:r>
          </w:p>
        </w:tc>
        <w:tc>
          <w:tcPr>
            <w:shd w:val="clear" w:color="auto" w:fill="F5F7FB"/>
          </w:tcPr>
          <w:p>
            <w:pPr>
              <w:pStyle w:val="Compact"/>
            </w:pPr>
            <w:r>
              <w:rPr>
                <w:sz w:val="17"/>
              </w:rPr>
              <w:t xml:space="preserve">2</w:t>
            </w:r>
          </w:p>
        </w:tc>
        <w:tc>
          <w:tcPr>
            <w:shd w:val="clear" w:color="auto" w:fill="F5F7FB"/>
          </w:tcPr>
          <w:p>
            <w:pPr>
              <w:pStyle w:val="Compact"/>
            </w:pPr>
            <w:r>
              <w:rPr>
                <w:sz w:val="17"/>
              </w:rPr>
              <w:t xml:space="preserve">3</w:t>
            </w:r>
          </w:p>
        </w:tc>
        <w:tc>
          <w:tcPr>
            <w:shd w:val="clear" w:color="auto" w:fill="F5F7FB"/>
          </w:tcPr>
          <w:p>
            <w:pPr>
              <w:pStyle w:val="Compact"/>
            </w:pPr>
            <w:r>
              <w:rPr>
                <w:sz w:val="17"/>
              </w:rPr>
              <w:t xml:space="preserve">Formation continue, documentation, certification</w:t>
            </w:r>
          </w:p>
        </w:tc>
        <w:tc>
          <w:tcPr>
            <w:shd w:val="clear" w:color="auto" w:fill="F5F7FB"/>
          </w:tcPr>
          <w:p>
            <w:pPr>
              <w:pStyle w:val="Compact"/>
            </w:pPr>
            <w:r>
              <w:rPr>
                <w:sz w:val="17"/>
              </w:rPr>
              <w:t xml:space="preserve">Programme</w:t>
            </w:r>
          </w:p>
        </w:tc>
      </w:tr>
    </w:tbl>
    <w:bookmarkEnd w:id="351"/>
    <w:bookmarkStart w:id="352" w:name="critères-dacceptation"/>
    <w:p>
      <w:pPr>
        <w:pStyle w:val="Heading1"/>
      </w:pPr>
      <w:r>
        <w:t xml:space="preserve">41. Critères d’acceptation</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ID</w:t>
            </w:r>
          </w:p>
        </w:tc>
        <w:tc>
          <w:tcPr>
            <w:shd w:val="clear" w:color="auto" w:fill="232C6B"/>
          </w:tcPr>
          <w:p>
            <w:pPr>
              <w:pStyle w:val="Compact"/>
            </w:pPr>
            <w:r>
              <w:rPr>
                <w:b/>
                <w:color w:val="FFFFFF"/>
                <w:sz w:val="17"/>
              </w:rPr>
              <w:t xml:space="preserve">Critère (Étant donné / Lorsque / Alors)</w:t>
            </w:r>
          </w:p>
        </w:tc>
      </w:tr>
      <w:tr>
        <w:tc>
          <w:tcPr/>
          <w:p>
            <w:pPr>
              <w:pStyle w:val="Compact"/>
            </w:pPr>
            <w:r>
              <w:rPr>
                <w:sz w:val="17"/>
              </w:rPr>
              <w:t xml:space="preserve">AC-LEG-01</w:t>
            </w:r>
          </w:p>
        </w:tc>
        <w:tc>
          <w:tcPr/>
          <w:p>
            <w:pPr>
              <w:pStyle w:val="Compact"/>
            </w:pPr>
            <w:r>
              <w:rPr>
                <w:sz w:val="17"/>
              </w:rPr>
              <w:t xml:space="preserve">Étant donné une règle au statut</w:t>
            </w:r>
            <w:r>
              <w:rPr>
                <w:sz w:val="17"/>
              </w:rPr>
              <w:t xml:space="preserve"> </w:t>
            </w:r>
            <w:r>
              <w:rPr>
                <w:rStyle w:val="VerbatimChar"/>
                <w:sz w:val="17"/>
              </w:rPr>
              <w:t xml:space="preserve">A_VERIFIER</w:t>
            </w:r>
            <w:r>
              <w:rPr>
                <w:sz w:val="17"/>
              </w:rPr>
              <w:t xml:space="preserve">, lorsque le moteur est sollicité pour liquider, alors aucune obligation n’est créée et la tentative est journalisée</w:t>
            </w:r>
          </w:p>
        </w:tc>
      </w:tr>
      <w:tr>
        <w:tc>
          <w:tcPr>
            <w:shd w:val="clear" w:color="auto" w:fill="F5F7FB"/>
          </w:tcPr>
          <w:p>
            <w:pPr>
              <w:pStyle w:val="Compact"/>
            </w:pPr>
            <w:r>
              <w:rPr>
                <w:sz w:val="17"/>
              </w:rPr>
              <w:t xml:space="preserve">AC-LEG-02</w:t>
            </w:r>
          </w:p>
        </w:tc>
        <w:tc>
          <w:tcPr>
            <w:shd w:val="clear" w:color="auto" w:fill="F5F7FB"/>
          </w:tcPr>
          <w:p>
            <w:pPr>
              <w:pStyle w:val="Compact"/>
            </w:pPr>
            <w:r>
              <w:rPr>
                <w:sz w:val="17"/>
              </w:rPr>
              <w:t xml:space="preserve">Étant donné une règle, lorsqu’une même personne tente de la rédiger et de la publier, alors la publication est refusée</w:t>
            </w:r>
          </w:p>
        </w:tc>
      </w:tr>
      <w:tr>
        <w:tc>
          <w:tcPr/>
          <w:p>
            <w:pPr>
              <w:pStyle w:val="Compact"/>
            </w:pPr>
            <w:r>
              <w:rPr>
                <w:sz w:val="17"/>
              </w:rPr>
              <w:t xml:space="preserve">AC-LEG-03</w:t>
            </w:r>
          </w:p>
        </w:tc>
        <w:tc>
          <w:tcPr/>
          <w:p>
            <w:pPr>
              <w:pStyle w:val="Compact"/>
            </w:pPr>
            <w:r>
              <w:rPr>
                <w:sz w:val="17"/>
              </w:rPr>
              <w:t xml:space="preserve">Étant donné un instrument abrogé, lorsqu’une règle le référence avec une date d’effet postérieure, alors la publication est bloquée</w:t>
            </w:r>
          </w:p>
        </w:tc>
      </w:tr>
      <w:tr>
        <w:tc>
          <w:tcPr>
            <w:shd w:val="clear" w:color="auto" w:fill="F5F7FB"/>
          </w:tcPr>
          <w:p>
            <w:pPr>
              <w:pStyle w:val="Compact"/>
            </w:pPr>
            <w:r>
              <w:rPr>
                <w:sz w:val="17"/>
              </w:rPr>
              <w:t xml:space="preserve">AC-LEG-04</w:t>
            </w:r>
          </w:p>
        </w:tc>
        <w:tc>
          <w:tcPr>
            <w:shd w:val="clear" w:color="auto" w:fill="F5F7FB"/>
          </w:tcPr>
          <w:p>
            <w:pPr>
              <w:pStyle w:val="Compact"/>
            </w:pPr>
            <w:r>
              <w:rPr>
                <w:sz w:val="17"/>
              </w:rPr>
              <w:t xml:space="preserve">Étant donné deux entités revendiquant le même fait générateur, lorsque la seconde crée l’obligation, alors elle est bloquée et un arbitrage est ouvert</w:t>
            </w:r>
          </w:p>
        </w:tc>
      </w:tr>
      <w:tr>
        <w:tc>
          <w:tcPr/>
          <w:p>
            <w:pPr>
              <w:pStyle w:val="Compact"/>
            </w:pPr>
            <w:r>
              <w:rPr>
                <w:sz w:val="17"/>
              </w:rPr>
              <w:t xml:space="preserve">AC-ASS-01</w:t>
            </w:r>
          </w:p>
        </w:tc>
        <w:tc>
          <w:tcPr/>
          <w:p>
            <w:pPr>
              <w:pStyle w:val="Compact"/>
            </w:pPr>
            <w:r>
              <w:rPr>
                <w:sz w:val="17"/>
              </w:rPr>
              <w:t xml:space="preserve">Étant donné une obligation, lorsque le contribuable ouvre le détail, alors il voit règle, version, base légale, assiette, formule, montant, échéance et voie de recours</w:t>
            </w:r>
          </w:p>
        </w:tc>
      </w:tr>
      <w:tr>
        <w:tc>
          <w:tcPr>
            <w:shd w:val="clear" w:color="auto" w:fill="F5F7FB"/>
          </w:tcPr>
          <w:p>
            <w:pPr>
              <w:pStyle w:val="Compact"/>
            </w:pPr>
            <w:r>
              <w:rPr>
                <w:sz w:val="17"/>
              </w:rPr>
              <w:t xml:space="preserve">AC-ASS-02</w:t>
            </w:r>
          </w:p>
        </w:tc>
        <w:tc>
          <w:tcPr>
            <w:shd w:val="clear" w:color="auto" w:fill="F5F7FB"/>
          </w:tcPr>
          <w:p>
            <w:pPr>
              <w:pStyle w:val="Compact"/>
            </w:pPr>
            <w:r>
              <w:rPr>
                <w:sz w:val="17"/>
              </w:rPr>
              <w:t xml:space="preserve">Étant donné un changement de règle, lorsque le recalcul est approuvé, alors des obligations rectificatives sont créées et les anciennes conservées</w:t>
            </w:r>
          </w:p>
        </w:tc>
      </w:tr>
      <w:tr>
        <w:tc>
          <w:tcPr/>
          <w:p>
            <w:pPr>
              <w:pStyle w:val="Compact"/>
            </w:pPr>
            <w:r>
              <w:rPr>
                <w:sz w:val="17"/>
              </w:rPr>
              <w:t xml:space="preserve">AC-PAY-01</w:t>
            </w:r>
          </w:p>
        </w:tc>
        <w:tc>
          <w:tcPr/>
          <w:p>
            <w:pPr>
              <w:pStyle w:val="Compact"/>
            </w:pPr>
            <w:r>
              <w:rPr>
                <w:sz w:val="17"/>
              </w:rPr>
              <w:t xml:space="preserve">Étant donné une même clé d’idempotence rejouée, alors une seule référence existe</w:t>
            </w:r>
          </w:p>
        </w:tc>
      </w:tr>
      <w:tr>
        <w:tc>
          <w:tcPr>
            <w:shd w:val="clear" w:color="auto" w:fill="F5F7FB"/>
          </w:tcPr>
          <w:p>
            <w:pPr>
              <w:pStyle w:val="Compact"/>
            </w:pPr>
            <w:r>
              <w:rPr>
                <w:sz w:val="17"/>
              </w:rPr>
              <w:t xml:space="preserve">AC-PAY-02</w:t>
            </w:r>
          </w:p>
        </w:tc>
        <w:tc>
          <w:tcPr>
            <w:shd w:val="clear" w:color="auto" w:fill="F5F7FB"/>
          </w:tcPr>
          <w:p>
            <w:pPr>
              <w:pStyle w:val="Compact"/>
            </w:pPr>
            <w:r>
              <w:rPr>
                <w:sz w:val="17"/>
              </w:rPr>
              <w:t xml:space="preserve">Étant donné un rappel prestataire à signature invalide ou nonce déjà vu, alors il est rejeté et une alerte est émise</w:t>
            </w:r>
          </w:p>
        </w:tc>
      </w:tr>
      <w:tr>
        <w:tc>
          <w:tcPr/>
          <w:p>
            <w:pPr>
              <w:pStyle w:val="Compact"/>
            </w:pPr>
            <w:r>
              <w:rPr>
                <w:sz w:val="17"/>
              </w:rPr>
              <w:t xml:space="preserve">AC-PAY-03</w:t>
            </w:r>
          </w:p>
        </w:tc>
        <w:tc>
          <w:tcPr/>
          <w:p>
            <w:pPr>
              <w:pStyle w:val="Compact"/>
            </w:pPr>
            <w:r>
              <w:rPr>
                <w:sz w:val="17"/>
              </w:rPr>
              <w:t xml:space="preserve">Étant donné une capture d’écran de paiement, alors aucune fonction ne permet d’émettre une quittance à partir d’elle</w:t>
            </w:r>
          </w:p>
        </w:tc>
      </w:tr>
      <w:tr>
        <w:tc>
          <w:tcPr>
            <w:shd w:val="clear" w:color="auto" w:fill="F5F7FB"/>
          </w:tcPr>
          <w:p>
            <w:pPr>
              <w:pStyle w:val="Compact"/>
            </w:pPr>
            <w:r>
              <w:rPr>
                <w:sz w:val="17"/>
              </w:rPr>
              <w:t xml:space="preserve">AC-PAY-04</w:t>
            </w:r>
          </w:p>
        </w:tc>
        <w:tc>
          <w:tcPr>
            <w:shd w:val="clear" w:color="auto" w:fill="F5F7FB"/>
          </w:tcPr>
          <w:p>
            <w:pPr>
              <w:pStyle w:val="Compact"/>
            </w:pPr>
            <w:r>
              <w:rPr>
                <w:sz w:val="17"/>
              </w:rPr>
              <w:t xml:space="preserve">Étant donné un paiement confirmé, alors une quittance provisoire est émise en moins de 60 secondes ; elle devient définitive au rapprochement</w:t>
            </w:r>
          </w:p>
        </w:tc>
      </w:tr>
      <w:tr>
        <w:tc>
          <w:tcPr/>
          <w:p>
            <w:pPr>
              <w:pStyle w:val="Compact"/>
            </w:pPr>
            <w:r>
              <w:rPr>
                <w:sz w:val="17"/>
              </w:rPr>
              <w:t xml:space="preserve">AC-BEN-01</w:t>
            </w:r>
          </w:p>
        </w:tc>
        <w:tc>
          <w:tcPr/>
          <w:p>
            <w:pPr>
              <w:pStyle w:val="Compact"/>
            </w:pPr>
            <w:r>
              <w:rPr>
                <w:sz w:val="17"/>
              </w:rPr>
              <w:t xml:space="preserve">Étant donné une demande de changement de compte bénéficiaire, alors elle ne prend effet qu’après deux approbations distinctes, vérification hors bande et 72 heures</w:t>
            </w:r>
          </w:p>
        </w:tc>
      </w:tr>
      <w:tr>
        <w:tc>
          <w:tcPr>
            <w:shd w:val="clear" w:color="auto" w:fill="F5F7FB"/>
          </w:tcPr>
          <w:p>
            <w:pPr>
              <w:pStyle w:val="Compact"/>
            </w:pPr>
            <w:r>
              <w:rPr>
                <w:sz w:val="17"/>
              </w:rPr>
              <w:t xml:space="preserve">AC-LED-01</w:t>
            </w:r>
          </w:p>
        </w:tc>
        <w:tc>
          <w:tcPr>
            <w:shd w:val="clear" w:color="auto" w:fill="F5F7FB"/>
          </w:tcPr>
          <w:p>
            <w:pPr>
              <w:pStyle w:val="Compact"/>
            </w:pPr>
            <w:r>
              <w:rPr>
                <w:sz w:val="17"/>
              </w:rPr>
              <w:t xml:space="preserve">Étant donné toute correction financière, alors elle est une contre-écriture liée à l’original ; aucune suppression n’est possible</w:t>
            </w:r>
          </w:p>
        </w:tc>
      </w:tr>
      <w:tr>
        <w:tc>
          <w:tcPr/>
          <w:p>
            <w:pPr>
              <w:pStyle w:val="Compact"/>
            </w:pPr>
            <w:r>
              <w:rPr>
                <w:sz w:val="17"/>
              </w:rPr>
              <w:t xml:space="preserve">AC-AUD-01</w:t>
            </w:r>
          </w:p>
        </w:tc>
        <w:tc>
          <w:tcPr/>
          <w:p>
            <w:pPr>
              <w:pStyle w:val="Compact"/>
            </w:pPr>
            <w:r>
              <w:rPr>
                <w:sz w:val="17"/>
              </w:rPr>
              <w:t xml:space="preserve">Étant donné la chaîne d’audit, lorsqu’un enregistrement est altéré en base, alors le contrôle d’intégrité détecte la rupture en moins d’une heure</w:t>
            </w:r>
          </w:p>
        </w:tc>
      </w:tr>
      <w:tr>
        <w:tc>
          <w:tcPr>
            <w:shd w:val="clear" w:color="auto" w:fill="F5F7FB"/>
          </w:tcPr>
          <w:p>
            <w:pPr>
              <w:pStyle w:val="Compact"/>
            </w:pPr>
            <w:r>
              <w:rPr>
                <w:sz w:val="17"/>
              </w:rPr>
              <w:t xml:space="preserve">AC-ACC-01</w:t>
            </w:r>
          </w:p>
        </w:tc>
        <w:tc>
          <w:tcPr>
            <w:shd w:val="clear" w:color="auto" w:fill="F5F7FB"/>
          </w:tcPr>
          <w:p>
            <w:pPr>
              <w:pStyle w:val="Compact"/>
            </w:pPr>
            <w:r>
              <w:rPr>
                <w:sz w:val="17"/>
              </w:rPr>
              <w:t xml:space="preserve">Étant donné un super-administrateur, alors il ne peut ni lire les montants nominatifs, ni modifier une obligation, un paiement, un bénéficiaire ou un événement d’audit</w:t>
            </w:r>
          </w:p>
        </w:tc>
      </w:tr>
      <w:tr>
        <w:tc>
          <w:tcPr/>
          <w:p>
            <w:pPr>
              <w:pStyle w:val="Compact"/>
            </w:pPr>
            <w:r>
              <w:rPr>
                <w:sz w:val="17"/>
              </w:rPr>
              <w:t xml:space="preserve">AC-ACC-02</w:t>
            </w:r>
          </w:p>
        </w:tc>
        <w:tc>
          <w:tcPr/>
          <w:p>
            <w:pPr>
              <w:pStyle w:val="Compact"/>
            </w:pPr>
            <w:r>
              <w:rPr>
                <w:sz w:val="17"/>
              </w:rPr>
              <w:t xml:space="preserve">Étant donné le Gouverneur, alors il voit les agrégats et ne peut modifier aucune donnée financière</w:t>
            </w:r>
          </w:p>
        </w:tc>
      </w:tr>
      <w:tr>
        <w:tc>
          <w:tcPr>
            <w:shd w:val="clear" w:color="auto" w:fill="F5F7FB"/>
          </w:tcPr>
          <w:p>
            <w:pPr>
              <w:pStyle w:val="Compact"/>
            </w:pPr>
            <w:r>
              <w:rPr>
                <w:sz w:val="17"/>
              </w:rPr>
              <w:t xml:space="preserve">AC-FLD-01</w:t>
            </w:r>
          </w:p>
        </w:tc>
        <w:tc>
          <w:tcPr>
            <w:shd w:val="clear" w:color="auto" w:fill="F5F7FB"/>
          </w:tcPr>
          <w:p>
            <w:pPr>
              <w:pStyle w:val="Compact"/>
            </w:pPr>
            <w:r>
              <w:rPr>
                <w:sz w:val="17"/>
              </w:rPr>
              <w:t xml:space="preserve">Étant donné une mission téléchargée, lorsque l’agent capture GPS, photo et formulaire hors ligne, alors la preuve est chiffrée, horodatée, synchronisée, et aucune dette n’est créée sans validation</w:t>
            </w:r>
          </w:p>
        </w:tc>
      </w:tr>
      <w:tr>
        <w:tc>
          <w:tcPr/>
          <w:p>
            <w:pPr>
              <w:pStyle w:val="Compact"/>
            </w:pPr>
            <w:r>
              <w:rPr>
                <w:sz w:val="17"/>
              </w:rPr>
              <w:t xml:space="preserve">AC-FLD-02</w:t>
            </w:r>
          </w:p>
        </w:tc>
        <w:tc>
          <w:tcPr/>
          <w:p>
            <w:pPr>
              <w:pStyle w:val="Compact"/>
            </w:pPr>
            <w:r>
              <w:rPr>
                <w:sz w:val="17"/>
              </w:rPr>
              <w:t xml:space="preserve">Étant donné un terminal déclaré perdu, alors il est révoqué et ses données locales sont inaccessibles</w:t>
            </w:r>
          </w:p>
        </w:tc>
      </w:tr>
      <w:tr>
        <w:tc>
          <w:tcPr>
            <w:shd w:val="clear" w:color="auto" w:fill="F5F7FB"/>
          </w:tcPr>
          <w:p>
            <w:pPr>
              <w:pStyle w:val="Compact"/>
            </w:pPr>
            <w:r>
              <w:rPr>
                <w:sz w:val="17"/>
              </w:rPr>
              <w:t xml:space="preserve">AC-RCP-01</w:t>
            </w:r>
          </w:p>
        </w:tc>
        <w:tc>
          <w:tcPr>
            <w:shd w:val="clear" w:color="auto" w:fill="F5F7FB"/>
          </w:tcPr>
          <w:p>
            <w:pPr>
              <w:pStyle w:val="Compact"/>
            </w:pPr>
            <w:r>
              <w:rPr>
                <w:sz w:val="17"/>
              </w:rPr>
              <w:t xml:space="preserve">Étant donné un QR de quittance, lorsqu’il est scanné publiquement, alors seules les données minimales sont affichées</w:t>
            </w:r>
          </w:p>
        </w:tc>
      </w:tr>
      <w:tr>
        <w:tc>
          <w:tcPr/>
          <w:p>
            <w:pPr>
              <w:pStyle w:val="Compact"/>
            </w:pPr>
            <w:r>
              <w:rPr>
                <w:sz w:val="17"/>
              </w:rPr>
              <w:t xml:space="preserve">AC-COM-01</w:t>
            </w:r>
          </w:p>
        </w:tc>
        <w:tc>
          <w:tcPr/>
          <w:p>
            <w:pPr>
              <w:pStyle w:val="Compact"/>
            </w:pPr>
            <w:r>
              <w:rPr>
                <w:sz w:val="17"/>
              </w:rPr>
              <w:t xml:space="preserve">Étant donné un avis obligatoire, lorsque le destinataire s’est désinscrit des communications facultatives, alors l’avis est tout de même délivré et sa preuve conservée</w:t>
            </w:r>
          </w:p>
        </w:tc>
      </w:tr>
      <w:tr>
        <w:tc>
          <w:tcPr>
            <w:shd w:val="clear" w:color="auto" w:fill="F5F7FB"/>
          </w:tcPr>
          <w:p>
            <w:pPr>
              <w:pStyle w:val="Compact"/>
            </w:pPr>
            <w:r>
              <w:rPr>
                <w:sz w:val="17"/>
              </w:rPr>
              <w:t xml:space="preserve">AC-COM-02</w:t>
            </w:r>
          </w:p>
        </w:tc>
        <w:tc>
          <w:tcPr>
            <w:shd w:val="clear" w:color="auto" w:fill="F5F7FB"/>
          </w:tcPr>
          <w:p>
            <w:pPr>
              <w:pStyle w:val="Compact"/>
            </w:pPr>
            <w:r>
              <w:rPr>
                <w:sz w:val="17"/>
              </w:rPr>
              <w:t xml:space="preserve">Étant donné un fournisseur non configuré, lorsqu’un envoi de test est déclenché, alors il est enregistré en mode bac à sable avec le statut « journalisé »</w:t>
            </w:r>
          </w:p>
        </w:tc>
      </w:tr>
      <w:tr>
        <w:tc>
          <w:tcPr/>
          <w:p>
            <w:pPr>
              <w:pStyle w:val="Compact"/>
            </w:pPr>
            <w:r>
              <w:rPr>
                <w:sz w:val="17"/>
              </w:rPr>
              <w:t xml:space="preserve">AC-CUR-01</w:t>
            </w:r>
          </w:p>
        </w:tc>
        <w:tc>
          <w:tcPr/>
          <w:p>
            <w:pPr>
              <w:pStyle w:val="Compact"/>
            </w:pPr>
            <w:r>
              <w:rPr>
                <w:sz w:val="17"/>
              </w:rPr>
              <w:t xml:space="preserve">Étant donné une obligation en USD payée en EUR, alors la quittance affiche les trois devises avec leurs drapeaux, le taux et sa source</w:t>
            </w:r>
          </w:p>
        </w:tc>
      </w:tr>
      <w:tr>
        <w:tc>
          <w:tcPr>
            <w:shd w:val="clear" w:color="auto" w:fill="F5F7FB"/>
          </w:tcPr>
          <w:p>
            <w:pPr>
              <w:pStyle w:val="Compact"/>
            </w:pPr>
            <w:r>
              <w:rPr>
                <w:sz w:val="17"/>
              </w:rPr>
              <w:t xml:space="preserve">AC-AI-01</w:t>
            </w:r>
          </w:p>
        </w:tc>
        <w:tc>
          <w:tcPr>
            <w:shd w:val="clear" w:color="auto" w:fill="F5F7FB"/>
          </w:tcPr>
          <w:p>
            <w:pPr>
              <w:pStyle w:val="Compact"/>
            </w:pPr>
            <w:r>
              <w:rPr>
                <w:sz w:val="17"/>
              </w:rPr>
              <w:t xml:space="preserve">Étant donné une recommandation d’IA, alors elle n’a aucun effet tant qu’un utilisateur habilité ne l’a pas acceptée, et la décision est journalisée</w:t>
            </w:r>
          </w:p>
        </w:tc>
      </w:tr>
      <w:tr>
        <w:tc>
          <w:tcPr/>
          <w:p>
            <w:pPr>
              <w:pStyle w:val="Compact"/>
            </w:pPr>
            <w:r>
              <w:rPr>
                <w:sz w:val="17"/>
              </w:rPr>
              <w:t xml:space="preserve">AC-SAV-01</w:t>
            </w:r>
          </w:p>
        </w:tc>
        <w:tc>
          <w:tcPr/>
          <w:p>
            <w:pPr>
              <w:pStyle w:val="Compact"/>
            </w:pPr>
            <w:r>
              <w:rPr>
                <w:sz w:val="17"/>
              </w:rPr>
              <w:t xml:space="preserve">Étant donné un formulaire en cours de saisie, lorsque la connexion est coupée, alors le brouillon est conservé et restauré, avec son historique de versions</w:t>
            </w:r>
          </w:p>
        </w:tc>
      </w:tr>
      <w:tr>
        <w:tc>
          <w:tcPr>
            <w:shd w:val="clear" w:color="auto" w:fill="F5F7FB"/>
          </w:tcPr>
          <w:p>
            <w:pPr>
              <w:pStyle w:val="Compact"/>
            </w:pPr>
            <w:r>
              <w:rPr>
                <w:sz w:val="17"/>
              </w:rPr>
              <w:t xml:space="preserve">AC-DR-01</w:t>
            </w:r>
          </w:p>
        </w:tc>
        <w:tc>
          <w:tcPr>
            <w:shd w:val="clear" w:color="auto" w:fill="F5F7FB"/>
          </w:tcPr>
          <w:p>
            <w:pPr>
              <w:pStyle w:val="Compact"/>
            </w:pPr>
            <w:r>
              <w:rPr>
                <w:sz w:val="17"/>
              </w:rPr>
              <w:t xml:space="preserve">Étant donné une panne du site principal, alors le service reprend sur le site secondaire dans le RTO, sans perte de paiement</w:t>
            </w:r>
          </w:p>
        </w:tc>
      </w:tr>
      <w:tr>
        <w:tc>
          <w:tcPr/>
          <w:p>
            <w:pPr>
              <w:pStyle w:val="Compact"/>
            </w:pPr>
            <w:r>
              <w:rPr>
                <w:sz w:val="17"/>
              </w:rPr>
              <w:t xml:space="preserve">AC-REV-01</w:t>
            </w:r>
          </w:p>
        </w:tc>
        <w:tc>
          <w:tcPr/>
          <w:p>
            <w:pPr>
              <w:pStyle w:val="Compact"/>
            </w:pPr>
            <w:r>
              <w:rPr>
                <w:sz w:val="17"/>
              </w:rPr>
              <w:t xml:space="preserve">Étant donné l’exercice de réversibilité, alors un tiers restaure la plateforme à partir du code déposé et des exports, sans le prestataire</w:t>
            </w:r>
          </w:p>
        </w:tc>
      </w:tr>
    </w:tbl>
    <w:bookmarkEnd w:id="352"/>
    <w:bookmarkStart w:id="355" w:name="carnet-de-développement"/>
    <w:p>
      <w:pPr>
        <w:pStyle w:val="Heading1"/>
      </w:pPr>
      <w:r>
        <w:t xml:space="preserve">42. Carnet de développement</w:t>
      </w:r>
    </w:p>
    <w:bookmarkStart w:id="353" w:name="épopées"/>
    <w:p>
      <w:pPr>
        <w:pStyle w:val="Heading2"/>
      </w:pPr>
      <w:r>
        <w:t xml:space="preserve">42.1 Épopées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Épopée</w:t>
            </w:r>
          </w:p>
        </w:tc>
        <w:tc>
          <w:tcPr>
            <w:shd w:val="clear" w:color="auto" w:fill="232C6B"/>
          </w:tcPr>
          <w:p>
            <w:pPr>
              <w:pStyle w:val="Compact"/>
            </w:pPr>
            <w:r>
              <w:rPr>
                <w:b/>
                <w:color w:val="FFFFFF"/>
                <w:sz w:val="17"/>
              </w:rPr>
              <w:t xml:space="preserve">Contenu</w:t>
            </w:r>
          </w:p>
        </w:tc>
        <w:tc>
          <w:tcPr>
            <w:shd w:val="clear" w:color="auto" w:fill="232C6B"/>
          </w:tcPr>
          <w:p>
            <w:pPr>
              <w:pStyle w:val="Compact"/>
            </w:pPr>
            <w:r>
              <w:rPr>
                <w:b/>
                <w:color w:val="FFFFFF"/>
                <w:sz w:val="17"/>
              </w:rPr>
              <w:t xml:space="preserve">Release</w:t>
            </w:r>
          </w:p>
        </w:tc>
      </w:tr>
      <w:tr>
        <w:tc>
          <w:tcPr/>
          <w:p>
            <w:pPr>
              <w:pStyle w:val="Compact"/>
            </w:pPr>
            <w:r>
              <w:rPr>
                <w:sz w:val="17"/>
              </w:rPr>
              <w:t xml:space="preserve">E01 Identité et compte</w:t>
            </w:r>
          </w:p>
        </w:tc>
        <w:tc>
          <w:tcPr/>
          <w:p>
            <w:pPr>
              <w:pStyle w:val="Compact"/>
            </w:pPr>
            <w:r>
              <w:rPr>
                <w:sz w:val="17"/>
              </w:rPr>
              <w:t xml:space="preserve">Inscription, OTP, niveaux, anti-doublon, mandats, récupération</w:t>
            </w:r>
          </w:p>
        </w:tc>
        <w:tc>
          <w:tcPr/>
          <w:p>
            <w:pPr>
              <w:pStyle w:val="Compact"/>
            </w:pPr>
            <w:r>
              <w:rPr>
                <w:sz w:val="17"/>
              </w:rPr>
              <w:t xml:space="preserve">R0/R1</w:t>
            </w:r>
          </w:p>
        </w:tc>
      </w:tr>
      <w:tr>
        <w:tc>
          <w:tcPr>
            <w:shd w:val="clear" w:color="auto" w:fill="F5F7FB"/>
          </w:tcPr>
          <w:p>
            <w:pPr>
              <w:pStyle w:val="Compact"/>
            </w:pPr>
            <w:r>
              <w:rPr>
                <w:sz w:val="17"/>
              </w:rPr>
              <w:t xml:space="preserve">E02 Référentiel territorial et SIG</w:t>
            </w:r>
          </w:p>
        </w:tc>
        <w:tc>
          <w:tcPr>
            <w:shd w:val="clear" w:color="auto" w:fill="F5F7FB"/>
          </w:tcPr>
          <w:p>
            <w:pPr>
              <w:pStyle w:val="Compact"/>
            </w:pPr>
            <w:r>
              <w:rPr>
                <w:sz w:val="17"/>
              </w:rPr>
              <w:t xml:space="preserve">Communes, quartiers, rues, parcelles, cartes, tuiles</w:t>
            </w:r>
          </w:p>
        </w:tc>
        <w:tc>
          <w:tcPr>
            <w:shd w:val="clear" w:color="auto" w:fill="F5F7FB"/>
          </w:tcPr>
          <w:p>
            <w:pPr>
              <w:pStyle w:val="Compact"/>
            </w:pPr>
            <w:r>
              <w:rPr>
                <w:sz w:val="17"/>
              </w:rPr>
              <w:t xml:space="preserve">R0</w:t>
            </w:r>
          </w:p>
        </w:tc>
      </w:tr>
      <w:tr>
        <w:tc>
          <w:tcPr/>
          <w:p>
            <w:pPr>
              <w:pStyle w:val="Compact"/>
            </w:pPr>
            <w:r>
              <w:rPr>
                <w:sz w:val="17"/>
              </w:rPr>
              <w:t xml:space="preserve">E03 Recensement terrain hors ligne</w:t>
            </w:r>
          </w:p>
        </w:tc>
        <w:tc>
          <w:tcPr/>
          <w:p>
            <w:pPr>
              <w:pStyle w:val="Compact"/>
            </w:pPr>
            <w:r>
              <w:rPr>
                <w:sz w:val="17"/>
              </w:rPr>
              <w:t xml:space="preserve">Missions, formulaires, GPS, photos, QR, synchronisation, MDM</w:t>
            </w:r>
          </w:p>
        </w:tc>
        <w:tc>
          <w:tcPr/>
          <w:p>
            <w:pPr>
              <w:pStyle w:val="Compact"/>
            </w:pPr>
            <w:r>
              <w:rPr>
                <w:sz w:val="17"/>
              </w:rPr>
              <w:t xml:space="preserve">R0</w:t>
            </w:r>
          </w:p>
        </w:tc>
      </w:tr>
      <w:tr>
        <w:tc>
          <w:tcPr>
            <w:shd w:val="clear" w:color="auto" w:fill="F5F7FB"/>
          </w:tcPr>
          <w:p>
            <w:pPr>
              <w:pStyle w:val="Compact"/>
            </w:pPr>
            <w:r>
              <w:rPr>
                <w:sz w:val="17"/>
              </w:rPr>
              <w:t xml:space="preserve">E04 Registre juridique</w:t>
            </w:r>
          </w:p>
        </w:tc>
        <w:tc>
          <w:tcPr>
            <w:shd w:val="clear" w:color="auto" w:fill="F5F7FB"/>
          </w:tcPr>
          <w:p>
            <w:pPr>
              <w:pStyle w:val="Compact"/>
            </w:pPr>
            <w:r>
              <w:rPr>
                <w:sz w:val="17"/>
              </w:rPr>
              <w:t xml:space="preserve">Instruments, fiches, cycle de vie, tests juridiques</w:t>
            </w:r>
          </w:p>
        </w:tc>
        <w:tc>
          <w:tcPr>
            <w:shd w:val="clear" w:color="auto" w:fill="F5F7FB"/>
          </w:tcPr>
          <w:p>
            <w:pPr>
              <w:pStyle w:val="Compact"/>
            </w:pPr>
            <w:r>
              <w:rPr>
                <w:sz w:val="17"/>
              </w:rPr>
              <w:t xml:space="preserve">R1</w:t>
            </w:r>
          </w:p>
        </w:tc>
      </w:tr>
      <w:tr>
        <w:tc>
          <w:tcPr/>
          <w:p>
            <w:pPr>
              <w:pStyle w:val="Compact"/>
            </w:pPr>
            <w:r>
              <w:rPr>
                <w:sz w:val="17"/>
              </w:rPr>
              <w:t xml:space="preserve">E05 Liquidation</w:t>
            </w:r>
          </w:p>
        </w:tc>
        <w:tc>
          <w:tcPr/>
          <w:p>
            <w:pPr>
              <w:pStyle w:val="Compact"/>
            </w:pPr>
            <w:r>
              <w:rPr>
                <w:sz w:val="17"/>
              </w:rPr>
              <w:t xml:space="preserve">Moteur de règles, explication, rectification</w:t>
            </w:r>
          </w:p>
        </w:tc>
        <w:tc>
          <w:tcPr/>
          <w:p>
            <w:pPr>
              <w:pStyle w:val="Compact"/>
            </w:pPr>
            <w:r>
              <w:rPr>
                <w:sz w:val="17"/>
              </w:rPr>
              <w:t xml:space="preserve">R1</w:t>
            </w:r>
          </w:p>
        </w:tc>
      </w:tr>
      <w:tr>
        <w:tc>
          <w:tcPr>
            <w:shd w:val="clear" w:color="auto" w:fill="F5F7FB"/>
          </w:tcPr>
          <w:p>
            <w:pPr>
              <w:pStyle w:val="Compact"/>
            </w:pPr>
            <w:r>
              <w:rPr>
                <w:sz w:val="17"/>
              </w:rPr>
              <w:t xml:space="preserve">E06 Paiements</w:t>
            </w:r>
          </w:p>
        </w:tc>
        <w:tc>
          <w:tcPr>
            <w:shd w:val="clear" w:color="auto" w:fill="F5F7FB"/>
          </w:tcPr>
          <w:p>
            <w:pPr>
              <w:pStyle w:val="Compact"/>
            </w:pPr>
            <w:r>
              <w:rPr>
                <w:sz w:val="17"/>
              </w:rPr>
              <w:t xml:space="preserve">Références, canaux, rappels, idempotence</w:t>
            </w:r>
          </w:p>
        </w:tc>
        <w:tc>
          <w:tcPr>
            <w:shd w:val="clear" w:color="auto" w:fill="F5F7FB"/>
          </w:tcPr>
          <w:p>
            <w:pPr>
              <w:pStyle w:val="Compact"/>
            </w:pPr>
            <w:r>
              <w:rPr>
                <w:sz w:val="17"/>
              </w:rPr>
              <w:t xml:space="preserve">R1</w:t>
            </w:r>
          </w:p>
        </w:tc>
      </w:tr>
      <w:tr>
        <w:tc>
          <w:tcPr/>
          <w:p>
            <w:pPr>
              <w:pStyle w:val="Compact"/>
            </w:pPr>
            <w:r>
              <w:rPr>
                <w:sz w:val="17"/>
              </w:rPr>
              <w:t xml:space="preserve">E07 Trésor et grand livre</w:t>
            </w:r>
          </w:p>
        </w:tc>
        <w:tc>
          <w:tcPr/>
          <w:p>
            <w:pPr>
              <w:pStyle w:val="Compact"/>
            </w:pPr>
            <w:r>
              <w:rPr>
                <w:sz w:val="17"/>
              </w:rPr>
              <w:t xml:space="preserve">Relevés, rapprochement, écritures, clôtures</w:t>
            </w:r>
          </w:p>
        </w:tc>
        <w:tc>
          <w:tcPr/>
          <w:p>
            <w:pPr>
              <w:pStyle w:val="Compact"/>
            </w:pPr>
            <w:r>
              <w:rPr>
                <w:sz w:val="17"/>
              </w:rPr>
              <w:t xml:space="preserve">R1</w:t>
            </w:r>
          </w:p>
        </w:tc>
      </w:tr>
      <w:tr>
        <w:tc>
          <w:tcPr>
            <w:shd w:val="clear" w:color="auto" w:fill="F5F7FB"/>
          </w:tcPr>
          <w:p>
            <w:pPr>
              <w:pStyle w:val="Compact"/>
            </w:pPr>
            <w:r>
              <w:rPr>
                <w:sz w:val="17"/>
              </w:rPr>
              <w:t xml:space="preserve">E08 Quittances et quitus</w:t>
            </w:r>
          </w:p>
        </w:tc>
        <w:tc>
          <w:tcPr>
            <w:shd w:val="clear" w:color="auto" w:fill="F5F7FB"/>
          </w:tcPr>
          <w:p>
            <w:pPr>
              <w:pStyle w:val="Compact"/>
            </w:pPr>
            <w:r>
              <w:rPr>
                <w:sz w:val="17"/>
              </w:rPr>
              <w:t xml:space="preserve">Émission, signature, vérification, quitus</w:t>
            </w:r>
          </w:p>
        </w:tc>
        <w:tc>
          <w:tcPr>
            <w:shd w:val="clear" w:color="auto" w:fill="F5F7FB"/>
          </w:tcPr>
          <w:p>
            <w:pPr>
              <w:pStyle w:val="Compact"/>
            </w:pPr>
            <w:r>
              <w:rPr>
                <w:sz w:val="17"/>
              </w:rPr>
              <w:t xml:space="preserve">R1</w:t>
            </w:r>
          </w:p>
        </w:tc>
      </w:tr>
      <w:tr>
        <w:tc>
          <w:tcPr/>
          <w:p>
            <w:pPr>
              <w:pStyle w:val="Compact"/>
            </w:pPr>
            <w:r>
              <w:rPr>
                <w:sz w:val="17"/>
              </w:rPr>
              <w:t xml:space="preserve">E09 Communications</w:t>
            </w:r>
          </w:p>
        </w:tc>
        <w:tc>
          <w:tcPr/>
          <w:p>
            <w:pPr>
              <w:pStyle w:val="Compact"/>
            </w:pPr>
            <w:r>
              <w:rPr>
                <w:sz w:val="17"/>
              </w:rPr>
              <w:t xml:space="preserve">Moteur d’événements, modèles, canaux, journal (§ 11.4)</w:t>
            </w:r>
          </w:p>
        </w:tc>
        <w:tc>
          <w:tcPr/>
          <w:p>
            <w:pPr>
              <w:pStyle w:val="Compact"/>
            </w:pPr>
            <w:r>
              <w:rPr>
                <w:sz w:val="17"/>
              </w:rPr>
              <w:t xml:space="preserve">R1</w:t>
            </w:r>
          </w:p>
        </w:tc>
      </w:tr>
      <w:tr>
        <w:tc>
          <w:tcPr>
            <w:shd w:val="clear" w:color="auto" w:fill="F5F7FB"/>
          </w:tcPr>
          <w:p>
            <w:pPr>
              <w:pStyle w:val="Compact"/>
            </w:pPr>
            <w:r>
              <w:rPr>
                <w:sz w:val="17"/>
              </w:rPr>
              <w:t xml:space="preserve">E10 Tableaux de bord</w:t>
            </w:r>
          </w:p>
        </w:tc>
        <w:tc>
          <w:tcPr>
            <w:shd w:val="clear" w:color="auto" w:fill="F5F7FB"/>
          </w:tcPr>
          <w:p>
            <w:pPr>
              <w:pStyle w:val="Compact"/>
            </w:pPr>
            <w:r>
              <w:rPr>
                <w:sz w:val="17"/>
              </w:rPr>
              <w:t xml:space="preserve">Gouverneur, régies, Trésor, audit</w:t>
            </w:r>
          </w:p>
        </w:tc>
        <w:tc>
          <w:tcPr>
            <w:shd w:val="clear" w:color="auto" w:fill="F5F7FB"/>
          </w:tcPr>
          <w:p>
            <w:pPr>
              <w:pStyle w:val="Compact"/>
            </w:pPr>
            <w:r>
              <w:rPr>
                <w:sz w:val="17"/>
              </w:rPr>
              <w:t xml:space="preserve">R1</w:t>
            </w:r>
          </w:p>
        </w:tc>
      </w:tr>
      <w:tr>
        <w:tc>
          <w:tcPr/>
          <w:p>
            <w:pPr>
              <w:pStyle w:val="Compact"/>
            </w:pPr>
            <w:r>
              <w:rPr>
                <w:sz w:val="17"/>
              </w:rPr>
              <w:t xml:space="preserve">E11 Audit et intégrité</w:t>
            </w:r>
          </w:p>
        </w:tc>
        <w:tc>
          <w:tcPr/>
          <w:p>
            <w:pPr>
              <w:pStyle w:val="Compact"/>
            </w:pPr>
            <w:r>
              <w:rPr>
                <w:sz w:val="17"/>
              </w:rPr>
              <w:t xml:space="preserve">Journal chaîné, WORM, contrôles</w:t>
            </w:r>
          </w:p>
        </w:tc>
        <w:tc>
          <w:tcPr/>
          <w:p>
            <w:pPr>
              <w:pStyle w:val="Compact"/>
            </w:pPr>
            <w:r>
              <w:rPr>
                <w:sz w:val="17"/>
              </w:rPr>
              <w:t xml:space="preserve">R1</w:t>
            </w:r>
          </w:p>
        </w:tc>
      </w:tr>
      <w:tr>
        <w:tc>
          <w:tcPr>
            <w:shd w:val="clear" w:color="auto" w:fill="F5F7FB"/>
          </w:tcPr>
          <w:p>
            <w:pPr>
              <w:pStyle w:val="Compact"/>
            </w:pPr>
            <w:r>
              <w:rPr>
                <w:sz w:val="17"/>
              </w:rPr>
              <w:t xml:space="preserve">E12 Accès</w:t>
            </w:r>
          </w:p>
        </w:tc>
        <w:tc>
          <w:tcPr>
            <w:shd w:val="clear" w:color="auto" w:fill="F5F7FB"/>
          </w:tcPr>
          <w:p>
            <w:pPr>
              <w:pStyle w:val="Compact"/>
            </w:pPr>
            <w:r>
              <w:rPr>
                <w:sz w:val="17"/>
              </w:rPr>
              <w:t xml:space="preserve">RBAC/ABAC, invitations, délégations, JIT</w:t>
            </w:r>
          </w:p>
        </w:tc>
        <w:tc>
          <w:tcPr>
            <w:shd w:val="clear" w:color="auto" w:fill="F5F7FB"/>
          </w:tcPr>
          <w:p>
            <w:pPr>
              <w:pStyle w:val="Compact"/>
            </w:pPr>
            <w:r>
              <w:rPr>
                <w:sz w:val="17"/>
              </w:rPr>
              <w:t xml:space="preserve">R1</w:t>
            </w:r>
          </w:p>
        </w:tc>
      </w:tr>
      <w:tr>
        <w:tc>
          <w:tcPr/>
          <w:p>
            <w:pPr>
              <w:pStyle w:val="Compact"/>
            </w:pPr>
            <w:r>
              <w:rPr>
                <w:sz w:val="17"/>
              </w:rPr>
              <w:t xml:space="preserve">E13 Contentieux</w:t>
            </w:r>
          </w:p>
        </w:tc>
        <w:tc>
          <w:tcPr/>
          <w:p>
            <w:pPr>
              <w:pStyle w:val="Compact"/>
            </w:pPr>
            <w:r>
              <w:rPr>
                <w:sz w:val="17"/>
              </w:rPr>
              <w:t xml:space="preserve">Réclamations, décisions</w:t>
            </w:r>
          </w:p>
        </w:tc>
        <w:tc>
          <w:tcPr/>
          <w:p>
            <w:pPr>
              <w:pStyle w:val="Compact"/>
            </w:pPr>
            <w:r>
              <w:rPr>
                <w:sz w:val="17"/>
              </w:rPr>
              <w:t xml:space="preserve">R1</w:t>
            </w:r>
          </w:p>
        </w:tc>
      </w:tr>
      <w:tr>
        <w:tc>
          <w:tcPr>
            <w:shd w:val="clear" w:color="auto" w:fill="F5F7FB"/>
          </w:tcPr>
          <w:p>
            <w:pPr>
              <w:pStyle w:val="Compact"/>
            </w:pPr>
            <w:r>
              <w:rPr>
                <w:sz w:val="17"/>
              </w:rPr>
              <w:t xml:space="preserve">E14 Recouvrement</w:t>
            </w:r>
          </w:p>
        </w:tc>
        <w:tc>
          <w:tcPr>
            <w:shd w:val="clear" w:color="auto" w:fill="F5F7FB"/>
          </w:tcPr>
          <w:p>
            <w:pPr>
              <w:pStyle w:val="Compact"/>
            </w:pPr>
            <w:r>
              <w:rPr>
                <w:sz w:val="17"/>
              </w:rPr>
              <w:t xml:space="preserve">Relances, dossiers d’exécution</w:t>
            </w:r>
          </w:p>
        </w:tc>
        <w:tc>
          <w:tcPr>
            <w:shd w:val="clear" w:color="auto" w:fill="F5F7FB"/>
          </w:tcPr>
          <w:p>
            <w:pPr>
              <w:pStyle w:val="Compact"/>
            </w:pPr>
            <w:r>
              <w:rPr>
                <w:sz w:val="17"/>
              </w:rPr>
              <w:t xml:space="preserve">R2</w:t>
            </w:r>
          </w:p>
        </w:tc>
      </w:tr>
      <w:tr>
        <w:tc>
          <w:tcPr/>
          <w:p>
            <w:pPr>
              <w:pStyle w:val="Compact"/>
            </w:pPr>
            <w:r>
              <w:rPr>
                <w:sz w:val="17"/>
              </w:rPr>
              <w:t xml:space="preserve">E15 Anti-fraude</w:t>
            </w:r>
          </w:p>
        </w:tc>
        <w:tc>
          <w:tcPr/>
          <w:p>
            <w:pPr>
              <w:pStyle w:val="Compact"/>
            </w:pPr>
            <w:r>
              <w:rPr>
                <w:sz w:val="17"/>
              </w:rPr>
              <w:t xml:space="preserve">Règles, modèles, enquêtes</w:t>
            </w:r>
          </w:p>
        </w:tc>
        <w:tc>
          <w:tcPr/>
          <w:p>
            <w:pPr>
              <w:pStyle w:val="Compact"/>
            </w:pPr>
            <w:r>
              <w:rPr>
                <w:sz w:val="17"/>
              </w:rPr>
              <w:t xml:space="preserve">R2</w:t>
            </w:r>
          </w:p>
        </w:tc>
      </w:tr>
      <w:tr>
        <w:tc>
          <w:tcPr>
            <w:shd w:val="clear" w:color="auto" w:fill="F5F7FB"/>
          </w:tcPr>
          <w:p>
            <w:pPr>
              <w:pStyle w:val="Compact"/>
            </w:pPr>
            <w:r>
              <w:rPr>
                <w:sz w:val="17"/>
              </w:rPr>
              <w:t xml:space="preserve">E16 IA</w:t>
            </w:r>
          </w:p>
        </w:tc>
        <w:tc>
          <w:tcPr>
            <w:shd w:val="clear" w:color="auto" w:fill="F5F7FB"/>
          </w:tcPr>
          <w:p>
            <w:pPr>
              <w:pStyle w:val="Compact"/>
            </w:pPr>
            <w:r>
              <w:rPr>
                <w:sz w:val="17"/>
              </w:rPr>
              <w:t xml:space="preserve">Passerelle, agents, gouvernance</w:t>
            </w:r>
          </w:p>
        </w:tc>
        <w:tc>
          <w:tcPr>
            <w:shd w:val="clear" w:color="auto" w:fill="F5F7FB"/>
          </w:tcPr>
          <w:p>
            <w:pPr>
              <w:pStyle w:val="Compact"/>
            </w:pPr>
            <w:r>
              <w:rPr>
                <w:sz w:val="17"/>
              </w:rPr>
              <w:t xml:space="preserve">R2</w:t>
            </w:r>
          </w:p>
        </w:tc>
      </w:tr>
      <w:tr>
        <w:tc>
          <w:tcPr/>
          <w:p>
            <w:pPr>
              <w:pStyle w:val="Compact"/>
            </w:pPr>
            <w:r>
              <w:rPr>
                <w:sz w:val="17"/>
              </w:rPr>
              <w:t xml:space="preserve">E17 Verticales R2</w:t>
            </w:r>
          </w:p>
        </w:tc>
        <w:tc>
          <w:tcPr/>
          <w:p>
            <w:pPr>
              <w:pStyle w:val="Compact"/>
            </w:pPr>
            <w:r>
              <w:rPr>
                <w:sz w:val="17"/>
              </w:rPr>
              <w:t xml:space="preserve">Patente, publicité, antennes, marchés, stationnement</w:t>
            </w:r>
          </w:p>
        </w:tc>
        <w:tc>
          <w:tcPr/>
          <w:p>
            <w:pPr>
              <w:pStyle w:val="Compact"/>
            </w:pPr>
            <w:r>
              <w:rPr>
                <w:sz w:val="17"/>
              </w:rPr>
              <w:t xml:space="preserve">R2</w:t>
            </w:r>
          </w:p>
        </w:tc>
      </w:tr>
      <w:tr>
        <w:tc>
          <w:tcPr>
            <w:shd w:val="clear" w:color="auto" w:fill="F5F7FB"/>
          </w:tcPr>
          <w:p>
            <w:pPr>
              <w:pStyle w:val="Compact"/>
            </w:pPr>
            <w:r>
              <w:rPr>
                <w:sz w:val="17"/>
              </w:rPr>
              <w:t xml:space="preserve">E18 Multilingue et multidevise</w:t>
            </w:r>
          </w:p>
        </w:tc>
        <w:tc>
          <w:tcPr>
            <w:shd w:val="clear" w:color="auto" w:fill="F5F7FB"/>
          </w:tcPr>
          <w:p>
            <w:pPr>
              <w:pStyle w:val="Compact"/>
            </w:pPr>
            <w:r>
              <w:rPr>
                <w:sz w:val="17"/>
              </w:rPr>
              <w:t xml:space="preserve">Ressources, SVI, devises et drapeaux</w:t>
            </w:r>
          </w:p>
        </w:tc>
        <w:tc>
          <w:tcPr>
            <w:shd w:val="clear" w:color="auto" w:fill="F5F7FB"/>
          </w:tcPr>
          <w:p>
            <w:pPr>
              <w:pStyle w:val="Compact"/>
            </w:pPr>
            <w:r>
              <w:rPr>
                <w:sz w:val="17"/>
              </w:rPr>
              <w:t xml:space="preserve">R1</w:t>
            </w:r>
          </w:p>
        </w:tc>
      </w:tr>
      <w:tr>
        <w:tc>
          <w:tcPr/>
          <w:p>
            <w:pPr>
              <w:pStyle w:val="Compact"/>
            </w:pPr>
            <w:r>
              <w:rPr>
                <w:sz w:val="17"/>
              </w:rPr>
              <w:t xml:space="preserve">E19 Autosauvegarde et versions</w:t>
            </w:r>
          </w:p>
        </w:tc>
        <w:tc>
          <w:tcPr/>
          <w:p>
            <w:pPr>
              <w:pStyle w:val="Compact"/>
            </w:pPr>
            <w:r>
              <w:rPr>
                <w:sz w:val="17"/>
              </w:rPr>
              <w:t xml:space="preserve">Brouillons, historique, restauration</w:t>
            </w:r>
          </w:p>
        </w:tc>
        <w:tc>
          <w:tcPr/>
          <w:p>
            <w:pPr>
              <w:pStyle w:val="Compact"/>
            </w:pPr>
            <w:r>
              <w:rPr>
                <w:sz w:val="17"/>
              </w:rPr>
              <w:t xml:space="preserve">R1</w:t>
            </w:r>
          </w:p>
        </w:tc>
      </w:tr>
      <w:tr>
        <w:tc>
          <w:tcPr>
            <w:shd w:val="clear" w:color="auto" w:fill="F5F7FB"/>
          </w:tcPr>
          <w:p>
            <w:pPr>
              <w:pStyle w:val="Compact"/>
            </w:pPr>
            <w:r>
              <w:rPr>
                <w:sz w:val="17"/>
              </w:rPr>
              <w:t xml:space="preserve">E20 Transparence publique</w:t>
            </w:r>
          </w:p>
        </w:tc>
        <w:tc>
          <w:tcPr>
            <w:shd w:val="clear" w:color="auto" w:fill="F5F7FB"/>
          </w:tcPr>
          <w:p>
            <w:pPr>
              <w:pStyle w:val="Compact"/>
            </w:pPr>
            <w:r>
              <w:rPr>
                <w:sz w:val="17"/>
              </w:rPr>
              <w:t xml:space="preserve">Tableau public, données ouvertes</w:t>
            </w:r>
          </w:p>
        </w:tc>
        <w:tc>
          <w:tcPr>
            <w:shd w:val="clear" w:color="auto" w:fill="F5F7FB"/>
          </w:tcPr>
          <w:p>
            <w:pPr>
              <w:pStyle w:val="Compact"/>
            </w:pPr>
            <w:r>
              <w:rPr>
                <w:sz w:val="17"/>
              </w:rPr>
              <w:t xml:space="preserve">R2</w:t>
            </w:r>
          </w:p>
        </w:tc>
      </w:tr>
    </w:tbl>
    <w:bookmarkEnd w:id="353"/>
    <w:bookmarkStart w:id="354" w:name="récits-de-référence"/>
    <w:p>
      <w:pPr>
        <w:pStyle w:val="Heading2"/>
      </w:pPr>
      <w:r>
        <w:t xml:space="preserve">42.2 Récits de référence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ID</w:t>
            </w:r>
          </w:p>
        </w:tc>
        <w:tc>
          <w:tcPr>
            <w:shd w:val="clear" w:color="auto" w:fill="232C6B"/>
          </w:tcPr>
          <w:p>
            <w:pPr>
              <w:pStyle w:val="Compact"/>
            </w:pPr>
            <w:r>
              <w:rPr>
                <w:b/>
                <w:color w:val="FFFFFF"/>
                <w:sz w:val="17"/>
              </w:rPr>
              <w:t xml:space="preserve">Récit</w:t>
            </w:r>
          </w:p>
        </w:tc>
        <w:tc>
          <w:tcPr>
            <w:shd w:val="clear" w:color="auto" w:fill="232C6B"/>
          </w:tcPr>
          <w:p>
            <w:pPr>
              <w:pStyle w:val="Compact"/>
            </w:pPr>
            <w:r>
              <w:rPr>
                <w:b/>
                <w:color w:val="FFFFFF"/>
                <w:sz w:val="17"/>
              </w:rPr>
              <w:t xml:space="preserve">Critère</w:t>
            </w:r>
          </w:p>
        </w:tc>
      </w:tr>
      <w:tr>
        <w:tc>
          <w:tcPr/>
          <w:p>
            <w:pPr>
              <w:pStyle w:val="Compact"/>
            </w:pPr>
            <w:r>
              <w:rPr>
                <w:sz w:val="17"/>
              </w:rPr>
              <w:t xml:space="preserve">US-01</w:t>
            </w:r>
          </w:p>
        </w:tc>
        <w:tc>
          <w:tcPr/>
          <w:p>
            <w:pPr>
              <w:pStyle w:val="Compact"/>
            </w:pPr>
            <w:r>
              <w:rPr>
                <w:sz w:val="17"/>
              </w:rPr>
              <w:t xml:space="preserve">En tant que contribuable, je veux voir l’origine légale et le calcul de chaque obligation afin de comprendre ce que je paie</w:t>
            </w:r>
          </w:p>
        </w:tc>
        <w:tc>
          <w:tcPr/>
          <w:p>
            <w:pPr>
              <w:pStyle w:val="Compact"/>
            </w:pPr>
            <w:r>
              <w:rPr>
                <w:sz w:val="17"/>
              </w:rPr>
              <w:t xml:space="preserve">AC-ASS-01</w:t>
            </w:r>
          </w:p>
        </w:tc>
      </w:tr>
      <w:tr>
        <w:tc>
          <w:tcPr>
            <w:shd w:val="clear" w:color="auto" w:fill="F5F7FB"/>
          </w:tcPr>
          <w:p>
            <w:pPr>
              <w:pStyle w:val="Compact"/>
            </w:pPr>
            <w:r>
              <w:rPr>
                <w:sz w:val="17"/>
              </w:rPr>
              <w:t xml:space="preserve">US-02</w:t>
            </w:r>
          </w:p>
        </w:tc>
        <w:tc>
          <w:tcPr>
            <w:shd w:val="clear" w:color="auto" w:fill="F5F7FB"/>
          </w:tcPr>
          <w:p>
            <w:pPr>
              <w:pStyle w:val="Compact"/>
            </w:pPr>
            <w:r>
              <w:rPr>
                <w:sz w:val="17"/>
              </w:rPr>
              <w:t xml:space="preserve">En tant qu’agent de terrain, je veux enregistrer un constat hors connexion sans pouvoir créer une dette</w:t>
            </w:r>
          </w:p>
        </w:tc>
        <w:tc>
          <w:tcPr>
            <w:shd w:val="clear" w:color="auto" w:fill="F5F7FB"/>
          </w:tcPr>
          <w:p>
            <w:pPr>
              <w:pStyle w:val="Compact"/>
            </w:pPr>
            <w:r>
              <w:rPr>
                <w:sz w:val="17"/>
              </w:rPr>
              <w:t xml:space="preserve">AC-FLD-01</w:t>
            </w:r>
          </w:p>
        </w:tc>
      </w:tr>
      <w:tr>
        <w:tc>
          <w:tcPr/>
          <w:p>
            <w:pPr>
              <w:pStyle w:val="Compact"/>
            </w:pPr>
            <w:r>
              <w:rPr>
                <w:sz w:val="17"/>
              </w:rPr>
              <w:t xml:space="preserve">US-03</w:t>
            </w:r>
          </w:p>
        </w:tc>
        <w:tc>
          <w:tcPr/>
          <w:p>
            <w:pPr>
              <w:pStyle w:val="Compact"/>
            </w:pPr>
            <w:r>
              <w:rPr>
                <w:sz w:val="17"/>
              </w:rPr>
              <w:t xml:space="preserve">En tant qu’auditeur, je veux reconstituer toute modification financière</w:t>
            </w:r>
          </w:p>
        </w:tc>
        <w:tc>
          <w:tcPr/>
          <w:p>
            <w:pPr>
              <w:pStyle w:val="Compact"/>
            </w:pPr>
            <w:r>
              <w:rPr>
                <w:sz w:val="17"/>
              </w:rPr>
              <w:t xml:space="preserve">Chaîne complète sans trou</w:t>
            </w:r>
          </w:p>
        </w:tc>
      </w:tr>
      <w:tr>
        <w:tc>
          <w:tcPr>
            <w:shd w:val="clear" w:color="auto" w:fill="F5F7FB"/>
          </w:tcPr>
          <w:p>
            <w:pPr>
              <w:pStyle w:val="Compact"/>
            </w:pPr>
            <w:r>
              <w:rPr>
                <w:sz w:val="17"/>
              </w:rPr>
              <w:t xml:space="preserve">US-04</w:t>
            </w:r>
          </w:p>
        </w:tc>
        <w:tc>
          <w:tcPr>
            <w:shd w:val="clear" w:color="auto" w:fill="F5F7FB"/>
          </w:tcPr>
          <w:p>
            <w:pPr>
              <w:pStyle w:val="Compact"/>
            </w:pPr>
            <w:r>
              <w:rPr>
                <w:sz w:val="17"/>
              </w:rPr>
              <w:t xml:space="preserve">En tant que comptable du Trésor, je veux voir les exceptions de rapprochement classées par âge et montant</w:t>
            </w:r>
          </w:p>
        </w:tc>
        <w:tc>
          <w:tcPr>
            <w:shd w:val="clear" w:color="auto" w:fill="F5F7FB"/>
          </w:tcPr>
          <w:p>
            <w:pPr>
              <w:pStyle w:val="Compact"/>
            </w:pPr>
            <w:r>
              <w:rPr>
                <w:sz w:val="17"/>
              </w:rPr>
              <w:t xml:space="preserve">Tri, filtres, quatre yeux</w:t>
            </w:r>
          </w:p>
        </w:tc>
      </w:tr>
      <w:tr>
        <w:tc>
          <w:tcPr/>
          <w:p>
            <w:pPr>
              <w:pStyle w:val="Compact"/>
            </w:pPr>
            <w:r>
              <w:rPr>
                <w:sz w:val="17"/>
              </w:rPr>
              <w:t xml:space="preserve">US-05</w:t>
            </w:r>
          </w:p>
        </w:tc>
        <w:tc>
          <w:tcPr/>
          <w:p>
            <w:pPr>
              <w:pStyle w:val="Compact"/>
            </w:pPr>
            <w:r>
              <w:rPr>
                <w:sz w:val="17"/>
              </w:rPr>
              <w:t xml:space="preserve">En tant que juriste, je veux simuler une règle sur un jeu de cas avant de la soumettre</w:t>
            </w:r>
          </w:p>
        </w:tc>
        <w:tc>
          <w:tcPr/>
          <w:p>
            <w:pPr>
              <w:pStyle w:val="Compact"/>
            </w:pPr>
            <w:r>
              <w:rPr>
                <w:sz w:val="17"/>
              </w:rPr>
              <w:t xml:space="preserve">Rapport de tests</w:t>
            </w:r>
          </w:p>
        </w:tc>
      </w:tr>
      <w:tr>
        <w:tc>
          <w:tcPr>
            <w:shd w:val="clear" w:color="auto" w:fill="F5F7FB"/>
          </w:tcPr>
          <w:p>
            <w:pPr>
              <w:pStyle w:val="Compact"/>
            </w:pPr>
            <w:r>
              <w:rPr>
                <w:sz w:val="17"/>
              </w:rPr>
              <w:t xml:space="preserve">US-06</w:t>
            </w:r>
          </w:p>
        </w:tc>
        <w:tc>
          <w:tcPr>
            <w:shd w:val="clear" w:color="auto" w:fill="F5F7FB"/>
          </w:tcPr>
          <w:p>
            <w:pPr>
              <w:pStyle w:val="Compact"/>
            </w:pPr>
            <w:r>
              <w:rPr>
                <w:sz w:val="17"/>
              </w:rPr>
              <w:t xml:space="preserve">En tant que Gouverneur, je veux voir l’échelle de la recette du jour et les actions recommandées</w:t>
            </w:r>
          </w:p>
        </w:tc>
        <w:tc>
          <w:tcPr>
            <w:shd w:val="clear" w:color="auto" w:fill="F5F7FB"/>
          </w:tcPr>
          <w:p>
            <w:pPr>
              <w:pStyle w:val="Compact"/>
            </w:pPr>
            <w:r>
              <w:rPr>
                <w:sz w:val="17"/>
              </w:rPr>
              <w:t xml:space="preserve">Tableau § 26.2</w:t>
            </w:r>
          </w:p>
        </w:tc>
      </w:tr>
      <w:tr>
        <w:tc>
          <w:tcPr/>
          <w:p>
            <w:pPr>
              <w:pStyle w:val="Compact"/>
            </w:pPr>
            <w:r>
              <w:rPr>
                <w:sz w:val="17"/>
              </w:rPr>
              <w:t xml:space="preserve">US-07</w:t>
            </w:r>
          </w:p>
        </w:tc>
        <w:tc>
          <w:tcPr/>
          <w:p>
            <w:pPr>
              <w:pStyle w:val="Compact"/>
            </w:pPr>
            <w:r>
              <w:rPr>
                <w:sz w:val="17"/>
              </w:rPr>
              <w:t xml:space="preserve">En tant que commerçant sans smartphone, je veux payer mon étal par USSD dans ma langue</w:t>
            </w:r>
          </w:p>
        </w:tc>
        <w:tc>
          <w:tcPr/>
          <w:p>
            <w:pPr>
              <w:pStyle w:val="Compact"/>
            </w:pPr>
            <w:r>
              <w:rPr>
                <w:sz w:val="17"/>
              </w:rPr>
              <w:t xml:space="preserve">Parcours USSD en lingala</w:t>
            </w:r>
          </w:p>
        </w:tc>
      </w:tr>
      <w:tr>
        <w:tc>
          <w:tcPr>
            <w:shd w:val="clear" w:color="auto" w:fill="F5F7FB"/>
          </w:tcPr>
          <w:p>
            <w:pPr>
              <w:pStyle w:val="Compact"/>
            </w:pPr>
            <w:r>
              <w:rPr>
                <w:sz w:val="17"/>
              </w:rPr>
              <w:t xml:space="preserve">US-08</w:t>
            </w:r>
          </w:p>
        </w:tc>
        <w:tc>
          <w:tcPr>
            <w:shd w:val="clear" w:color="auto" w:fill="F5F7FB"/>
          </w:tcPr>
          <w:p>
            <w:pPr>
              <w:pStyle w:val="Compact"/>
            </w:pPr>
            <w:r>
              <w:rPr>
                <w:sz w:val="17"/>
              </w:rPr>
              <w:t xml:space="preserve">En tant que propriétaire de la diaspora, je veux payer par carte en EUR et recevoir une quittance valable</w:t>
            </w:r>
          </w:p>
        </w:tc>
        <w:tc>
          <w:tcPr>
            <w:shd w:val="clear" w:color="auto" w:fill="F5F7FB"/>
          </w:tcPr>
          <w:p>
            <w:pPr>
              <w:pStyle w:val="Compact"/>
            </w:pPr>
            <w:r>
              <w:rPr>
                <w:sz w:val="17"/>
              </w:rPr>
              <w:t xml:space="preserve">AC-CUR-01</w:t>
            </w:r>
          </w:p>
        </w:tc>
      </w:tr>
      <w:tr>
        <w:tc>
          <w:tcPr/>
          <w:p>
            <w:pPr>
              <w:pStyle w:val="Compact"/>
            </w:pPr>
            <w:r>
              <w:rPr>
                <w:sz w:val="17"/>
              </w:rPr>
              <w:t xml:space="preserve">US-09</w:t>
            </w:r>
          </w:p>
        </w:tc>
        <w:tc>
          <w:tcPr/>
          <w:p>
            <w:pPr>
              <w:pStyle w:val="Compact"/>
            </w:pPr>
            <w:r>
              <w:rPr>
                <w:sz w:val="17"/>
              </w:rPr>
              <w:t xml:space="preserve">En tant que citoyen, je veux vérifier qu’un agent est authentique</w:t>
            </w:r>
          </w:p>
        </w:tc>
        <w:tc>
          <w:tcPr/>
          <w:p>
            <w:pPr>
              <w:pStyle w:val="Compact"/>
            </w:pPr>
            <w:r>
              <w:rPr>
                <w:sz w:val="17"/>
              </w:rPr>
              <w:t xml:space="preserve">Vérification du badge par code court</w:t>
            </w:r>
          </w:p>
        </w:tc>
      </w:tr>
      <w:tr>
        <w:tc>
          <w:tcPr>
            <w:shd w:val="clear" w:color="auto" w:fill="F5F7FB"/>
          </w:tcPr>
          <w:p>
            <w:pPr>
              <w:pStyle w:val="Compact"/>
            </w:pPr>
            <w:r>
              <w:rPr>
                <w:sz w:val="17"/>
              </w:rPr>
              <w:t xml:space="preserve">US-10</w:t>
            </w:r>
          </w:p>
        </w:tc>
        <w:tc>
          <w:tcPr>
            <w:shd w:val="clear" w:color="auto" w:fill="F5F7FB"/>
          </w:tcPr>
          <w:p>
            <w:pPr>
              <w:pStyle w:val="Compact"/>
            </w:pPr>
            <w:r>
              <w:rPr>
                <w:sz w:val="17"/>
              </w:rPr>
              <w:t xml:space="preserve">En tant que gestionnaire du coffre, je veux approuver un changement de compte bénéficiaire avec vérification hors bande</w:t>
            </w:r>
          </w:p>
        </w:tc>
        <w:tc>
          <w:tcPr>
            <w:shd w:val="clear" w:color="auto" w:fill="F5F7FB"/>
          </w:tcPr>
          <w:p>
            <w:pPr>
              <w:pStyle w:val="Compact"/>
            </w:pPr>
            <w:r>
              <w:rPr>
                <w:sz w:val="17"/>
              </w:rPr>
              <w:t xml:space="preserve">AC-BEN-01</w:t>
            </w:r>
          </w:p>
        </w:tc>
      </w:tr>
      <w:tr>
        <w:tc>
          <w:tcPr/>
          <w:p>
            <w:pPr>
              <w:pStyle w:val="Compact"/>
            </w:pPr>
            <w:r>
              <w:rPr>
                <w:sz w:val="17"/>
              </w:rPr>
              <w:t xml:space="preserve">US-11</w:t>
            </w:r>
          </w:p>
        </w:tc>
        <w:tc>
          <w:tcPr/>
          <w:p>
            <w:pPr>
              <w:pStyle w:val="Compact"/>
            </w:pPr>
            <w:r>
              <w:rPr>
                <w:sz w:val="17"/>
              </w:rPr>
              <w:t xml:space="preserve">En tant qu’administrateur des communications, je veux prévisualiser un modèle et me l’envoyer en test</w:t>
            </w:r>
          </w:p>
        </w:tc>
        <w:tc>
          <w:tcPr/>
          <w:p>
            <w:pPr>
              <w:pStyle w:val="Compact"/>
            </w:pPr>
            <w:r>
              <w:rPr>
                <w:sz w:val="17"/>
              </w:rPr>
              <w:t xml:space="preserve">AC-COM-02</w:t>
            </w:r>
          </w:p>
        </w:tc>
      </w:tr>
      <w:tr>
        <w:tc>
          <w:tcPr>
            <w:shd w:val="clear" w:color="auto" w:fill="F5F7FB"/>
          </w:tcPr>
          <w:p>
            <w:pPr>
              <w:pStyle w:val="Compact"/>
            </w:pPr>
            <w:r>
              <w:rPr>
                <w:sz w:val="17"/>
              </w:rPr>
              <w:t xml:space="preserve">US-12</w:t>
            </w:r>
          </w:p>
        </w:tc>
        <w:tc>
          <w:tcPr>
            <w:shd w:val="clear" w:color="auto" w:fill="F5F7FB"/>
          </w:tcPr>
          <w:p>
            <w:pPr>
              <w:pStyle w:val="Compact"/>
            </w:pPr>
            <w:r>
              <w:rPr>
                <w:sz w:val="17"/>
              </w:rPr>
              <w:t xml:space="preserve">En tant qu’agent public, je veux que mes saisies soient enregistrées automatiquement</w:t>
            </w:r>
          </w:p>
        </w:tc>
        <w:tc>
          <w:tcPr>
            <w:shd w:val="clear" w:color="auto" w:fill="F5F7FB"/>
          </w:tcPr>
          <w:p>
            <w:pPr>
              <w:pStyle w:val="Compact"/>
            </w:pPr>
            <w:r>
              <w:rPr>
                <w:sz w:val="17"/>
              </w:rPr>
              <w:t xml:space="preserve">AC-SAV-01</w:t>
            </w:r>
          </w:p>
        </w:tc>
      </w:tr>
    </w:tbl>
    <w:bookmarkEnd w:id="354"/>
    <w:bookmarkEnd w:id="355"/>
    <w:bookmarkStart w:id="356" w:name="plan-de-livraison-par-versions"/>
    <w:p>
      <w:pPr>
        <w:pStyle w:val="Heading1"/>
      </w:pPr>
      <w:r>
        <w:t xml:space="preserve">43. Plan de livraison par versions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Version</w:t>
            </w:r>
          </w:p>
        </w:tc>
        <w:tc>
          <w:tcPr>
            <w:shd w:val="clear" w:color="auto" w:fill="232C6B"/>
          </w:tcPr>
          <w:p>
            <w:pPr>
              <w:pStyle w:val="Compact"/>
            </w:pPr>
            <w:r>
              <w:rPr>
                <w:b/>
                <w:color w:val="FFFFFF"/>
                <w:sz w:val="17"/>
              </w:rPr>
              <w:t xml:space="preserve">Date cible</w:t>
            </w:r>
          </w:p>
        </w:tc>
        <w:tc>
          <w:tcPr>
            <w:shd w:val="clear" w:color="auto" w:fill="232C6B"/>
          </w:tcPr>
          <w:p>
            <w:pPr>
              <w:pStyle w:val="Compact"/>
            </w:pPr>
            <w:r>
              <w:rPr>
                <w:b/>
                <w:color w:val="FFFFFF"/>
                <w:sz w:val="17"/>
              </w:rPr>
              <w:t xml:space="preserve">Contenu</w:t>
            </w:r>
          </w:p>
        </w:tc>
        <w:tc>
          <w:tcPr>
            <w:shd w:val="clear" w:color="auto" w:fill="232C6B"/>
          </w:tcPr>
          <w:p>
            <w:pPr>
              <w:pStyle w:val="Compact"/>
            </w:pPr>
            <w:r>
              <w:rPr>
                <w:b/>
                <w:color w:val="FFFFFF"/>
                <w:sz w:val="17"/>
              </w:rPr>
              <w:t xml:space="preserve">Correspondance Cahier v2.9</w:t>
            </w:r>
          </w:p>
        </w:tc>
      </w:tr>
      <w:tr>
        <w:tc>
          <w:tcPr/>
          <w:p>
            <w:pPr>
              <w:pStyle w:val="Compact"/>
            </w:pPr>
            <w:r>
              <w:rPr>
                <w:b/>
                <w:bCs/>
                <w:sz w:val="17"/>
              </w:rPr>
              <w:t xml:space="preserve">R0 — Recensement</w:t>
            </w:r>
          </w:p>
        </w:tc>
        <w:tc>
          <w:tcPr/>
          <w:p>
            <w:pPr>
              <w:pStyle w:val="Compact"/>
            </w:pPr>
            <w:r>
              <w:rPr>
                <w:sz w:val="17"/>
              </w:rPr>
              <w:t xml:space="preserve">Déc. 2026</w:t>
            </w:r>
          </w:p>
        </w:tc>
        <w:tc>
          <w:tcPr/>
          <w:p>
            <w:pPr>
              <w:pStyle w:val="Compact"/>
            </w:pPr>
            <w:r>
              <w:rPr>
                <w:sz w:val="17"/>
              </w:rPr>
              <w:t xml:space="preserve">E02, E03, E01 (partiel), socle d’audit</w:t>
            </w:r>
          </w:p>
        </w:tc>
        <w:tc>
          <w:tcPr/>
          <w:p>
            <w:pPr>
              <w:pStyle w:val="Compact"/>
            </w:pPr>
            <w:r>
              <w:rPr>
                <w:sz w:val="17"/>
              </w:rPr>
              <w:t xml:space="preserve">V0.1</w:t>
            </w:r>
          </w:p>
        </w:tc>
      </w:tr>
      <w:tr>
        <w:tc>
          <w:tcPr>
            <w:shd w:val="clear" w:color="auto" w:fill="F5F7FB"/>
          </w:tcPr>
          <w:p>
            <w:pPr>
              <w:pStyle w:val="Compact"/>
            </w:pPr>
            <w:r>
              <w:rPr>
                <w:b/>
                <w:bCs/>
                <w:sz w:val="17"/>
              </w:rPr>
              <w:t xml:space="preserve">R1 — Chaîne financière</w:t>
            </w:r>
          </w:p>
        </w:tc>
        <w:tc>
          <w:tcPr>
            <w:shd w:val="clear" w:color="auto" w:fill="F5F7FB"/>
          </w:tcPr>
          <w:p>
            <w:pPr>
              <w:pStyle w:val="Compact"/>
            </w:pPr>
            <w:r>
              <w:rPr>
                <w:sz w:val="17"/>
              </w:rPr>
              <w:t xml:space="preserve">Avril 2027</w:t>
            </w:r>
          </w:p>
        </w:tc>
        <w:tc>
          <w:tcPr>
            <w:shd w:val="clear" w:color="auto" w:fill="F5F7FB"/>
          </w:tcPr>
          <w:p>
            <w:pPr>
              <w:pStyle w:val="Compact"/>
            </w:pPr>
            <w:r>
              <w:rPr>
                <w:sz w:val="17"/>
              </w:rPr>
              <w:t xml:space="preserve">E01, E04–E13, E18, E19 ; IF, IRL, véhicules</w:t>
            </w:r>
          </w:p>
        </w:tc>
        <w:tc>
          <w:tcPr>
            <w:shd w:val="clear" w:color="auto" w:fill="F5F7FB"/>
          </w:tcPr>
          <w:p>
            <w:pPr>
              <w:pStyle w:val="Compact"/>
            </w:pPr>
            <w:r>
              <w:rPr>
                <w:sz w:val="17"/>
              </w:rPr>
              <w:t xml:space="preserve">V1.0 / R1</w:t>
            </w:r>
          </w:p>
        </w:tc>
      </w:tr>
      <w:tr>
        <w:tc>
          <w:tcPr/>
          <w:p>
            <w:pPr>
              <w:pStyle w:val="Compact"/>
            </w:pPr>
            <w:r>
              <w:rPr>
                <w:b/>
                <w:bCs/>
                <w:sz w:val="17"/>
              </w:rPr>
              <w:t xml:space="preserve">R2 — Verticales et intelligence</w:t>
            </w:r>
          </w:p>
        </w:tc>
        <w:tc>
          <w:tcPr/>
          <w:p>
            <w:pPr>
              <w:pStyle w:val="Compact"/>
            </w:pPr>
            <w:r>
              <w:rPr>
                <w:sz w:val="17"/>
              </w:rPr>
              <w:t xml:space="preserve">Oct. 2027</w:t>
            </w:r>
          </w:p>
        </w:tc>
        <w:tc>
          <w:tcPr/>
          <w:p>
            <w:pPr>
              <w:pStyle w:val="Compact"/>
            </w:pPr>
            <w:r>
              <w:rPr>
                <w:sz w:val="17"/>
              </w:rPr>
              <w:t xml:space="preserve">E14–E17, E20</w:t>
            </w:r>
          </w:p>
        </w:tc>
        <w:tc>
          <w:tcPr/>
          <w:p>
            <w:pPr>
              <w:pStyle w:val="Compact"/>
            </w:pPr>
            <w:r>
              <w:rPr>
                <w:sz w:val="17"/>
              </w:rPr>
              <w:t xml:space="preserve">V2.0 / R2</w:t>
            </w:r>
          </w:p>
        </w:tc>
      </w:tr>
      <w:tr>
        <w:tc>
          <w:tcPr>
            <w:shd w:val="clear" w:color="auto" w:fill="F5F7FB"/>
          </w:tcPr>
          <w:p>
            <w:pPr>
              <w:pStyle w:val="Compact"/>
            </w:pPr>
            <w:r>
              <w:rPr>
                <w:b/>
                <w:bCs/>
                <w:sz w:val="17"/>
              </w:rPr>
              <w:t xml:space="preserve">R3 — Extension</w:t>
            </w:r>
          </w:p>
        </w:tc>
        <w:tc>
          <w:tcPr>
            <w:shd w:val="clear" w:color="auto" w:fill="F5F7FB"/>
          </w:tcPr>
          <w:p>
            <w:pPr>
              <w:pStyle w:val="Compact"/>
            </w:pPr>
            <w:r>
              <w:rPr>
                <w:sz w:val="17"/>
              </w:rPr>
              <w:t xml:space="preserve">Mars 2028</w:t>
            </w:r>
          </w:p>
        </w:tc>
        <w:tc>
          <w:tcPr>
            <w:shd w:val="clear" w:color="auto" w:fill="F5F7FB"/>
          </w:tcPr>
          <w:p>
            <w:pPr>
              <w:pStyle w:val="Compact"/>
            </w:pPr>
            <w:r>
              <w:rPr>
                <w:sz w:val="17"/>
              </w:rPr>
              <w:t xml:space="preserve">Transport, embarquement, événements, carrières, ports, assainissement, billetterie</w:t>
            </w:r>
          </w:p>
        </w:tc>
        <w:tc>
          <w:tcPr>
            <w:shd w:val="clear" w:color="auto" w:fill="F5F7FB"/>
          </w:tcPr>
          <w:p>
            <w:pPr>
              <w:pStyle w:val="Compact"/>
            </w:pPr>
            <w:r>
              <w:rPr>
                <w:sz w:val="17"/>
              </w:rPr>
              <w:t xml:space="preserve">R3</w:t>
            </w:r>
          </w:p>
        </w:tc>
      </w:tr>
      <w:tr>
        <w:tc>
          <w:tcPr/>
          <w:p>
            <w:pPr>
              <w:pStyle w:val="Compact"/>
            </w:pPr>
            <w:r>
              <w:rPr>
                <w:b/>
                <w:bCs/>
                <w:sz w:val="17"/>
              </w:rPr>
              <w:t xml:space="preserve">R4 — Généralisation</w:t>
            </w:r>
          </w:p>
        </w:tc>
        <w:tc>
          <w:tcPr/>
          <w:p>
            <w:pPr>
              <w:pStyle w:val="Compact"/>
            </w:pPr>
            <w:r>
              <w:rPr>
                <w:sz w:val="17"/>
              </w:rPr>
              <w:t xml:space="preserve">Déc. 2028</w:t>
            </w:r>
          </w:p>
        </w:tc>
        <w:tc>
          <w:tcPr/>
          <w:p>
            <w:pPr>
              <w:pStyle w:val="Compact"/>
            </w:pPr>
            <w:r>
              <w:rPr>
                <w:sz w:val="17"/>
              </w:rPr>
              <w:t xml:space="preserve">Forêts, péages, espace communal, contribution environnementale si acte, AVIA si validé</w:t>
            </w:r>
          </w:p>
        </w:tc>
        <w:tc>
          <w:tcPr/>
          <w:p>
            <w:pPr>
              <w:pStyle w:val="Compact"/>
            </w:pPr>
            <w:r>
              <w:rPr>
                <w:sz w:val="17"/>
              </w:rPr>
              <w:t xml:space="preserve">V3.0 / R4</w:t>
            </w:r>
          </w:p>
        </w:tc>
      </w:tr>
    </w:tbl>
    <w:bookmarkEnd w:id="356"/>
    <w:bookmarkStart w:id="357" w:name="stratégie-de-tests"/>
    <w:p>
      <w:pPr>
        <w:pStyle w:val="Heading1"/>
      </w:pPr>
      <w:r>
        <w:t xml:space="preserve">44. Stratégie de tests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Niveau</w:t>
            </w:r>
          </w:p>
        </w:tc>
        <w:tc>
          <w:tcPr>
            <w:shd w:val="clear" w:color="auto" w:fill="232C6B"/>
          </w:tcPr>
          <w:p>
            <w:pPr>
              <w:pStyle w:val="Compact"/>
            </w:pPr>
            <w:r>
              <w:rPr>
                <w:b/>
                <w:color w:val="FFFFFF"/>
                <w:sz w:val="17"/>
              </w:rPr>
              <w:t xml:space="preserve">Objet</w:t>
            </w:r>
          </w:p>
        </w:tc>
        <w:tc>
          <w:tcPr>
            <w:shd w:val="clear" w:color="auto" w:fill="232C6B"/>
          </w:tcPr>
          <w:p>
            <w:pPr>
              <w:pStyle w:val="Compact"/>
            </w:pPr>
            <w:r>
              <w:rPr>
                <w:b/>
                <w:color w:val="FFFFFF"/>
                <w:sz w:val="17"/>
              </w:rPr>
              <w:t xml:space="preserve">Outils / méthode</w:t>
            </w:r>
          </w:p>
        </w:tc>
        <w:tc>
          <w:tcPr>
            <w:shd w:val="clear" w:color="auto" w:fill="232C6B"/>
          </w:tcPr>
          <w:p>
            <w:pPr>
              <w:pStyle w:val="Compact"/>
            </w:pPr>
            <w:r>
              <w:rPr>
                <w:b/>
                <w:color w:val="FFFFFF"/>
                <w:sz w:val="17"/>
              </w:rPr>
              <w:t xml:space="preserve">Seuil</w:t>
            </w:r>
          </w:p>
        </w:tc>
      </w:tr>
      <w:tr>
        <w:tc>
          <w:tcPr/>
          <w:p>
            <w:pPr>
              <w:pStyle w:val="Compact"/>
            </w:pPr>
            <w:r>
              <w:rPr>
                <w:sz w:val="17"/>
              </w:rPr>
              <w:t xml:space="preserve">Unitaires</w:t>
            </w:r>
          </w:p>
        </w:tc>
        <w:tc>
          <w:tcPr/>
          <w:p>
            <w:pPr>
              <w:pStyle w:val="Compact"/>
            </w:pPr>
            <w:r>
              <w:rPr>
                <w:sz w:val="17"/>
              </w:rPr>
              <w:t xml:space="preserve">Fonctions, règles, calculs monétaires</w:t>
            </w:r>
          </w:p>
        </w:tc>
        <w:tc>
          <w:tcPr/>
          <w:p>
            <w:pPr>
              <w:pStyle w:val="Compact"/>
            </w:pPr>
            <w:r>
              <w:rPr>
                <w:sz w:val="17"/>
              </w:rPr>
              <w:t xml:space="preserve">Frameworks standard</w:t>
            </w:r>
          </w:p>
        </w:tc>
        <w:tc>
          <w:tcPr/>
          <w:p>
            <w:pPr>
              <w:pStyle w:val="Compact"/>
            </w:pPr>
            <w:r>
              <w:rPr>
                <w:sz w:val="17"/>
              </w:rPr>
              <w:t xml:space="preserve">Couverture ≥ 80 % sur domaines financiers</w:t>
            </w:r>
          </w:p>
        </w:tc>
      </w:tr>
      <w:tr>
        <w:tc>
          <w:tcPr>
            <w:shd w:val="clear" w:color="auto" w:fill="F5F7FB"/>
          </w:tcPr>
          <w:p>
            <w:pPr>
              <w:pStyle w:val="Compact"/>
            </w:pPr>
            <w:r>
              <w:rPr>
                <w:sz w:val="17"/>
              </w:rPr>
              <w:t xml:space="preserve">Tests juridiques</w:t>
            </w:r>
          </w:p>
        </w:tc>
        <w:tc>
          <w:tcPr>
            <w:shd w:val="clear" w:color="auto" w:fill="F5F7FB"/>
          </w:tcPr>
          <w:p>
            <w:pPr>
              <w:pStyle w:val="Compact"/>
            </w:pPr>
            <w:r>
              <w:rPr>
                <w:sz w:val="17"/>
              </w:rPr>
              <w:t xml:space="preserve">Jeux de cas validés par les juristes pour chaque règle</w:t>
            </w:r>
          </w:p>
        </w:tc>
        <w:tc>
          <w:tcPr>
            <w:shd w:val="clear" w:color="auto" w:fill="F5F7FB"/>
          </w:tcPr>
          <w:p>
            <w:pPr>
              <w:pStyle w:val="Compact"/>
            </w:pPr>
            <w:r>
              <w:rPr>
                <w:sz w:val="17"/>
              </w:rPr>
              <w:t xml:space="preserve">Tables de décision</w:t>
            </w:r>
          </w:p>
        </w:tc>
        <w:tc>
          <w:tcPr>
            <w:shd w:val="clear" w:color="auto" w:fill="F5F7FB"/>
          </w:tcPr>
          <w:p>
            <w:pPr>
              <w:pStyle w:val="Compact"/>
            </w:pPr>
            <w:r>
              <w:rPr>
                <w:sz w:val="17"/>
              </w:rPr>
              <w:t xml:space="preserve">100 % verts pour publier</w:t>
            </w:r>
          </w:p>
        </w:tc>
      </w:tr>
      <w:tr>
        <w:tc>
          <w:tcPr/>
          <w:p>
            <w:pPr>
              <w:pStyle w:val="Compact"/>
            </w:pPr>
            <w:r>
              <w:rPr>
                <w:sz w:val="17"/>
              </w:rPr>
              <w:t xml:space="preserve">Propriétés</w:t>
            </w:r>
          </w:p>
        </w:tc>
        <w:tc>
          <w:tcPr/>
          <w:p>
            <w:pPr>
              <w:pStyle w:val="Compact"/>
            </w:pPr>
            <w:r>
              <w:rPr>
                <w:sz w:val="17"/>
              </w:rPr>
              <w:t xml:space="preserve">Invariants (somme des écritures nulle, pas de double paiement, pas de quittance sans état autorisé)</w:t>
            </w:r>
          </w:p>
        </w:tc>
        <w:tc>
          <w:tcPr/>
          <w:p>
            <w:pPr>
              <w:pStyle w:val="Compact"/>
            </w:pPr>
            <w:r>
              <w:rPr>
                <w:sz w:val="17"/>
              </w:rPr>
              <w:t xml:space="preserve">Tests de propriétés</w:t>
            </w:r>
          </w:p>
        </w:tc>
        <w:tc>
          <w:tcPr/>
          <w:p>
            <w:pPr>
              <w:pStyle w:val="Compact"/>
            </w:pPr>
            <w:r>
              <w:rPr>
                <w:sz w:val="17"/>
              </w:rPr>
              <w:t xml:space="preserve">0 violation</w:t>
            </w:r>
          </w:p>
        </w:tc>
      </w:tr>
      <w:tr>
        <w:tc>
          <w:tcPr>
            <w:shd w:val="clear" w:color="auto" w:fill="F5F7FB"/>
          </w:tcPr>
          <w:p>
            <w:pPr>
              <w:pStyle w:val="Compact"/>
            </w:pPr>
            <w:r>
              <w:rPr>
                <w:sz w:val="17"/>
              </w:rPr>
              <w:t xml:space="preserve">Intégration</w:t>
            </w:r>
          </w:p>
        </w:tc>
        <w:tc>
          <w:tcPr>
            <w:shd w:val="clear" w:color="auto" w:fill="F5F7FB"/>
          </w:tcPr>
          <w:p>
            <w:pPr>
              <w:pStyle w:val="Compact"/>
            </w:pPr>
            <w:r>
              <w:rPr>
                <w:sz w:val="17"/>
              </w:rPr>
              <w:t xml:space="preserve">Banques, monnaie mobile, SMS, données</w:t>
            </w:r>
          </w:p>
        </w:tc>
        <w:tc>
          <w:tcPr>
            <w:shd w:val="clear" w:color="auto" w:fill="F5F7FB"/>
          </w:tcPr>
          <w:p>
            <w:pPr>
              <w:pStyle w:val="Compact"/>
            </w:pPr>
            <w:r>
              <w:rPr>
                <w:sz w:val="17"/>
              </w:rPr>
              <w:t xml:space="preserve">Bacs à sable des partenaires, doublures</w:t>
            </w:r>
          </w:p>
        </w:tc>
        <w:tc>
          <w:tcPr>
            <w:shd w:val="clear" w:color="auto" w:fill="F5F7FB"/>
          </w:tcPr>
          <w:p>
            <w:pPr>
              <w:pStyle w:val="Compact"/>
            </w:pPr>
            <w:r>
              <w:rPr>
                <w:sz w:val="17"/>
              </w:rPr>
              <w:t xml:space="preserve">Contrats d’API validés</w:t>
            </w:r>
          </w:p>
        </w:tc>
      </w:tr>
      <w:tr>
        <w:tc>
          <w:tcPr/>
          <w:p>
            <w:pPr>
              <w:pStyle w:val="Compact"/>
            </w:pPr>
            <w:r>
              <w:rPr>
                <w:sz w:val="17"/>
              </w:rPr>
              <w:t xml:space="preserve">Bout en bout</w:t>
            </w:r>
          </w:p>
        </w:tc>
        <w:tc>
          <w:tcPr/>
          <w:p>
            <w:pPr>
              <w:pStyle w:val="Compact"/>
            </w:pPr>
            <w:r>
              <w:rPr>
                <w:sz w:val="17"/>
              </w:rPr>
              <w:t xml:space="preserve">Parcours contribuable, agent, Trésor</w:t>
            </w:r>
          </w:p>
        </w:tc>
        <w:tc>
          <w:tcPr/>
          <w:p>
            <w:pPr>
              <w:pStyle w:val="Compact"/>
            </w:pPr>
            <w:r>
              <w:rPr>
                <w:sz w:val="17"/>
              </w:rPr>
              <w:t xml:space="preserve">Automatisation navigateur et mobile</w:t>
            </w:r>
          </w:p>
        </w:tc>
        <w:tc>
          <w:tcPr/>
          <w:p>
            <w:pPr>
              <w:pStyle w:val="Compact"/>
            </w:pPr>
            <w:r>
              <w:rPr>
                <w:sz w:val="17"/>
              </w:rPr>
              <w:t xml:space="preserve">Parcours critiques verts</w:t>
            </w:r>
          </w:p>
        </w:tc>
      </w:tr>
      <w:tr>
        <w:tc>
          <w:tcPr>
            <w:shd w:val="clear" w:color="auto" w:fill="F5F7FB"/>
          </w:tcPr>
          <w:p>
            <w:pPr>
              <w:pStyle w:val="Compact"/>
            </w:pPr>
            <w:r>
              <w:rPr>
                <w:sz w:val="17"/>
              </w:rPr>
              <w:t xml:space="preserve">Hors ligne</w:t>
            </w:r>
          </w:p>
        </w:tc>
        <w:tc>
          <w:tcPr>
            <w:shd w:val="clear" w:color="auto" w:fill="F5F7FB"/>
          </w:tcPr>
          <w:p>
            <w:pPr>
              <w:pStyle w:val="Compact"/>
            </w:pPr>
            <w:r>
              <w:rPr>
                <w:sz w:val="17"/>
              </w:rPr>
              <w:t xml:space="preserve">Coupures, conflits, perte de terminal</w:t>
            </w:r>
          </w:p>
        </w:tc>
        <w:tc>
          <w:tcPr>
            <w:shd w:val="clear" w:color="auto" w:fill="F5F7FB"/>
          </w:tcPr>
          <w:p>
            <w:pPr>
              <w:pStyle w:val="Compact"/>
            </w:pPr>
            <w:r>
              <w:rPr>
                <w:sz w:val="17"/>
              </w:rPr>
              <w:t xml:space="preserve">Scénarios de chaos réseau</w:t>
            </w:r>
          </w:p>
        </w:tc>
        <w:tc>
          <w:tcPr>
            <w:shd w:val="clear" w:color="auto" w:fill="F5F7FB"/>
          </w:tcPr>
          <w:p>
            <w:pPr>
              <w:pStyle w:val="Compact"/>
            </w:pPr>
            <w:r>
              <w:rPr>
                <w:sz w:val="17"/>
              </w:rPr>
              <w:t xml:space="preserve">Aucune perte</w:t>
            </w:r>
          </w:p>
        </w:tc>
      </w:tr>
      <w:tr>
        <w:tc>
          <w:tcPr/>
          <w:p>
            <w:pPr>
              <w:pStyle w:val="Compact"/>
            </w:pPr>
            <w:r>
              <w:rPr>
                <w:sz w:val="17"/>
              </w:rPr>
              <w:t xml:space="preserve">Charge</w:t>
            </w:r>
          </w:p>
        </w:tc>
        <w:tc>
          <w:tcPr/>
          <w:p>
            <w:pPr>
              <w:pStyle w:val="Compact"/>
            </w:pPr>
            <w:r>
              <w:rPr>
                <w:sz w:val="17"/>
              </w:rPr>
              <w:t xml:space="preserve">Pic de février (20 × moyenne)</w:t>
            </w:r>
          </w:p>
        </w:tc>
        <w:tc>
          <w:tcPr/>
          <w:p>
            <w:pPr>
              <w:pStyle w:val="Compact"/>
            </w:pPr>
            <w:r>
              <w:rPr>
                <w:sz w:val="17"/>
              </w:rPr>
              <w:t xml:space="preserve">Tests de charge</w:t>
            </w:r>
          </w:p>
        </w:tc>
        <w:tc>
          <w:tcPr/>
          <w:p>
            <w:pPr>
              <w:pStyle w:val="Compact"/>
            </w:pPr>
            <w:r>
              <w:rPr>
                <w:sz w:val="17"/>
              </w:rPr>
              <w:t xml:space="preserve">SLA tenus</w:t>
            </w:r>
          </w:p>
        </w:tc>
      </w:tr>
      <w:tr>
        <w:tc>
          <w:tcPr>
            <w:shd w:val="clear" w:color="auto" w:fill="F5F7FB"/>
          </w:tcPr>
          <w:p>
            <w:pPr>
              <w:pStyle w:val="Compact"/>
            </w:pPr>
            <w:r>
              <w:rPr>
                <w:sz w:val="17"/>
              </w:rPr>
              <w:t xml:space="preserve">Sécurité</w:t>
            </w:r>
          </w:p>
        </w:tc>
        <w:tc>
          <w:tcPr>
            <w:shd w:val="clear" w:color="auto" w:fill="F5F7FB"/>
          </w:tcPr>
          <w:p>
            <w:pPr>
              <w:pStyle w:val="Compact"/>
            </w:pPr>
            <w:r>
              <w:rPr>
                <w:sz w:val="17"/>
              </w:rPr>
              <w:t xml:space="preserve">SAST, DAST, dépendances, test d’intrusion, revue de configuration</w:t>
            </w:r>
          </w:p>
        </w:tc>
        <w:tc>
          <w:tcPr>
            <w:shd w:val="clear" w:color="auto" w:fill="F5F7FB"/>
          </w:tcPr>
          <w:p>
            <w:pPr>
              <w:pStyle w:val="Compact"/>
            </w:pPr>
            <w:r>
              <w:rPr>
                <w:sz w:val="17"/>
              </w:rPr>
              <w:t xml:space="preserve">Outils + prestataire indépendant</w:t>
            </w:r>
          </w:p>
        </w:tc>
        <w:tc>
          <w:tcPr>
            <w:shd w:val="clear" w:color="auto" w:fill="F5F7FB"/>
          </w:tcPr>
          <w:p>
            <w:pPr>
              <w:pStyle w:val="Compact"/>
            </w:pPr>
            <w:r>
              <w:rPr>
                <w:sz w:val="17"/>
              </w:rPr>
              <w:t xml:space="preserve">0 critique</w:t>
            </w:r>
          </w:p>
        </w:tc>
      </w:tr>
      <w:tr>
        <w:tc>
          <w:tcPr/>
          <w:p>
            <w:pPr>
              <w:pStyle w:val="Compact"/>
            </w:pPr>
            <w:r>
              <w:rPr>
                <w:sz w:val="17"/>
              </w:rPr>
              <w:t xml:space="preserve">Accessibilité</w:t>
            </w:r>
          </w:p>
        </w:tc>
        <w:tc>
          <w:tcPr/>
          <w:p>
            <w:pPr>
              <w:pStyle w:val="Compact"/>
            </w:pPr>
            <w:r>
              <w:rPr>
                <w:sz w:val="17"/>
              </w:rPr>
              <w:t xml:space="preserve">WCAG 2.1 AA</w:t>
            </w:r>
          </w:p>
        </w:tc>
        <w:tc>
          <w:tcPr/>
          <w:p>
            <w:pPr>
              <w:pStyle w:val="Compact"/>
            </w:pPr>
            <w:r>
              <w:rPr>
                <w:sz w:val="17"/>
              </w:rPr>
              <w:t xml:space="preserve">Audits automatiques et manuels</w:t>
            </w:r>
          </w:p>
        </w:tc>
        <w:tc>
          <w:tcPr/>
          <w:p>
            <w:pPr>
              <w:pStyle w:val="Compact"/>
            </w:pPr>
            <w:r>
              <w:rPr>
                <w:sz w:val="17"/>
              </w:rPr>
              <w:t xml:space="preserve">Conforme</w:t>
            </w:r>
          </w:p>
        </w:tc>
      </w:tr>
      <w:tr>
        <w:tc>
          <w:tcPr>
            <w:shd w:val="clear" w:color="auto" w:fill="F5F7FB"/>
          </w:tcPr>
          <w:p>
            <w:pPr>
              <w:pStyle w:val="Compact"/>
            </w:pPr>
            <w:r>
              <w:rPr>
                <w:sz w:val="17"/>
              </w:rPr>
              <w:t xml:space="preserve">Linguistique</w:t>
            </w:r>
          </w:p>
        </w:tc>
        <w:tc>
          <w:tcPr>
            <w:shd w:val="clear" w:color="auto" w:fill="F5F7FB"/>
          </w:tcPr>
          <w:p>
            <w:pPr>
              <w:pStyle w:val="Compact"/>
            </w:pPr>
            <w:r>
              <w:rPr>
                <w:sz w:val="17"/>
              </w:rPr>
              <w:t xml:space="preserve">Traductions, SVI</w:t>
            </w:r>
          </w:p>
        </w:tc>
        <w:tc>
          <w:tcPr>
            <w:shd w:val="clear" w:color="auto" w:fill="F5F7FB"/>
          </w:tcPr>
          <w:p>
            <w:pPr>
              <w:pStyle w:val="Compact"/>
            </w:pPr>
            <w:r>
              <w:rPr>
                <w:sz w:val="17"/>
              </w:rPr>
              <w:t xml:space="preserve">Relecteurs natifs</w:t>
            </w:r>
          </w:p>
        </w:tc>
        <w:tc>
          <w:tcPr>
            <w:shd w:val="clear" w:color="auto" w:fill="F5F7FB"/>
          </w:tcPr>
          <w:p>
            <w:pPr>
              <w:pStyle w:val="Compact"/>
            </w:pPr>
            <w:r>
              <w:rPr>
                <w:sz w:val="17"/>
              </w:rPr>
              <w:t xml:space="preserve">Complétude 100 %</w:t>
            </w:r>
          </w:p>
        </w:tc>
      </w:tr>
      <w:tr>
        <w:tc>
          <w:tcPr/>
          <w:p>
            <w:pPr>
              <w:pStyle w:val="Compact"/>
            </w:pPr>
            <w:r>
              <w:rPr>
                <w:sz w:val="17"/>
              </w:rPr>
              <w:t xml:space="preserve">Reprise</w:t>
            </w:r>
          </w:p>
        </w:tc>
        <w:tc>
          <w:tcPr/>
          <w:p>
            <w:pPr>
              <w:pStyle w:val="Compact"/>
            </w:pPr>
            <w:r>
              <w:rPr>
                <w:sz w:val="17"/>
              </w:rPr>
              <w:t xml:space="preserve">Restauration, bascule</w:t>
            </w:r>
          </w:p>
        </w:tc>
        <w:tc>
          <w:tcPr/>
          <w:p>
            <w:pPr>
              <w:pStyle w:val="Compact"/>
            </w:pPr>
            <w:r>
              <w:rPr>
                <w:sz w:val="17"/>
              </w:rPr>
              <w:t xml:space="preserve">Exercices</w:t>
            </w:r>
          </w:p>
        </w:tc>
        <w:tc>
          <w:tcPr/>
          <w:p>
            <w:pPr>
              <w:pStyle w:val="Compact"/>
            </w:pPr>
            <w:r>
              <w:rPr>
                <w:sz w:val="17"/>
              </w:rPr>
              <w:t xml:space="preserve">RTO/RPO tenus</w:t>
            </w:r>
          </w:p>
        </w:tc>
      </w:tr>
      <w:tr>
        <w:tc>
          <w:tcPr>
            <w:shd w:val="clear" w:color="auto" w:fill="F5F7FB"/>
          </w:tcPr>
          <w:p>
            <w:pPr>
              <w:pStyle w:val="Compact"/>
            </w:pPr>
            <w:r>
              <w:rPr>
                <w:sz w:val="17"/>
              </w:rPr>
              <w:t xml:space="preserve">Acceptation</w:t>
            </w:r>
          </w:p>
        </w:tc>
        <w:tc>
          <w:tcPr>
            <w:shd w:val="clear" w:color="auto" w:fill="F5F7FB"/>
          </w:tcPr>
          <w:p>
            <w:pPr>
              <w:pStyle w:val="Compact"/>
            </w:pPr>
            <w:r>
              <w:rPr>
                <w:sz w:val="17"/>
              </w:rPr>
              <w:t xml:space="preserve">Critères ch. 41</w:t>
            </w:r>
          </w:p>
        </w:tc>
        <w:tc>
          <w:tcPr>
            <w:shd w:val="clear" w:color="auto" w:fill="F5F7FB"/>
          </w:tcPr>
          <w:p>
            <w:pPr>
              <w:pStyle w:val="Compact"/>
            </w:pPr>
            <w:r>
              <w:rPr>
                <w:sz w:val="17"/>
              </w:rPr>
              <w:t xml:space="preserve">Recette par les métiers</w:t>
            </w:r>
          </w:p>
        </w:tc>
        <w:tc>
          <w:tcPr>
            <w:shd w:val="clear" w:color="auto" w:fill="F5F7FB"/>
          </w:tcPr>
          <w:p>
            <w:pPr>
              <w:pStyle w:val="Compact"/>
            </w:pPr>
            <w:r>
              <w:rPr>
                <w:sz w:val="17"/>
              </w:rPr>
              <w:t xml:space="preserve">Signée</w:t>
            </w:r>
          </w:p>
        </w:tc>
      </w:tr>
      <w:tr>
        <w:tc>
          <w:tcPr/>
          <w:p>
            <w:pPr>
              <w:pStyle w:val="Compact"/>
            </w:pPr>
            <w:r>
              <w:rPr>
                <w:sz w:val="17"/>
              </w:rPr>
              <w:t xml:space="preserve">Réversibilité</w:t>
            </w:r>
          </w:p>
        </w:tc>
        <w:tc>
          <w:tcPr/>
          <w:p>
            <w:pPr>
              <w:pStyle w:val="Compact"/>
            </w:pPr>
            <w:r>
              <w:rPr>
                <w:sz w:val="17"/>
              </w:rPr>
              <w:t xml:space="preserve">Restauration par un tiers</w:t>
            </w:r>
          </w:p>
        </w:tc>
        <w:tc>
          <w:tcPr/>
          <w:p>
            <w:pPr>
              <w:pStyle w:val="Compact"/>
            </w:pPr>
            <w:r>
              <w:rPr>
                <w:sz w:val="17"/>
              </w:rPr>
              <w:t xml:space="preserve">Exercice</w:t>
            </w:r>
          </w:p>
        </w:tc>
        <w:tc>
          <w:tcPr/>
          <w:p>
            <w:pPr>
              <w:pStyle w:val="Compact"/>
            </w:pPr>
            <w:r>
              <w:rPr>
                <w:sz w:val="17"/>
              </w:rPr>
              <w:t xml:space="preserve">Réussi</w:t>
            </w:r>
          </w:p>
        </w:tc>
      </w:tr>
    </w:tbl>
    <w:bookmarkEnd w:id="357"/>
    <w:bookmarkStart w:id="362" w:name="plan-pilote-de-180-jours"/>
    <w:p>
      <w:pPr>
        <w:pStyle w:val="Heading1"/>
      </w:pPr>
      <w:r>
        <w:t xml:space="preserve">45. Plan pilote de 180 jours</w:t>
      </w:r>
    </w:p>
    <w:bookmarkStart w:id="358" w:name="communes"/>
    <w:p>
      <w:pPr>
        <w:pStyle w:val="Heading2"/>
      </w:pPr>
      <w:r>
        <w:t xml:space="preserve">45.1 Communes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Commune</w:t>
            </w:r>
          </w:p>
        </w:tc>
        <w:tc>
          <w:tcPr>
            <w:shd w:val="clear" w:color="auto" w:fill="232C6B"/>
          </w:tcPr>
          <w:p>
            <w:pPr>
              <w:pStyle w:val="Compact"/>
            </w:pPr>
            <w:r>
              <w:rPr>
                <w:b/>
                <w:color w:val="FFFFFF"/>
                <w:sz w:val="17"/>
              </w:rPr>
              <w:t xml:space="preserve">Profil</w:t>
            </w:r>
          </w:p>
        </w:tc>
        <w:tc>
          <w:tcPr>
            <w:shd w:val="clear" w:color="auto" w:fill="232C6B"/>
          </w:tcPr>
          <w:p>
            <w:pPr>
              <w:pStyle w:val="Compact"/>
            </w:pPr>
            <w:r>
              <w:rPr>
                <w:b/>
                <w:color w:val="FFFFFF"/>
                <w:sz w:val="17"/>
              </w:rPr>
              <w:t xml:space="preserve">Intérêt pour le pilote</w:t>
            </w:r>
          </w:p>
        </w:tc>
      </w:tr>
      <w:tr>
        <w:tc>
          <w:tcPr/>
          <w:p>
            <w:pPr>
              <w:pStyle w:val="Compact"/>
            </w:pPr>
            <w:r>
              <w:rPr>
                <w:b/>
                <w:bCs/>
                <w:sz w:val="17"/>
              </w:rPr>
              <w:t xml:space="preserve">Gombe</w:t>
            </w:r>
          </w:p>
        </w:tc>
        <w:tc>
          <w:tcPr/>
          <w:p>
            <w:pPr>
              <w:pStyle w:val="Compact"/>
            </w:pPr>
            <w:r>
              <w:rPr>
                <w:sz w:val="17"/>
              </w:rPr>
              <w:t xml:space="preserve">Centre administratif et d’affaires, forte valeur foncière</w:t>
            </w:r>
          </w:p>
        </w:tc>
        <w:tc>
          <w:tcPr/>
          <w:p>
            <w:pPr>
              <w:pStyle w:val="Compact"/>
            </w:pPr>
            <w:r>
              <w:rPr>
                <w:sz w:val="17"/>
              </w:rPr>
              <w:t xml:space="preserve">Grands redevables, publicité, stationnement, bureaux loués</w:t>
            </w:r>
          </w:p>
        </w:tc>
      </w:tr>
      <w:tr>
        <w:tc>
          <w:tcPr>
            <w:shd w:val="clear" w:color="auto" w:fill="F5F7FB"/>
          </w:tcPr>
          <w:p>
            <w:pPr>
              <w:pStyle w:val="Compact"/>
            </w:pPr>
            <w:r>
              <w:rPr>
                <w:b/>
                <w:bCs/>
                <w:sz w:val="17"/>
              </w:rPr>
              <w:t xml:space="preserve">Limete</w:t>
            </w:r>
          </w:p>
        </w:tc>
        <w:tc>
          <w:tcPr>
            <w:shd w:val="clear" w:color="auto" w:fill="F5F7FB"/>
          </w:tcPr>
          <w:p>
            <w:pPr>
              <w:pStyle w:val="Compact"/>
            </w:pPr>
            <w:r>
              <w:rPr>
                <w:sz w:val="17"/>
              </w:rPr>
              <w:t xml:space="preserve">Mixte résidentiel, industriel et commercial</w:t>
            </w:r>
          </w:p>
        </w:tc>
        <w:tc>
          <w:tcPr>
            <w:shd w:val="clear" w:color="auto" w:fill="F5F7FB"/>
          </w:tcPr>
          <w:p>
            <w:pPr>
              <w:pStyle w:val="Compact"/>
            </w:pPr>
            <w:r>
              <w:rPr>
                <w:sz w:val="17"/>
              </w:rPr>
              <w:t xml:space="preserve">Locations, entrepôts, commerces</w:t>
            </w:r>
          </w:p>
        </w:tc>
      </w:tr>
      <w:tr>
        <w:tc>
          <w:tcPr/>
          <w:p>
            <w:pPr>
              <w:pStyle w:val="Compact"/>
            </w:pPr>
            <w:r>
              <w:rPr>
                <w:b/>
                <w:bCs/>
                <w:sz w:val="17"/>
              </w:rPr>
              <w:t xml:space="preserve">Kalamu</w:t>
            </w:r>
          </w:p>
        </w:tc>
        <w:tc>
          <w:tcPr/>
          <w:p>
            <w:pPr>
              <w:pStyle w:val="Compact"/>
            </w:pPr>
            <w:r>
              <w:rPr>
                <w:sz w:val="17"/>
              </w:rPr>
              <w:t xml:space="preserve">Densément résidentielle, commerce populaire</w:t>
            </w:r>
          </w:p>
        </w:tc>
        <w:tc>
          <w:tcPr/>
          <w:p>
            <w:pPr>
              <w:pStyle w:val="Compact"/>
            </w:pPr>
            <w:r>
              <w:rPr>
                <w:sz w:val="17"/>
              </w:rPr>
              <w:t xml:space="preserve">Location résidentielle, marchés, informalité</w:t>
            </w:r>
          </w:p>
        </w:tc>
      </w:tr>
      <w:tr>
        <w:tc>
          <w:tcPr>
            <w:shd w:val="clear" w:color="auto" w:fill="F5F7FB"/>
          </w:tcPr>
          <w:p>
            <w:pPr>
              <w:pStyle w:val="Compact"/>
            </w:pPr>
            <w:r>
              <w:rPr>
                <w:b/>
                <w:bCs/>
                <w:sz w:val="17"/>
              </w:rPr>
              <w:t xml:space="preserve">Ngaliema</w:t>
            </w:r>
          </w:p>
        </w:tc>
        <w:tc>
          <w:tcPr>
            <w:shd w:val="clear" w:color="auto" w:fill="F5F7FB"/>
          </w:tcPr>
          <w:p>
            <w:pPr>
              <w:pStyle w:val="Compact"/>
            </w:pPr>
            <w:r>
              <w:rPr>
                <w:sz w:val="17"/>
              </w:rPr>
              <w:t xml:space="preserve">Contrastée : quartiers aisés et quartiers populaires, zones d’extension</w:t>
            </w:r>
          </w:p>
        </w:tc>
        <w:tc>
          <w:tcPr>
            <w:shd w:val="clear" w:color="auto" w:fill="F5F7FB"/>
          </w:tcPr>
          <w:p>
            <w:pPr>
              <w:pStyle w:val="Compact"/>
            </w:pPr>
            <w:r>
              <w:rPr>
                <w:sz w:val="17"/>
              </w:rPr>
              <w:t xml:space="preserve">Hétérogénéité foncière, constructions nouvelles</w:t>
            </w:r>
          </w:p>
        </w:tc>
      </w:tr>
    </w:tbl>
    <w:p>
      <w:pPr>
        <w:pStyle w:val="BodyText"/>
      </w:pPr>
      <w:r>
        <w:t xml:space="preserve">Chaque commune comprend des quartiers traités et des quartiers de comparaison appariés (profil semblable), pour mesurer l’effet réel du programme.</w:t>
      </w:r>
    </w:p>
    <w:bookmarkEnd w:id="358"/>
    <w:bookmarkStart w:id="359" w:name="séquence"/>
    <w:p>
      <w:pPr>
        <w:pStyle w:val="Heading2"/>
      </w:pPr>
      <w:r>
        <w:t xml:space="preserve">45.2 Séquence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Période</w:t>
            </w:r>
          </w:p>
        </w:tc>
        <w:tc>
          <w:tcPr>
            <w:shd w:val="clear" w:color="auto" w:fill="232C6B"/>
          </w:tcPr>
          <w:p>
            <w:pPr>
              <w:pStyle w:val="Compact"/>
            </w:pPr>
            <w:r>
              <w:rPr>
                <w:b/>
                <w:color w:val="FFFFFF"/>
                <w:sz w:val="17"/>
              </w:rPr>
              <w:t xml:space="preserve">Activité</w:t>
            </w:r>
          </w:p>
        </w:tc>
      </w:tr>
      <w:tr>
        <w:tc>
          <w:tcPr/>
          <w:p>
            <w:pPr>
              <w:pStyle w:val="Compact"/>
            </w:pPr>
            <w:r>
              <w:rPr>
                <w:sz w:val="17"/>
              </w:rPr>
              <w:t xml:space="preserve">J−120 à J0 (oct. 2026 – janv. 2027)</w:t>
            </w:r>
          </w:p>
        </w:tc>
        <w:tc>
          <w:tcPr/>
          <w:p>
            <w:pPr>
              <w:pStyle w:val="Compact"/>
            </w:pPr>
            <w:r>
              <w:rPr>
                <w:sz w:val="17"/>
              </w:rPr>
              <w:t xml:space="preserve">Recensement R0 des quartiers traités ; communication ; conventions de paiement</w:t>
            </w:r>
          </w:p>
        </w:tc>
      </w:tr>
      <w:tr>
        <w:tc>
          <w:tcPr>
            <w:shd w:val="clear" w:color="auto" w:fill="F5F7FB"/>
          </w:tcPr>
          <w:p>
            <w:pPr>
              <w:pStyle w:val="Compact"/>
            </w:pPr>
            <w:r>
              <w:rPr>
                <w:sz w:val="17"/>
              </w:rPr>
              <w:t xml:space="preserve">J0 – J30 (févr. 2027)</w:t>
            </w:r>
          </w:p>
        </w:tc>
        <w:tc>
          <w:tcPr>
            <w:shd w:val="clear" w:color="auto" w:fill="F5F7FB"/>
          </w:tcPr>
          <w:p>
            <w:pPr>
              <w:pStyle w:val="Compact"/>
            </w:pPr>
            <w:r>
              <w:rPr>
                <w:sz w:val="17"/>
              </w:rPr>
              <w:t xml:space="preserve">Campagne IF/IRL (test partiel) ; avis pré-remplis ; canaux de paiement</w:t>
            </w:r>
          </w:p>
        </w:tc>
      </w:tr>
      <w:tr>
        <w:tc>
          <w:tcPr/>
          <w:p>
            <w:pPr>
              <w:pStyle w:val="Compact"/>
            </w:pPr>
            <w:r>
              <w:rPr>
                <w:sz w:val="17"/>
              </w:rPr>
              <w:t xml:space="preserve">J30 – J90</w:t>
            </w:r>
          </w:p>
        </w:tc>
        <w:tc>
          <w:tcPr/>
          <w:p>
            <w:pPr>
              <w:pStyle w:val="Compact"/>
            </w:pPr>
            <w:r>
              <w:rPr>
                <w:sz w:val="17"/>
              </w:rPr>
              <w:t xml:space="preserve">R1 en production ; rapprochement complet ; réclamations ; premières vérifications ciblées</w:t>
            </w:r>
          </w:p>
        </w:tc>
      </w:tr>
      <w:tr>
        <w:tc>
          <w:tcPr>
            <w:shd w:val="clear" w:color="auto" w:fill="F5F7FB"/>
          </w:tcPr>
          <w:p>
            <w:pPr>
              <w:pStyle w:val="Compact"/>
            </w:pPr>
            <w:r>
              <w:rPr>
                <w:sz w:val="17"/>
              </w:rPr>
              <w:t xml:space="preserve">J90</w:t>
            </w:r>
          </w:p>
        </w:tc>
        <w:tc>
          <w:tcPr>
            <w:shd w:val="clear" w:color="auto" w:fill="F5F7FB"/>
          </w:tcPr>
          <w:p>
            <w:pPr>
              <w:pStyle w:val="Compact"/>
            </w:pPr>
            <w:r>
              <w:rPr>
                <w:sz w:val="17"/>
              </w:rPr>
              <w:t xml:space="preserve">Rapport intermédiaire</w:t>
            </w:r>
          </w:p>
        </w:tc>
      </w:tr>
      <w:tr>
        <w:tc>
          <w:tcPr/>
          <w:p>
            <w:pPr>
              <w:pStyle w:val="Compact"/>
            </w:pPr>
            <w:r>
              <w:rPr>
                <w:sz w:val="17"/>
              </w:rPr>
              <w:t xml:space="preserve">J90 – J150</w:t>
            </w:r>
          </w:p>
        </w:tc>
        <w:tc>
          <w:tcPr/>
          <w:p>
            <w:pPr>
              <w:pStyle w:val="Compact"/>
            </w:pPr>
            <w:r>
              <w:rPr>
                <w:sz w:val="17"/>
              </w:rPr>
              <w:t xml:space="preserve">Extension aux véhicules et aux quittances de titres ; campagne de régularisation si acte</w:t>
            </w:r>
          </w:p>
        </w:tc>
      </w:tr>
      <w:tr>
        <w:tc>
          <w:tcPr>
            <w:shd w:val="clear" w:color="auto" w:fill="F5F7FB"/>
          </w:tcPr>
          <w:p>
            <w:pPr>
              <w:pStyle w:val="Compact"/>
            </w:pPr>
            <w:r>
              <w:rPr>
                <w:sz w:val="17"/>
              </w:rPr>
              <w:t xml:space="preserve">J150 – J180</w:t>
            </w:r>
          </w:p>
        </w:tc>
        <w:tc>
          <w:tcPr>
            <w:shd w:val="clear" w:color="auto" w:fill="F5F7FB"/>
          </w:tcPr>
          <w:p>
            <w:pPr>
              <w:pStyle w:val="Compact"/>
            </w:pPr>
            <w:r>
              <w:rPr>
                <w:sz w:val="17"/>
              </w:rPr>
              <w:t xml:space="preserve">Évaluation indépendante</w:t>
            </w:r>
          </w:p>
        </w:tc>
      </w:tr>
      <w:tr>
        <w:tc>
          <w:tcPr/>
          <w:p>
            <w:pPr>
              <w:pStyle w:val="Compact"/>
            </w:pPr>
            <w:r>
              <w:rPr>
                <w:sz w:val="17"/>
              </w:rPr>
              <w:t xml:space="preserve">J180</w:t>
            </w:r>
          </w:p>
        </w:tc>
        <w:tc>
          <w:tcPr/>
          <w:p>
            <w:pPr>
              <w:pStyle w:val="Compact"/>
            </w:pPr>
            <w:r>
              <w:rPr>
                <w:sz w:val="17"/>
              </w:rPr>
              <w:t xml:space="preserve">Décision de généralisation</w:t>
            </w:r>
          </w:p>
        </w:tc>
      </w:tr>
    </w:tbl>
    <w:bookmarkEnd w:id="359"/>
    <w:bookmarkStart w:id="360" w:name="critères-de-succès"/>
    <w:p>
      <w:pPr>
        <w:pStyle w:val="Heading2"/>
      </w:pPr>
      <w:r>
        <w:t xml:space="preserve">45.3 Critères de succès</w:t>
      </w:r>
    </w:p>
    <w:p>
      <w:pPr>
        <w:pStyle w:val="Compact"/>
        <w:numPr>
          <w:ilvl w:val="0"/>
          <w:numId w:val="1023"/>
        </w:numPr>
      </w:pPr>
      <w:r>
        <w:t xml:space="preserve">Couverture ≥ 90 % des objets des quartiers traités ;</w:t>
      </w:r>
    </w:p>
    <w:p>
      <w:pPr>
        <w:pStyle w:val="Compact"/>
        <w:numPr>
          <w:ilvl w:val="0"/>
          <w:numId w:val="1023"/>
        </w:numPr>
      </w:pPr>
      <w:r>
        <w:t xml:space="preserve">Rapprochement automatique ≥ 95 % à J+1 ;</w:t>
      </w:r>
    </w:p>
    <w:p>
      <w:pPr>
        <w:pStyle w:val="Compact"/>
        <w:numPr>
          <w:ilvl w:val="0"/>
          <w:numId w:val="1023"/>
        </w:numPr>
      </w:pPr>
      <w:r>
        <w:t xml:space="preserve">Aucune espèce hors canal agréé non instruite ;</w:t>
      </w:r>
    </w:p>
    <w:p>
      <w:pPr>
        <w:pStyle w:val="Compact"/>
        <w:numPr>
          <w:ilvl w:val="0"/>
          <w:numId w:val="1023"/>
        </w:numPr>
      </w:pPr>
      <w:r>
        <w:t xml:space="preserve">RANV positive et significative dans les quartiers traités par rapport aux quartiers de comparaison ;</w:t>
      </w:r>
    </w:p>
    <w:p>
      <w:pPr>
        <w:pStyle w:val="Compact"/>
        <w:numPr>
          <w:ilvl w:val="0"/>
          <w:numId w:val="1023"/>
        </w:numPr>
      </w:pPr>
      <w:r>
        <w:t xml:space="preserve">Coût de collecte par franc recouvré inférieur à la base ;</w:t>
      </w:r>
    </w:p>
    <w:p>
      <w:pPr>
        <w:pStyle w:val="Compact"/>
        <w:numPr>
          <w:ilvl w:val="0"/>
          <w:numId w:val="1023"/>
        </w:numPr>
      </w:pPr>
      <w:r>
        <w:t xml:space="preserve">Délai de traitement des réclamations dans le délai légal ;</w:t>
      </w:r>
    </w:p>
    <w:p>
      <w:pPr>
        <w:pStyle w:val="Compact"/>
        <w:numPr>
          <w:ilvl w:val="0"/>
          <w:numId w:val="1023"/>
        </w:numPr>
      </w:pPr>
      <w:r>
        <w:t xml:space="preserve">Satisfaction ≥ 4/5 ;</w:t>
      </w:r>
    </w:p>
    <w:p>
      <w:pPr>
        <w:pStyle w:val="Compact"/>
        <w:numPr>
          <w:ilvl w:val="0"/>
          <w:numId w:val="1023"/>
        </w:numPr>
      </w:pPr>
      <w:r>
        <w:t xml:space="preserve">Aucun incident de sécurité majeur ;</w:t>
      </w:r>
    </w:p>
    <w:p>
      <w:pPr>
        <w:pStyle w:val="Compact"/>
        <w:numPr>
          <w:ilvl w:val="0"/>
          <w:numId w:val="1023"/>
        </w:numPr>
      </w:pPr>
      <w:r>
        <w:t xml:space="preserve">Aucune liquidation fondée sur une règle non certifiée.</w:t>
      </w:r>
    </w:p>
    <w:bookmarkEnd w:id="360"/>
    <w:bookmarkStart w:id="361" w:name="protocole-dévaluation"/>
    <w:p>
      <w:pPr>
        <w:pStyle w:val="Heading2"/>
      </w:pPr>
      <w:r>
        <w:t xml:space="preserve">45.4 Protocole d’évaluation</w:t>
      </w:r>
    </w:p>
    <w:p>
      <w:pPr>
        <w:pStyle w:val="FirstParagraph"/>
      </w:pPr>
      <w:r>
        <w:t xml:space="preserve">Évaluateur indépendant sélectionné en phase 0 ; plan d’analyse préenregistré ; accès en lecture aux données ; rapport public agrégé. Tests intégrés : effet de la simplicité du forfait, effet de l’appui des relais de quartier, effet des rappels SMS dans la langue du destinataire.</w:t>
      </w:r>
    </w:p>
    <w:bookmarkEnd w:id="361"/>
    <w:bookmarkEnd w:id="362"/>
    <w:bookmarkStart w:id="363" w:name="plan-des-100-premiers-jours"/>
    <w:p>
      <w:pPr>
        <w:pStyle w:val="Heading1"/>
      </w:pPr>
      <w:r>
        <w:t xml:space="preserve">46. Plan des 100 premiers jours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Jours</w:t>
            </w:r>
          </w:p>
        </w:tc>
        <w:tc>
          <w:tcPr>
            <w:shd w:val="clear" w:color="auto" w:fill="232C6B"/>
          </w:tcPr>
          <w:p>
            <w:pPr>
              <w:pStyle w:val="Compact"/>
            </w:pPr>
            <w:r>
              <w:rPr>
                <w:b/>
                <w:color w:val="FFFFFF"/>
                <w:sz w:val="17"/>
              </w:rPr>
              <w:t xml:space="preserve">Jalons</w:t>
            </w:r>
          </w:p>
        </w:tc>
      </w:tr>
      <w:tr>
        <w:tc>
          <w:tcPr/>
          <w:p>
            <w:pPr>
              <w:pStyle w:val="Compact"/>
            </w:pPr>
            <w:r>
              <w:rPr>
                <w:sz w:val="17"/>
              </w:rPr>
              <w:t xml:space="preserve">J1–J10</w:t>
            </w:r>
          </w:p>
        </w:tc>
        <w:tc>
          <w:tcPr/>
          <w:p>
            <w:pPr>
              <w:pStyle w:val="Compact"/>
            </w:pPr>
            <w:r>
              <w:rPr>
                <w:sz w:val="17"/>
              </w:rPr>
              <w:t xml:space="preserve">Arrêté de mandat ; comité de pilotage ; directeur de programme ; DPD ; lettre de mission juridique</w:t>
            </w:r>
          </w:p>
        </w:tc>
      </w:tr>
      <w:tr>
        <w:tc>
          <w:tcPr>
            <w:shd w:val="clear" w:color="auto" w:fill="F5F7FB"/>
          </w:tcPr>
          <w:p>
            <w:pPr>
              <w:pStyle w:val="Compact"/>
            </w:pPr>
            <w:r>
              <w:rPr>
                <w:sz w:val="17"/>
              </w:rPr>
              <w:t xml:space="preserve">J11–J30</w:t>
            </w:r>
          </w:p>
        </w:tc>
        <w:tc>
          <w:tcPr>
            <w:shd w:val="clear" w:color="auto" w:fill="F5F7FB"/>
          </w:tcPr>
          <w:p>
            <w:pPr>
              <w:pStyle w:val="Compact"/>
            </w:pPr>
            <w:r>
              <w:rPr>
                <w:sz w:val="17"/>
              </w:rPr>
              <w:t xml:space="preserve">Inventaire des recettes, comptes et systèmes ; rencontre DGIPK/DGTK ; choix des quartiers ; hébergement commandé ; cahier des charges de l’évaluateur</w:t>
            </w:r>
          </w:p>
        </w:tc>
      </w:tr>
      <w:tr>
        <w:tc>
          <w:tcPr/>
          <w:p>
            <w:pPr>
              <w:pStyle w:val="Compact"/>
            </w:pPr>
            <w:r>
              <w:rPr>
                <w:sz w:val="17"/>
              </w:rPr>
              <w:t xml:space="preserve">J31–J45</w:t>
            </w:r>
          </w:p>
        </w:tc>
        <w:tc>
          <w:tcPr/>
          <w:p>
            <w:pPr>
              <w:pStyle w:val="Compact"/>
            </w:pPr>
            <w:r>
              <w:rPr>
                <w:sz w:val="17"/>
              </w:rPr>
              <w:t xml:space="preserve">Relevé juridique v1 (IF, IRL, véhicules) ; base de référence 2023–2025 ; architecture validée (G1)</w:t>
            </w:r>
          </w:p>
        </w:tc>
      </w:tr>
      <w:tr>
        <w:tc>
          <w:tcPr>
            <w:shd w:val="clear" w:color="auto" w:fill="F5F7FB"/>
          </w:tcPr>
          <w:p>
            <w:pPr>
              <w:pStyle w:val="Compact"/>
            </w:pPr>
            <w:r>
              <w:rPr>
                <w:sz w:val="17"/>
              </w:rPr>
              <w:t xml:space="preserve">J46–J60</w:t>
            </w:r>
          </w:p>
        </w:tc>
        <w:tc>
          <w:tcPr>
            <w:shd w:val="clear" w:color="auto" w:fill="F5F7FB"/>
          </w:tcPr>
          <w:p>
            <w:pPr>
              <w:pStyle w:val="Compact"/>
            </w:pPr>
            <w:r>
              <w:rPr>
                <w:sz w:val="17"/>
              </w:rPr>
              <w:t xml:space="preserve">R0 en recette ; formation des premiers agents ; plaques commandées ; conventions bancaires en négociation</w:t>
            </w:r>
          </w:p>
        </w:tc>
      </w:tr>
      <w:tr>
        <w:tc>
          <w:tcPr/>
          <w:p>
            <w:pPr>
              <w:pStyle w:val="Compact"/>
            </w:pPr>
            <w:r>
              <w:rPr>
                <w:sz w:val="17"/>
              </w:rPr>
              <w:t xml:space="preserve">J61–J75</w:t>
            </w:r>
          </w:p>
        </w:tc>
        <w:tc>
          <w:tcPr/>
          <w:p>
            <w:pPr>
              <w:pStyle w:val="Compact"/>
            </w:pPr>
            <w:r>
              <w:rPr>
                <w:sz w:val="17"/>
              </w:rPr>
              <w:t xml:space="preserve">R0 en production ; démarrage du recensement ; analyse d’impact protection des données</w:t>
            </w:r>
          </w:p>
        </w:tc>
      </w:tr>
      <w:tr>
        <w:tc>
          <w:tcPr>
            <w:shd w:val="clear" w:color="auto" w:fill="F5F7FB"/>
          </w:tcPr>
          <w:p>
            <w:pPr>
              <w:pStyle w:val="Compact"/>
            </w:pPr>
            <w:r>
              <w:rPr>
                <w:sz w:val="17"/>
              </w:rPr>
              <w:t xml:space="preserve">J76–J90</w:t>
            </w:r>
          </w:p>
        </w:tc>
        <w:tc>
          <w:tcPr>
            <w:shd w:val="clear" w:color="auto" w:fill="F5F7FB"/>
          </w:tcPr>
          <w:p>
            <w:pPr>
              <w:pStyle w:val="Compact"/>
            </w:pPr>
            <w:r>
              <w:rPr>
                <w:sz w:val="17"/>
              </w:rPr>
              <w:t xml:space="preserve">30 % des quartiers recensés ; fiches de règles IF/IRL certifiées ; modèles d’avis validés</w:t>
            </w:r>
          </w:p>
        </w:tc>
      </w:tr>
      <w:tr>
        <w:tc>
          <w:tcPr/>
          <w:p>
            <w:pPr>
              <w:pStyle w:val="Compact"/>
            </w:pPr>
            <w:r>
              <w:rPr>
                <w:sz w:val="17"/>
              </w:rPr>
              <w:t xml:space="preserve">J91–J100</w:t>
            </w:r>
          </w:p>
        </w:tc>
        <w:tc>
          <w:tcPr/>
          <w:p>
            <w:pPr>
              <w:pStyle w:val="Compact"/>
            </w:pPr>
            <w:r>
              <w:rPr>
                <w:sz w:val="17"/>
              </w:rPr>
              <w:t xml:space="preserve">Revue de fin de phase ; décision sur la voie de la campagne de février (R1 ou export) ; rapport au Gouverneur</w:t>
            </w:r>
          </w:p>
        </w:tc>
      </w:tr>
    </w:tbl>
    <w:bookmarkEnd w:id="363"/>
    <w:bookmarkStart w:id="364" w:name="Xe3d0c9014b287ff8890b181549e433a093e0dd9"/>
    <w:p>
      <w:pPr>
        <w:pStyle w:val="Heading1"/>
      </w:pPr>
      <w:r>
        <w:t xml:space="preserve">47. Décisions requérant une action immédiate du Gouvernement</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w:t>
            </w:r>
          </w:p>
        </w:tc>
        <w:tc>
          <w:tcPr>
            <w:shd w:val="clear" w:color="auto" w:fill="232C6B"/>
          </w:tcPr>
          <w:p>
            <w:pPr>
              <w:pStyle w:val="Compact"/>
            </w:pPr>
            <w:r>
              <w:rPr>
                <w:b/>
                <w:color w:val="FFFFFF"/>
                <w:sz w:val="17"/>
              </w:rPr>
              <w:t xml:space="preserve">Décision</w:t>
            </w:r>
          </w:p>
        </w:tc>
        <w:tc>
          <w:tcPr>
            <w:shd w:val="clear" w:color="auto" w:fill="232C6B"/>
          </w:tcPr>
          <w:p>
            <w:pPr>
              <w:pStyle w:val="Compact"/>
            </w:pPr>
            <w:r>
              <w:rPr>
                <w:b/>
                <w:color w:val="FFFFFF"/>
                <w:sz w:val="17"/>
              </w:rPr>
              <w:t xml:space="preserve">Autorité</w:t>
            </w:r>
          </w:p>
        </w:tc>
        <w:tc>
          <w:tcPr>
            <w:shd w:val="clear" w:color="auto" w:fill="232C6B"/>
          </w:tcPr>
          <w:p>
            <w:pPr>
              <w:pStyle w:val="Compact"/>
            </w:pPr>
            <w:r>
              <w:rPr>
                <w:b/>
                <w:color w:val="FFFFFF"/>
                <w:sz w:val="17"/>
              </w:rPr>
              <w:t xml:space="preserve">Échéance</w:t>
            </w:r>
          </w:p>
        </w:tc>
      </w:tr>
      <w:tr>
        <w:tc>
          <w:tcPr/>
          <w:p>
            <w:pPr>
              <w:pStyle w:val="Compact"/>
            </w:pPr>
            <w:r>
              <w:rPr>
                <w:sz w:val="17"/>
              </w:rPr>
              <w:t xml:space="preserve">1</w:t>
            </w:r>
          </w:p>
        </w:tc>
        <w:tc>
          <w:tcPr/>
          <w:p>
            <w:pPr>
              <w:pStyle w:val="Compact"/>
            </w:pPr>
            <w:r>
              <w:rPr>
                <w:sz w:val="17"/>
              </w:rPr>
              <w:t xml:space="preserve">Mandater KINSHASA MOSOLO comme architecture faîtière des recettes provinciales et installer le comité de pilotage</w:t>
            </w:r>
          </w:p>
        </w:tc>
        <w:tc>
          <w:tcPr/>
          <w:p>
            <w:pPr>
              <w:pStyle w:val="Compact"/>
            </w:pPr>
            <w:r>
              <w:rPr>
                <w:sz w:val="17"/>
              </w:rPr>
              <w:t xml:space="preserve">Gouverneur</w:t>
            </w:r>
          </w:p>
        </w:tc>
        <w:tc>
          <w:tcPr/>
          <w:p>
            <w:pPr>
              <w:pStyle w:val="Compact"/>
            </w:pPr>
            <w:r>
              <w:rPr>
                <w:sz w:val="17"/>
              </w:rPr>
              <w:t xml:space="preserve">15 jours</w:t>
            </w:r>
          </w:p>
        </w:tc>
      </w:tr>
      <w:tr>
        <w:tc>
          <w:tcPr>
            <w:shd w:val="clear" w:color="auto" w:fill="F5F7FB"/>
          </w:tcPr>
          <w:p>
            <w:pPr>
              <w:pStyle w:val="Compact"/>
            </w:pPr>
            <w:r>
              <w:rPr>
                <w:sz w:val="17"/>
              </w:rPr>
              <w:t xml:space="preserve">2</w:t>
            </w:r>
          </w:p>
        </w:tc>
        <w:tc>
          <w:tcPr>
            <w:shd w:val="clear" w:color="auto" w:fill="F5F7FB"/>
          </w:tcPr>
          <w:p>
            <w:pPr>
              <w:pStyle w:val="Compact"/>
            </w:pPr>
            <w:r>
              <w:rPr>
                <w:sz w:val="17"/>
              </w:rPr>
              <w:t xml:space="preserve">Désigner le sponsor exécutif (ministre des Finances) et le directeur de programme</w:t>
            </w:r>
          </w:p>
        </w:tc>
        <w:tc>
          <w:tcPr>
            <w:shd w:val="clear" w:color="auto" w:fill="F5F7FB"/>
          </w:tcPr>
          <w:p>
            <w:pPr>
              <w:pStyle w:val="Compact"/>
            </w:pPr>
            <w:r>
              <w:rPr>
                <w:sz w:val="17"/>
              </w:rPr>
              <w:t xml:space="preserve">Gouverneur</w:t>
            </w:r>
          </w:p>
        </w:tc>
        <w:tc>
          <w:tcPr>
            <w:shd w:val="clear" w:color="auto" w:fill="F5F7FB"/>
          </w:tcPr>
          <w:p>
            <w:pPr>
              <w:pStyle w:val="Compact"/>
            </w:pPr>
            <w:r>
              <w:rPr>
                <w:sz w:val="17"/>
              </w:rPr>
              <w:t xml:space="preserve">15 jours</w:t>
            </w:r>
          </w:p>
        </w:tc>
      </w:tr>
      <w:tr>
        <w:tc>
          <w:tcPr/>
          <w:p>
            <w:pPr>
              <w:pStyle w:val="Compact"/>
            </w:pPr>
            <w:r>
              <w:rPr>
                <w:sz w:val="17"/>
              </w:rPr>
              <w:t xml:space="preserve">3</w:t>
            </w:r>
          </w:p>
        </w:tc>
        <w:tc>
          <w:tcPr/>
          <w:p>
            <w:pPr>
              <w:pStyle w:val="Compact"/>
            </w:pPr>
            <w:r>
              <w:rPr>
                <w:sz w:val="17"/>
              </w:rPr>
              <w:t xml:space="preserve">Ordonner le relevé juridique certifié (OL 18/004, Édit 005/2021, édit budgétaire 2026, arrêtés de taux, arrêtés DGIPK/DGTK)</w:t>
            </w:r>
          </w:p>
        </w:tc>
        <w:tc>
          <w:tcPr/>
          <w:p>
            <w:pPr>
              <w:pStyle w:val="Compact"/>
            </w:pPr>
            <w:r>
              <w:rPr>
                <w:sz w:val="17"/>
              </w:rPr>
              <w:t xml:space="preserve">Gouverneur → services juridiques</w:t>
            </w:r>
          </w:p>
        </w:tc>
        <w:tc>
          <w:tcPr/>
          <w:p>
            <w:pPr>
              <w:pStyle w:val="Compact"/>
            </w:pPr>
            <w:r>
              <w:rPr>
                <w:sz w:val="17"/>
              </w:rPr>
              <w:t xml:space="preserve">45 jours</w:t>
            </w:r>
          </w:p>
        </w:tc>
      </w:tr>
      <w:tr>
        <w:tc>
          <w:tcPr>
            <w:shd w:val="clear" w:color="auto" w:fill="F5F7FB"/>
          </w:tcPr>
          <w:p>
            <w:pPr>
              <w:pStyle w:val="Compact"/>
            </w:pPr>
            <w:r>
              <w:rPr>
                <w:sz w:val="17"/>
              </w:rPr>
              <w:t xml:space="preserve">4</w:t>
            </w:r>
          </w:p>
        </w:tc>
        <w:tc>
          <w:tcPr>
            <w:shd w:val="clear" w:color="auto" w:fill="F5F7FB"/>
          </w:tcPr>
          <w:p>
            <w:pPr>
              <w:pStyle w:val="Compact"/>
            </w:pPr>
            <w:r>
              <w:rPr>
                <w:sz w:val="17"/>
              </w:rPr>
              <w:t xml:space="preserve">Ordonner la mesure de la base de référence par un auditeur indépendant</w:t>
            </w:r>
          </w:p>
        </w:tc>
        <w:tc>
          <w:tcPr>
            <w:shd w:val="clear" w:color="auto" w:fill="F5F7FB"/>
          </w:tcPr>
          <w:p>
            <w:pPr>
              <w:pStyle w:val="Compact"/>
            </w:pPr>
            <w:r>
              <w:rPr>
                <w:sz w:val="17"/>
              </w:rPr>
              <w:t xml:space="preserve">Ministre des Finances</w:t>
            </w:r>
          </w:p>
        </w:tc>
        <w:tc>
          <w:tcPr>
            <w:shd w:val="clear" w:color="auto" w:fill="F5F7FB"/>
          </w:tcPr>
          <w:p>
            <w:pPr>
              <w:pStyle w:val="Compact"/>
            </w:pPr>
            <w:r>
              <w:rPr>
                <w:sz w:val="17"/>
              </w:rPr>
              <w:t xml:space="preserve">30 jours</w:t>
            </w:r>
          </w:p>
        </w:tc>
      </w:tr>
      <w:tr>
        <w:tc>
          <w:tcPr/>
          <w:p>
            <w:pPr>
              <w:pStyle w:val="Compact"/>
            </w:pPr>
            <w:r>
              <w:rPr>
                <w:sz w:val="17"/>
              </w:rPr>
              <w:t xml:space="preserve">5</w:t>
            </w:r>
          </w:p>
        </w:tc>
        <w:tc>
          <w:tcPr/>
          <w:p>
            <w:pPr>
              <w:pStyle w:val="Compact"/>
            </w:pPr>
            <w:r>
              <w:rPr>
                <w:sz w:val="17"/>
              </w:rPr>
              <w:t xml:space="preserve">Poser le principe « fonds publics sur comptes publics » et désigner les comptes de recettes et les gardiens du coffre</w:t>
            </w:r>
          </w:p>
        </w:tc>
        <w:tc>
          <w:tcPr/>
          <w:p>
            <w:pPr>
              <w:pStyle w:val="Compact"/>
            </w:pPr>
            <w:r>
              <w:rPr>
                <w:sz w:val="17"/>
              </w:rPr>
              <w:t xml:space="preserve">Ministre des Finances, Trésor</w:t>
            </w:r>
          </w:p>
        </w:tc>
        <w:tc>
          <w:tcPr/>
          <w:p>
            <w:pPr>
              <w:pStyle w:val="Compact"/>
            </w:pPr>
            <w:r>
              <w:rPr>
                <w:sz w:val="17"/>
              </w:rPr>
              <w:t xml:space="preserve">30 jours</w:t>
            </w:r>
          </w:p>
        </w:tc>
      </w:tr>
      <w:tr>
        <w:tc>
          <w:tcPr>
            <w:shd w:val="clear" w:color="auto" w:fill="F5F7FB"/>
          </w:tcPr>
          <w:p>
            <w:pPr>
              <w:pStyle w:val="Compact"/>
            </w:pPr>
            <w:r>
              <w:rPr>
                <w:sz w:val="17"/>
              </w:rPr>
              <w:t xml:space="preserve">6</w:t>
            </w:r>
          </w:p>
        </w:tc>
        <w:tc>
          <w:tcPr>
            <w:shd w:val="clear" w:color="auto" w:fill="F5F7FB"/>
          </w:tcPr>
          <w:p>
            <w:pPr>
              <w:pStyle w:val="Compact"/>
            </w:pPr>
            <w:r>
              <w:rPr>
                <w:sz w:val="17"/>
              </w:rPr>
              <w:t xml:space="preserve">Approuver la Constitution financière (séparation des pouvoirs, quorum, contre-écritures)</w:t>
            </w:r>
          </w:p>
        </w:tc>
        <w:tc>
          <w:tcPr>
            <w:shd w:val="clear" w:color="auto" w:fill="F5F7FB"/>
          </w:tcPr>
          <w:p>
            <w:pPr>
              <w:pStyle w:val="Compact"/>
            </w:pPr>
            <w:r>
              <w:rPr>
                <w:sz w:val="17"/>
              </w:rPr>
              <w:t xml:space="preserve">Gouvernement provincial</w:t>
            </w:r>
          </w:p>
        </w:tc>
        <w:tc>
          <w:tcPr>
            <w:shd w:val="clear" w:color="auto" w:fill="F5F7FB"/>
          </w:tcPr>
          <w:p>
            <w:pPr>
              <w:pStyle w:val="Compact"/>
            </w:pPr>
            <w:r>
              <w:rPr>
                <w:sz w:val="17"/>
              </w:rPr>
              <w:t xml:space="preserve">30 jours</w:t>
            </w:r>
          </w:p>
        </w:tc>
      </w:tr>
      <w:tr>
        <w:tc>
          <w:tcPr/>
          <w:p>
            <w:pPr>
              <w:pStyle w:val="Compact"/>
            </w:pPr>
            <w:r>
              <w:rPr>
                <w:sz w:val="17"/>
              </w:rPr>
              <w:t xml:space="preserve">7</w:t>
            </w:r>
          </w:p>
        </w:tc>
        <w:tc>
          <w:tcPr/>
          <w:p>
            <w:pPr>
              <w:pStyle w:val="Compact"/>
            </w:pPr>
            <w:r>
              <w:rPr>
                <w:sz w:val="17"/>
              </w:rPr>
              <w:t xml:space="preserve">Autoriser la négociation des protocoles de données (énergie, eau, immatriculations, télécoms, brasseries, DGI, employeurs)</w:t>
            </w:r>
          </w:p>
        </w:tc>
        <w:tc>
          <w:tcPr/>
          <w:p>
            <w:pPr>
              <w:pStyle w:val="Compact"/>
            </w:pPr>
            <w:r>
              <w:rPr>
                <w:sz w:val="17"/>
              </w:rPr>
              <w:t xml:space="preserve">Gouverneur</w:t>
            </w:r>
          </w:p>
        </w:tc>
        <w:tc>
          <w:tcPr/>
          <w:p>
            <w:pPr>
              <w:pStyle w:val="Compact"/>
            </w:pPr>
            <w:r>
              <w:rPr>
                <w:sz w:val="17"/>
              </w:rPr>
              <w:t xml:space="preserve">30 jours</w:t>
            </w:r>
          </w:p>
        </w:tc>
      </w:tr>
      <w:tr>
        <w:tc>
          <w:tcPr>
            <w:shd w:val="clear" w:color="auto" w:fill="F5F7FB"/>
          </w:tcPr>
          <w:p>
            <w:pPr>
              <w:pStyle w:val="Compact"/>
            </w:pPr>
            <w:r>
              <w:rPr>
                <w:sz w:val="17"/>
              </w:rPr>
              <w:t xml:space="preserve">8</w:t>
            </w:r>
          </w:p>
        </w:tc>
        <w:tc>
          <w:tcPr>
            <w:shd w:val="clear" w:color="auto" w:fill="F5F7FB"/>
          </w:tcPr>
          <w:p>
            <w:pPr>
              <w:pStyle w:val="Compact"/>
            </w:pPr>
            <w:r>
              <w:rPr>
                <w:sz w:val="17"/>
              </w:rPr>
              <w:t xml:space="preserve">Approuver les quatre communes pilotes et le calendrier (recensement avant février 2027)</w:t>
            </w:r>
          </w:p>
        </w:tc>
        <w:tc>
          <w:tcPr>
            <w:shd w:val="clear" w:color="auto" w:fill="F5F7FB"/>
          </w:tcPr>
          <w:p>
            <w:pPr>
              <w:pStyle w:val="Compact"/>
            </w:pPr>
            <w:r>
              <w:rPr>
                <w:sz w:val="17"/>
              </w:rPr>
              <w:t xml:space="preserve">Gouverneur</w:t>
            </w:r>
          </w:p>
        </w:tc>
        <w:tc>
          <w:tcPr>
            <w:shd w:val="clear" w:color="auto" w:fill="F5F7FB"/>
          </w:tcPr>
          <w:p>
            <w:pPr>
              <w:pStyle w:val="Compact"/>
            </w:pPr>
            <w:r>
              <w:rPr>
                <w:sz w:val="17"/>
              </w:rPr>
              <w:t xml:space="preserve">15 jours</w:t>
            </w:r>
          </w:p>
        </w:tc>
      </w:tr>
      <w:tr>
        <w:tc>
          <w:tcPr/>
          <w:p>
            <w:pPr>
              <w:pStyle w:val="Compact"/>
            </w:pPr>
            <w:r>
              <w:rPr>
                <w:sz w:val="17"/>
              </w:rPr>
              <w:t xml:space="preserve">9</w:t>
            </w:r>
          </w:p>
        </w:tc>
        <w:tc>
          <w:tcPr/>
          <w:p>
            <w:pPr>
              <w:pStyle w:val="Compact"/>
            </w:pPr>
            <w:r>
              <w:rPr>
                <w:sz w:val="17"/>
              </w:rPr>
              <w:t xml:space="preserve">Retenir le modèle commercial hybride (§ 37.3) et exclure tout prélèvement automatique de recettes au profit d’un tiers ; lancer la procédure de passation appropriée</w:t>
            </w:r>
          </w:p>
        </w:tc>
        <w:tc>
          <w:tcPr/>
          <w:p>
            <w:pPr>
              <w:pStyle w:val="Compact"/>
            </w:pPr>
            <w:r>
              <w:rPr>
                <w:sz w:val="17"/>
              </w:rPr>
              <w:t xml:space="preserve">Gouvernement, Finances</w:t>
            </w:r>
          </w:p>
        </w:tc>
        <w:tc>
          <w:tcPr/>
          <w:p>
            <w:pPr>
              <w:pStyle w:val="Compact"/>
            </w:pPr>
            <w:r>
              <w:rPr>
                <w:sz w:val="17"/>
              </w:rPr>
              <w:t xml:space="preserve">60 jours</w:t>
            </w:r>
          </w:p>
        </w:tc>
      </w:tr>
      <w:tr>
        <w:tc>
          <w:tcPr>
            <w:shd w:val="clear" w:color="auto" w:fill="F5F7FB"/>
          </w:tcPr>
          <w:p>
            <w:pPr>
              <w:pStyle w:val="Compact"/>
            </w:pPr>
            <w:r>
              <w:rPr>
                <w:sz w:val="17"/>
              </w:rPr>
              <w:t xml:space="preserve">10</w:t>
            </w:r>
          </w:p>
        </w:tc>
        <w:tc>
          <w:tcPr>
            <w:shd w:val="clear" w:color="auto" w:fill="F5F7FB"/>
          </w:tcPr>
          <w:p>
            <w:pPr>
              <w:pStyle w:val="Compact"/>
            </w:pPr>
            <w:r>
              <w:rPr>
                <w:sz w:val="17"/>
              </w:rPr>
              <w:t xml:space="preserve">Arrêter le financement des moyens physiques (terminaux, plaques, guichets, communications) et conditionner la généralisation à des résultats audités</w:t>
            </w:r>
          </w:p>
        </w:tc>
        <w:tc>
          <w:tcPr>
            <w:shd w:val="clear" w:color="auto" w:fill="F5F7FB"/>
          </w:tcPr>
          <w:p>
            <w:pPr>
              <w:pStyle w:val="Compact"/>
            </w:pPr>
            <w:r>
              <w:rPr>
                <w:sz w:val="17"/>
              </w:rPr>
              <w:t xml:space="preserve">Gouvernement provincial</w:t>
            </w:r>
          </w:p>
        </w:tc>
        <w:tc>
          <w:tcPr>
            <w:shd w:val="clear" w:color="auto" w:fill="F5F7FB"/>
          </w:tcPr>
          <w:p>
            <w:pPr>
              <w:pStyle w:val="Compact"/>
            </w:pPr>
            <w:r>
              <w:rPr>
                <w:sz w:val="17"/>
              </w:rPr>
              <w:t xml:space="preserve">45 jours</w:t>
            </w:r>
          </w:p>
        </w:tc>
      </w:tr>
    </w:tbl>
    <w:bookmarkEnd w:id="364"/>
    <w:bookmarkStart w:id="373" w:name="conclusion-stratégique"/>
    <w:p>
      <w:pPr>
        <w:pStyle w:val="Heading1"/>
      </w:pPr>
      <w:r>
        <w:t xml:space="preserve">Conclusion stratégique</w:t>
      </w:r>
    </w:p>
    <w:p>
      <w:pPr>
        <w:pStyle w:val="FirstParagraph"/>
      </w:pPr>
      <w:r>
        <w:t xml:space="preserve">KINSHASA MOSOLO donne au Gouvernement provincial</w:t>
      </w:r>
      <w:r>
        <w:t xml:space="preserve"> </w:t>
      </w:r>
      <w:r>
        <w:rPr>
          <w:b/>
          <w:bCs/>
        </w:rPr>
        <w:t xml:space="preserve">une vue opérationnelle unique et vérifiée</w:t>
      </w:r>
      <w:r>
        <w:t xml:space="preserve"> </w:t>
      </w:r>
      <w:r>
        <w:t xml:space="preserve">: qui génère la recette provinciale ; quel bien, quelle activité ou quelle transaction crée l’obligation ; où il se trouve ; quelle loi s’applique ; comment le montant est calculé ; s’il a été payé ; si les fonds ont atteint le compte public autorisé ; comment la transaction a été rapprochée ; qui a fait chaque action ; où la recette se perd ; quelle intervention licite peut accroître la collecte ; et quelles priorités publiques les fonds disponibles peuvent financer.</w:t>
      </w:r>
    </w:p>
    <w:bookmarkStart w:id="365" w:name="dix-décisions-immédiates-du-gouverneur"/>
    <w:p>
      <w:pPr>
        <w:pStyle w:val="Heading2"/>
      </w:pPr>
      <w:r>
        <w:t xml:space="preserve">1. Dix décisions immédiates du Gouverneur</w:t>
      </w:r>
    </w:p>
    <w:p>
      <w:pPr>
        <w:pStyle w:val="Compact"/>
        <w:numPr>
          <w:ilvl w:val="0"/>
          <w:numId w:val="1024"/>
        </w:numPr>
      </w:pPr>
      <w:r>
        <w:t xml:space="preserve">Mandater KINSHASA MOSOLO comme architecture faîtière des recettes et installer le comité de pilotage sous quinze jours.</w:t>
      </w:r>
    </w:p>
    <w:p>
      <w:pPr>
        <w:pStyle w:val="Compact"/>
        <w:numPr>
          <w:ilvl w:val="0"/>
          <w:numId w:val="1024"/>
        </w:numPr>
      </w:pPr>
      <w:r>
        <w:t xml:space="preserve">Désigner le ministre provincial des Finances comme sponsor exécutif et nommer un directeur de programme.</w:t>
      </w:r>
    </w:p>
    <w:p>
      <w:pPr>
        <w:pStyle w:val="Compact"/>
        <w:numPr>
          <w:ilvl w:val="0"/>
          <w:numId w:val="1024"/>
        </w:numPr>
      </w:pPr>
      <w:r>
        <w:t xml:space="preserve">Ordonner le relevé juridique certifié : OL 18/004, Édit 005/2021, édit budgétaire 2026, arrêtés de taux, arrêtés DGIPK et DGTK, statut de la « Loi n° 18/014 ».</w:t>
      </w:r>
    </w:p>
    <w:p>
      <w:pPr>
        <w:pStyle w:val="Compact"/>
        <w:numPr>
          <w:ilvl w:val="0"/>
          <w:numId w:val="1024"/>
        </w:numPr>
      </w:pPr>
      <w:r>
        <w:t xml:space="preserve">Faire mesurer la base de référence des recettes par un auditeur indépendant avant tout engagement chiffré.</w:t>
      </w:r>
    </w:p>
    <w:p>
      <w:pPr>
        <w:pStyle w:val="Compact"/>
        <w:numPr>
          <w:ilvl w:val="0"/>
          <w:numId w:val="1024"/>
        </w:numPr>
      </w:pPr>
      <w:r>
        <w:t xml:space="preserve">Poser par écrit le principe « fonds publics sur comptes publics » et désigner les comptes de recettes et les gardiens du coffre des bénéficiaires.</w:t>
      </w:r>
    </w:p>
    <w:p>
      <w:pPr>
        <w:pStyle w:val="Compact"/>
        <w:numPr>
          <w:ilvl w:val="0"/>
          <w:numId w:val="1024"/>
        </w:numPr>
      </w:pPr>
      <w:r>
        <w:t xml:space="preserve">Adopter la Constitution financière : aucune personne ne peut seule modifier une dette, un paiement, un compte bénéficiaire, une règle ou une trace.</w:t>
      </w:r>
    </w:p>
    <w:p>
      <w:pPr>
        <w:pStyle w:val="Compact"/>
        <w:numPr>
          <w:ilvl w:val="0"/>
          <w:numId w:val="1024"/>
        </w:numPr>
      </w:pPr>
      <w:r>
        <w:t xml:space="preserve">Autoriser la négociation des protocoles de données (énergie, eau, immatriculations, télécoms, brasseries, DGI, grands employeurs), sous analyse d’impact.</w:t>
      </w:r>
    </w:p>
    <w:p>
      <w:pPr>
        <w:pStyle w:val="Compact"/>
        <w:numPr>
          <w:ilvl w:val="0"/>
          <w:numId w:val="1024"/>
        </w:numPr>
      </w:pPr>
      <w:r>
        <w:t xml:space="preserve">Approuver les communes pilotes — Gombe, Limete, Kalamu, Ngaliema — et le calendrier de recensement avant février 2027.</w:t>
      </w:r>
    </w:p>
    <w:p>
      <w:pPr>
        <w:pStyle w:val="Compact"/>
        <w:numPr>
          <w:ilvl w:val="0"/>
          <w:numId w:val="1024"/>
        </w:numPr>
      </w:pPr>
      <w:r>
        <w:t xml:space="preserve">Retenir le modèle commercial hybride et exclure tout prélèvement automatique de recettes publiques au profit d’un tiers.</w:t>
      </w:r>
    </w:p>
    <w:p>
      <w:pPr>
        <w:pStyle w:val="Compact"/>
        <w:numPr>
          <w:ilvl w:val="0"/>
          <w:numId w:val="1024"/>
        </w:numPr>
      </w:pPr>
      <w:r>
        <w:t xml:space="preserve">Arrêter le financement des moyens physiques et conditionner la généralisation à des résultats audités.</w:t>
      </w:r>
    </w:p>
    <w:bookmarkEnd w:id="365"/>
    <w:bookmarkStart w:id="366" w:name="le-pilote-recommandé-de-180-jours"/>
    <w:p>
      <w:pPr>
        <w:pStyle w:val="Heading2"/>
      </w:pPr>
      <w:r>
        <w:t xml:space="preserve">2. Le pilote recommandé de 180 jours</w:t>
      </w:r>
    </w:p>
    <w:p>
      <w:pPr>
        <w:pStyle w:val="FirstParagraph"/>
      </w:pPr>
      <w:r>
        <w:t xml:space="preserve">Quatre communes représentatives, quartiers traités et quartiers de comparaison ; recensement R0 dès décembre 2026 ; test partiel sur la campagne IF/IRL de février 2027 ; chaîne financière complète (R1) en avril 2027 ; périmètre des recettes : impôt foncier, IRL, véhicules, puis quittances de titres ; critères de succès (§ 45.3) : couverture ≥ 90 %, rapprochement automatique ≥ 95 %, recette additionnelle nette positive par rapport aux quartiers de comparaison, coût de collecte en baisse, recours dans les délais, zéro espèce hors canal non instruite ; décision de généralisation sur rapport indépendant à J+180.</w:t>
      </w:r>
    </w:p>
    <w:bookmarkEnd w:id="366"/>
    <w:bookmarkStart w:id="367" w:name="Xa5907cad5714c69cd4adddfc9356869ca89896e"/>
    <w:p>
      <w:pPr>
        <w:pStyle w:val="Heading2"/>
      </w:pPr>
      <w:r>
        <w:t xml:space="preserve">3. Le modèle de gouvernance institutionnelle</w:t>
      </w:r>
    </w:p>
    <w:p>
      <w:pPr>
        <w:pStyle w:val="FirstParagraph"/>
      </w:pPr>
      <w:r>
        <w:t xml:space="preserve">Gouverneur, sponsor politique ; comité de pilotage présidé par le ministre des Finances (SG du Gouvernement, DGIPK, DGTK, Trésor, DSI, audit, observateur indépendant) ; comités spécialisés : juridique et tarifaire, sécurité et protection des données, contrôle des changements, modèles d’IA, audit ; bureau du programme ; contrôle externe par la Cour des comptes, l’inspection et l’Assemblée provinciale ; séparation stricte entre pouvoir politique (priorités), pouvoir fiscal (régies), pouvoir comptable (Trésor), pouvoir technique (plateforme) et contrôle (audit).</w:t>
      </w:r>
    </w:p>
    <w:bookmarkEnd w:id="367"/>
    <w:bookmarkStart w:id="368" w:name="les-catégories-du-budget-initial"/>
    <w:p>
      <w:pPr>
        <w:pStyle w:val="Heading2"/>
      </w:pPr>
      <w:r>
        <w:t xml:space="preserve">4. Les catégories du budget initial</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Catégorie</w:t>
            </w:r>
          </w:p>
        </w:tc>
        <w:tc>
          <w:tcPr>
            <w:shd w:val="clear" w:color="auto" w:fill="232C6B"/>
          </w:tcPr>
          <w:p>
            <w:pPr>
              <w:pStyle w:val="Compact"/>
            </w:pPr>
            <w:r>
              <w:rPr>
                <w:b/>
                <w:color w:val="FFFFFF"/>
                <w:sz w:val="17"/>
              </w:rPr>
              <w:t xml:space="preserve">Contenu</w:t>
            </w:r>
          </w:p>
        </w:tc>
      </w:tr>
      <w:tr>
        <w:tc>
          <w:tcPr/>
          <w:p>
            <w:pPr>
              <w:pStyle w:val="Compact"/>
            </w:pPr>
            <w:r>
              <w:rPr>
                <w:sz w:val="17"/>
              </w:rPr>
              <w:t xml:space="preserve">Programme et gouvernance</w:t>
            </w:r>
          </w:p>
        </w:tc>
        <w:tc>
          <w:tcPr/>
          <w:p>
            <w:pPr>
              <w:pStyle w:val="Compact"/>
            </w:pPr>
            <w:r>
              <w:rPr>
                <w:sz w:val="17"/>
              </w:rPr>
              <w:t xml:space="preserve">Direction de programme, conduite du changement, communication</w:t>
            </w:r>
          </w:p>
        </w:tc>
      </w:tr>
      <w:tr>
        <w:tc>
          <w:tcPr>
            <w:shd w:val="clear" w:color="auto" w:fill="F5F7FB"/>
          </w:tcPr>
          <w:p>
            <w:pPr>
              <w:pStyle w:val="Compact"/>
            </w:pPr>
            <w:r>
              <w:rPr>
                <w:sz w:val="17"/>
              </w:rPr>
              <w:t xml:space="preserve">Juridique</w:t>
            </w:r>
          </w:p>
        </w:tc>
        <w:tc>
          <w:tcPr>
            <w:shd w:val="clear" w:color="auto" w:fill="F5F7FB"/>
          </w:tcPr>
          <w:p>
            <w:pPr>
              <w:pStyle w:val="Compact"/>
            </w:pPr>
            <w:r>
              <w:rPr>
                <w:sz w:val="17"/>
              </w:rPr>
              <w:t xml:space="preserve">Relevé certifié, fiches de règles, tests juridiques</w:t>
            </w:r>
          </w:p>
        </w:tc>
      </w:tr>
      <w:tr>
        <w:tc>
          <w:tcPr/>
          <w:p>
            <w:pPr>
              <w:pStyle w:val="Compact"/>
            </w:pPr>
            <w:r>
              <w:rPr>
                <w:sz w:val="17"/>
              </w:rPr>
              <w:t xml:space="preserve">Base de référence et évaluation</w:t>
            </w:r>
          </w:p>
        </w:tc>
        <w:tc>
          <w:tcPr/>
          <w:p>
            <w:pPr>
              <w:pStyle w:val="Compact"/>
            </w:pPr>
            <w:r>
              <w:rPr>
                <w:sz w:val="17"/>
              </w:rPr>
              <w:t xml:space="preserve">Auditeur indépendant, évaluateur du pilote</w:t>
            </w:r>
          </w:p>
        </w:tc>
      </w:tr>
      <w:tr>
        <w:tc>
          <w:tcPr>
            <w:shd w:val="clear" w:color="auto" w:fill="F5F7FB"/>
          </w:tcPr>
          <w:p>
            <w:pPr>
              <w:pStyle w:val="Compact"/>
            </w:pPr>
            <w:r>
              <w:rPr>
                <w:sz w:val="17"/>
              </w:rPr>
              <w:t xml:space="preserve">Réalisation logicielle</w:t>
            </w:r>
          </w:p>
        </w:tc>
        <w:tc>
          <w:tcPr>
            <w:shd w:val="clear" w:color="auto" w:fill="F5F7FB"/>
          </w:tcPr>
          <w:p>
            <w:pPr>
              <w:pStyle w:val="Compact"/>
            </w:pPr>
            <w:r>
              <w:rPr>
                <w:sz w:val="17"/>
              </w:rPr>
              <w:t xml:space="preserve">Socle R0/R1, intégrations</w:t>
            </w:r>
          </w:p>
        </w:tc>
      </w:tr>
      <w:tr>
        <w:tc>
          <w:tcPr/>
          <w:p>
            <w:pPr>
              <w:pStyle w:val="Compact"/>
            </w:pPr>
            <w:r>
              <w:rPr>
                <w:sz w:val="17"/>
              </w:rPr>
              <w:t xml:space="preserve">Hébergement et sécurité</w:t>
            </w:r>
          </w:p>
        </w:tc>
        <w:tc>
          <w:tcPr/>
          <w:p>
            <w:pPr>
              <w:pStyle w:val="Compact"/>
            </w:pPr>
            <w:r>
              <w:rPr>
                <w:sz w:val="17"/>
              </w:rPr>
              <w:t xml:space="preserve">Colocation, matériel, HSM, SOC, tests d’intrusion</w:t>
            </w:r>
          </w:p>
        </w:tc>
      </w:tr>
      <w:tr>
        <w:tc>
          <w:tcPr>
            <w:shd w:val="clear" w:color="auto" w:fill="F5F7FB"/>
          </w:tcPr>
          <w:p>
            <w:pPr>
              <w:pStyle w:val="Compact"/>
            </w:pPr>
            <w:r>
              <w:rPr>
                <w:sz w:val="17"/>
              </w:rPr>
              <w:t xml:space="preserve">Paiements</w:t>
            </w:r>
          </w:p>
        </w:tc>
        <w:tc>
          <w:tcPr>
            <w:shd w:val="clear" w:color="auto" w:fill="F5F7FB"/>
          </w:tcPr>
          <w:p>
            <w:pPr>
              <w:pStyle w:val="Compact"/>
            </w:pPr>
            <w:r>
              <w:rPr>
                <w:sz w:val="17"/>
              </w:rPr>
              <w:t xml:space="preserve">Intégrations, commissions des canaux</w:t>
            </w:r>
          </w:p>
        </w:tc>
      </w:tr>
      <w:tr>
        <w:tc>
          <w:tcPr/>
          <w:p>
            <w:pPr>
              <w:pStyle w:val="Compact"/>
            </w:pPr>
            <w:r>
              <w:rPr>
                <w:sz w:val="17"/>
              </w:rPr>
              <w:t xml:space="preserve">Terrain</w:t>
            </w:r>
          </w:p>
        </w:tc>
        <w:tc>
          <w:tcPr/>
          <w:p>
            <w:pPr>
              <w:pStyle w:val="Compact"/>
            </w:pPr>
            <w:r>
              <w:rPr>
                <w:sz w:val="17"/>
              </w:rPr>
              <w:t xml:space="preserve">Terminaux, batteries, plaques, badges, cartes, déplacements</w:t>
            </w:r>
          </w:p>
        </w:tc>
      </w:tr>
      <w:tr>
        <w:tc>
          <w:tcPr>
            <w:shd w:val="clear" w:color="auto" w:fill="F5F7FB"/>
          </w:tcPr>
          <w:p>
            <w:pPr>
              <w:pStyle w:val="Compact"/>
            </w:pPr>
            <w:r>
              <w:rPr>
                <w:sz w:val="17"/>
              </w:rPr>
              <w:t xml:space="preserve">Guichets et inclusion</w:t>
            </w:r>
          </w:p>
        </w:tc>
        <w:tc>
          <w:tcPr>
            <w:shd w:val="clear" w:color="auto" w:fill="F5F7FB"/>
          </w:tcPr>
          <w:p>
            <w:pPr>
              <w:pStyle w:val="Compact"/>
            </w:pPr>
            <w:r>
              <w:rPr>
                <w:sz w:val="17"/>
              </w:rPr>
              <w:t xml:space="preserve">Guichets communaux, SVI, USSD, SMS</w:t>
            </w:r>
          </w:p>
        </w:tc>
      </w:tr>
      <w:tr>
        <w:tc>
          <w:tcPr/>
          <w:p>
            <w:pPr>
              <w:pStyle w:val="Compact"/>
            </w:pPr>
            <w:r>
              <w:rPr>
                <w:sz w:val="17"/>
              </w:rPr>
              <w:t xml:space="preserve">Formation</w:t>
            </w:r>
          </w:p>
        </w:tc>
        <w:tc>
          <w:tcPr/>
          <w:p>
            <w:pPr>
              <w:pStyle w:val="Compact"/>
            </w:pPr>
            <w:r>
              <w:rPr>
                <w:sz w:val="17"/>
              </w:rPr>
              <w:t xml:space="preserve">Parcours, formateurs, certification</w:t>
            </w:r>
          </w:p>
        </w:tc>
      </w:tr>
      <w:tr>
        <w:tc>
          <w:tcPr>
            <w:shd w:val="clear" w:color="auto" w:fill="F5F7FB"/>
          </w:tcPr>
          <w:p>
            <w:pPr>
              <w:pStyle w:val="Compact"/>
            </w:pPr>
            <w:r>
              <w:rPr>
                <w:sz w:val="17"/>
              </w:rPr>
              <w:t xml:space="preserve">Données</w:t>
            </w:r>
          </w:p>
        </w:tc>
        <w:tc>
          <w:tcPr>
            <w:shd w:val="clear" w:color="auto" w:fill="F5F7FB"/>
          </w:tcPr>
          <w:p>
            <w:pPr>
              <w:pStyle w:val="Compact"/>
            </w:pPr>
            <w:r>
              <w:rPr>
                <w:sz w:val="17"/>
              </w:rPr>
              <w:t xml:space="preserve">Imagerie, fonds de carte, protocoles, qualité</w:t>
            </w:r>
          </w:p>
        </w:tc>
      </w:tr>
      <w:tr>
        <w:tc>
          <w:tcPr/>
          <w:p>
            <w:pPr>
              <w:pStyle w:val="Compact"/>
            </w:pPr>
            <w:r>
              <w:rPr>
                <w:sz w:val="17"/>
              </w:rPr>
              <w:t xml:space="preserve">Réversibilité</w:t>
            </w:r>
          </w:p>
        </w:tc>
        <w:tc>
          <w:tcPr/>
          <w:p>
            <w:pPr>
              <w:pStyle w:val="Compact"/>
            </w:pPr>
            <w:r>
              <w:rPr>
                <w:sz w:val="17"/>
              </w:rPr>
              <w:t xml:space="preserve">Dépôt du code, documentation, exercice</w:t>
            </w:r>
          </w:p>
        </w:tc>
      </w:tr>
    </w:tbl>
    <w:p>
      <w:pPr>
        <w:pStyle w:val="BodyText"/>
      </w:pPr>
      <w:r>
        <w:t xml:space="preserve">Chaque ligne doit être chiffrée sur devis ; aucun montant n’est avancé ici sans étude.</w:t>
      </w:r>
    </w:p>
    <w:bookmarkEnd w:id="368"/>
    <w:bookmarkStart w:id="369" w:name="les-gisements-à-plus-fort-potentiel"/>
    <w:p>
      <w:pPr>
        <w:pStyle w:val="Heading2"/>
      </w:pPr>
      <w:r>
        <w:t xml:space="preserve">5. Les gisements à plus fort potentiel</w:t>
      </w:r>
    </w:p>
    <w:p>
      <w:pPr>
        <w:pStyle w:val="FirstParagraph"/>
      </w:pPr>
      <w:r>
        <w:t xml:space="preserve">Recensement locatif (IRL) ; recensement foncier et requalification ; retenue IRL par les employeurs et locataires personnes morales ; grands redevables (bière, tabac, antennes, carrières) ; quitus fiscal numérique ; rapprochement automatisé et fin des fausses quittances ; exonérations et annulations ; véhicules ; publicité extérieure ; marchés sans espèces ; arriérés.</w:t>
      </w:r>
    </w:p>
    <w:bookmarkEnd w:id="369"/>
    <w:bookmarkStart w:id="370" w:name="les-contrôles-anti-fraude-les-plus-forts"/>
    <w:p>
      <w:pPr>
        <w:pStyle w:val="Heading2"/>
      </w:pPr>
      <w:r>
        <w:t xml:space="preserve">6. Les contrôles anti-fraude les plus forts</w:t>
      </w:r>
    </w:p>
    <w:p>
      <w:pPr>
        <w:pStyle w:val="FirstParagraph"/>
      </w:pPr>
      <w:r>
        <w:t xml:space="preserve">Zéro espèce entre les mains des agents ; montants calculés et non modifiables sur le terrain ; comptes bénéficiaires dans un coffre sous quorum, vérification hors bande et 72 heures de refroidissement ; quittance émise seulement sur confirmation serveur à serveur signée, vérifiable par QR ; rapprochement quotidien à trois voies ; grand livre en ajout seul ; journal d’audit chaîné, signé, ancré et copié sur stockage WORM contrôlé par l’audit ; quatre yeux sur exonérations, annulations et remboursements ; séparation totale entre administration technique et pouvoir financier.</w:t>
      </w:r>
    </w:p>
    <w:bookmarkEnd w:id="370"/>
    <w:bookmarkStart w:id="371" w:name="les-validations-juridiques-critiques"/>
    <w:p>
      <w:pPr>
        <w:pStyle w:val="Heading2"/>
      </w:pPr>
      <w:r>
        <w:t xml:space="preserve">7. Les validations juridiques critiques</w:t>
      </w:r>
    </w:p>
    <w:p>
      <w:pPr>
        <w:pStyle w:val="FirstParagraph"/>
      </w:pPr>
      <w:r>
        <w:t xml:space="preserve">J1 texte consolidé de l’OL 18/004 et clés de répartition ; J2 objet de la « Loi n° 18/014 » ; J3 arrêtés des taux 2026 (IRL 22/17 %, retenue 20/15 %, barèmes fonciers, véhicules) ; J4 contenu de l’Édit n° 005/2021 ; J5 arrêtés DGIPK/DGTK ; J6 acte du quitus fiscal ; J7 valeur de la quittance et de la notification électroniques ; J9 agréments BCC des prestataires ; J11 régime de la rémunération du prestataire ; J12 régime de déclaration des services numériques de 2026 ; J15 compétence pour une contribution plastique.</w:t>
      </w:r>
    </w:p>
    <w:bookmarkEnd w:id="371"/>
    <w:bookmarkStart w:id="372" w:name="la-prochaine-action-recommandée"/>
    <w:p>
      <w:pPr>
        <w:pStyle w:val="Heading2"/>
      </w:pPr>
      <w:r>
        <w:t xml:space="preserve">8. La prochaine action recommandée</w:t>
      </w:r>
    </w:p>
    <w:p>
      <w:pPr>
        <w:pStyle w:val="FirstParagraph"/>
      </w:pPr>
      <w:r>
        <w:rPr>
          <w:b/>
          <w:bCs/>
        </w:rPr>
        <w:t xml:space="preserve">Dans les quinze jours</w:t>
      </w:r>
      <w:r>
        <w:t xml:space="preserve"> </w:t>
      </w:r>
      <w:r>
        <w:t xml:space="preserve">: signature de l’arrêté de mandat et première réunion du comité de pilotage, avec à l’ordre du jour le lancement simultané du relevé juridique certifié, de la mesure de la base de référence et du recensement R0 des quartiers échantillons — car chaque mois perdu avant février 2027 reporte d’un an la première mesure de résultats.</w:t>
      </w:r>
    </w:p>
    <w:p>
      <w:pPr>
        <w:pStyle w:val="BlockText"/>
      </w:pPr>
      <w:r>
        <w:rPr>
          <w:b/>
          <w:bCs/>
        </w:rPr>
        <w:t xml:space="preserve">KINSHASA MOSOLO — chaque contribuable identifié, chaque activité localisée, chaque obligation légalement calculée, chaque paiement vérifiable et chaque franc public traçable.</w:t>
      </w:r>
    </w:p>
    <w:bookmarkEnd w:id="372"/>
    <w:bookmarkEnd w:id="373"/>
    <w:bookmarkStart w:id="374" w:name="X6c99bc3483d54032d66e84a2c03bf458dcd17cc"/>
    <w:p>
      <w:pPr>
        <w:pStyle w:val="Heading1"/>
      </w:pPr>
      <w:r>
        <w:t xml:space="preserve">Annexe A — Registre de vérification juridique et sources</w:t>
      </w:r>
    </w:p>
    <w:p>
      <w:pPr>
        <w:pStyle w:val="FirstParagraph"/>
      </w:pPr>
      <w:r>
        <w:t xml:space="preserve">Méthode : recherche en sources publiques, septembre 2026. Plusieurs bases de textes congolaises n’étaient pas consultables en texte intégral pendant la revue ;</w:t>
      </w:r>
      <w:r>
        <w:t xml:space="preserve"> </w:t>
      </w:r>
      <w:r>
        <w:rPr>
          <w:b/>
          <w:bCs/>
        </w:rPr>
        <w:t xml:space="preserve">toute affirmation doit être relue sur le texte officiel avant paramétrage</w:t>
      </w:r>
      <w:r>
        <w:t xml:space="preserv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w:t>
            </w:r>
          </w:p>
        </w:tc>
        <w:tc>
          <w:tcPr>
            <w:shd w:val="clear" w:color="auto" w:fill="232C6B"/>
          </w:tcPr>
          <w:p>
            <w:pPr>
              <w:pStyle w:val="Compact"/>
            </w:pPr>
            <w:r>
              <w:rPr>
                <w:b/>
                <w:color w:val="FFFFFF"/>
                <w:sz w:val="17"/>
              </w:rPr>
              <w:t xml:space="preserve">Affirmation</w:t>
            </w:r>
          </w:p>
        </w:tc>
        <w:tc>
          <w:tcPr>
            <w:shd w:val="clear" w:color="auto" w:fill="232C6B"/>
          </w:tcPr>
          <w:p>
            <w:pPr>
              <w:pStyle w:val="Compact"/>
            </w:pPr>
            <w:r>
              <w:rPr>
                <w:b/>
                <w:color w:val="FFFFFF"/>
                <w:sz w:val="17"/>
              </w:rPr>
              <w:t xml:space="preserve">Statut</w:t>
            </w:r>
          </w:p>
        </w:tc>
        <w:tc>
          <w:tcPr>
            <w:shd w:val="clear" w:color="auto" w:fill="232C6B"/>
          </w:tcPr>
          <w:p>
            <w:pPr>
              <w:pStyle w:val="Compact"/>
            </w:pPr>
            <w:r>
              <w:rPr>
                <w:b/>
                <w:color w:val="FFFFFF"/>
                <w:sz w:val="17"/>
              </w:rPr>
              <w:t xml:space="preserve">Source(s) publiques consultées</w:t>
            </w:r>
          </w:p>
        </w:tc>
      </w:tr>
      <w:tr>
        <w:tc>
          <w:tcPr/>
          <w:p>
            <w:pPr>
              <w:pStyle w:val="Compact"/>
            </w:pPr>
            <w:r>
              <w:rPr>
                <w:sz w:val="17"/>
              </w:rPr>
              <w:t xml:space="preserve">A1</w:t>
            </w:r>
          </w:p>
        </w:tc>
        <w:tc>
          <w:tcPr/>
          <w:p>
            <w:pPr>
              <w:pStyle w:val="Compact"/>
            </w:pPr>
            <w:r>
              <w:rPr>
                <w:sz w:val="17"/>
              </w:rPr>
              <w:t xml:space="preserve">Constitution, art. 204 pt 16 : impôts, taxes et droits provinciaux et locaux, notamment IF, IRL, impôt sur les véhicules</w:t>
            </w:r>
          </w:p>
        </w:tc>
        <w:tc>
          <w:tcPr/>
          <w:p>
            <w:pPr>
              <w:pStyle w:val="Compact"/>
            </w:pPr>
            <w:r>
              <w:rPr>
                <w:sz w:val="17"/>
              </w:rPr>
              <w:t xml:space="preserve">CONFIRMÉ (formulation)</w:t>
            </w:r>
          </w:p>
        </w:tc>
        <w:tc>
          <w:tcPr/>
          <w:p>
            <w:pPr>
              <w:pStyle w:val="Compact"/>
            </w:pPr>
            <w:r>
              <w:rPr>
                <w:sz w:val="17"/>
              </w:rPr>
              <w:t xml:space="preserve">7sur7.cd (2 juin 2024) ; commentaires doctrinaux</w:t>
            </w:r>
          </w:p>
        </w:tc>
      </w:tr>
      <w:tr>
        <w:tc>
          <w:tcPr>
            <w:shd w:val="clear" w:color="auto" w:fill="F5F7FB"/>
          </w:tcPr>
          <w:p>
            <w:pPr>
              <w:pStyle w:val="Compact"/>
            </w:pPr>
            <w:r>
              <w:rPr>
                <w:sz w:val="17"/>
              </w:rPr>
              <w:t xml:space="preserve">A2</w:t>
            </w:r>
          </w:p>
        </w:tc>
        <w:tc>
          <w:tcPr>
            <w:shd w:val="clear" w:color="auto" w:fill="F5F7FB"/>
          </w:tcPr>
          <w:p>
            <w:pPr>
              <w:pStyle w:val="Compact"/>
            </w:pPr>
            <w:r>
              <w:rPr>
                <w:sz w:val="17"/>
              </w:rPr>
              <w:t xml:space="preserve">Constitution, art. 175 : 40 % des recettes à caractère national aux provinces, retenus à la source</w:t>
            </w:r>
          </w:p>
        </w:tc>
        <w:tc>
          <w:tcPr>
            <w:shd w:val="clear" w:color="auto" w:fill="F5F7FB"/>
          </w:tcPr>
          <w:p>
            <w:pPr>
              <w:pStyle w:val="Compact"/>
            </w:pPr>
            <w:r>
              <w:rPr>
                <w:sz w:val="17"/>
              </w:rPr>
              <w:t xml:space="preserve">CONFIRMÉ</w:t>
            </w:r>
          </w:p>
        </w:tc>
        <w:tc>
          <w:tcPr>
            <w:shd w:val="clear" w:color="auto" w:fill="F5F7FB"/>
          </w:tcPr>
          <w:p>
            <w:pPr>
              <w:pStyle w:val="Compact"/>
            </w:pPr>
            <w:r>
              <w:rPr>
                <w:sz w:val="17"/>
              </w:rPr>
              <w:t xml:space="preserve">deskeco.com (déc. 2020) ; Journal officiel n° spécial du 5 février 2011</w:t>
            </w:r>
          </w:p>
        </w:tc>
      </w:tr>
      <w:tr>
        <w:tc>
          <w:tcPr/>
          <w:p>
            <w:pPr>
              <w:pStyle w:val="Compact"/>
            </w:pPr>
            <w:r>
              <w:rPr>
                <w:sz w:val="17"/>
              </w:rPr>
              <w:t xml:space="preserve">A3</w:t>
            </w:r>
          </w:p>
        </w:tc>
        <w:tc>
          <w:tcPr/>
          <w:p>
            <w:pPr>
              <w:pStyle w:val="Compact"/>
            </w:pPr>
            <w:r>
              <w:rPr>
                <w:sz w:val="17"/>
              </w:rPr>
              <w:t xml:space="preserve">Constitution, art. 171 (finances distinctes) et art. 174 (légalité de l’impôt)</w:t>
            </w:r>
          </w:p>
        </w:tc>
        <w:tc>
          <w:tcPr/>
          <w:p>
            <w:pPr>
              <w:pStyle w:val="Compact"/>
            </w:pPr>
            <w:r>
              <w:rPr>
                <w:sz w:val="17"/>
              </w:rPr>
              <w:t xml:space="preserve">CONFIRMÉ / PROBABLE</w:t>
            </w:r>
          </w:p>
        </w:tc>
        <w:tc>
          <w:tcPr/>
          <w:p>
            <w:pPr>
              <w:pStyle w:val="Compact"/>
            </w:pPr>
            <w:r>
              <w:rPr>
                <w:sz w:val="17"/>
              </w:rPr>
              <w:t xml:space="preserve">Supports de formation universitaire (ULiège, 2025) ; legalrdc.com</w:t>
            </w:r>
          </w:p>
        </w:tc>
      </w:tr>
      <w:tr>
        <w:tc>
          <w:tcPr>
            <w:shd w:val="clear" w:color="auto" w:fill="F5F7FB"/>
          </w:tcPr>
          <w:p>
            <w:pPr>
              <w:pStyle w:val="Compact"/>
            </w:pPr>
            <w:r>
              <w:rPr>
                <w:sz w:val="17"/>
              </w:rPr>
              <w:t xml:space="preserve">A4</w:t>
            </w:r>
          </w:p>
        </w:tc>
        <w:tc>
          <w:tcPr>
            <w:shd w:val="clear" w:color="auto" w:fill="F5F7FB"/>
          </w:tcPr>
          <w:p>
            <w:pPr>
              <w:pStyle w:val="Compact"/>
            </w:pPr>
            <w:r>
              <w:rPr>
                <w:sz w:val="17"/>
              </w:rPr>
              <w:t xml:space="preserve">OL n° 18/004 du 13 mars 2018, nomenclature province/ETD, JO n° spécial du 23 avril 2018 ; abroge l’OL n° 13/001</w:t>
            </w:r>
          </w:p>
        </w:tc>
        <w:tc>
          <w:tcPr>
            <w:shd w:val="clear" w:color="auto" w:fill="F5F7FB"/>
          </w:tcPr>
          <w:p>
            <w:pPr>
              <w:pStyle w:val="Compact"/>
            </w:pPr>
            <w:r>
              <w:rPr>
                <w:sz w:val="17"/>
              </w:rPr>
              <w:t xml:space="preserve">CONFIRMÉ</w:t>
            </w:r>
          </w:p>
        </w:tc>
        <w:tc>
          <w:tcPr>
            <w:shd w:val="clear" w:color="auto" w:fill="F5F7FB"/>
          </w:tcPr>
          <w:p>
            <w:pPr>
              <w:pStyle w:val="Compact"/>
            </w:pPr>
            <w:r>
              <w:rPr>
                <w:sz w:val="17"/>
              </w:rPr>
              <w:t xml:space="preserve">FAOLEX / ECOLEX (LEX-FAOC182989) ; PNUE LEAP ; legalrdc.com</w:t>
            </w:r>
          </w:p>
        </w:tc>
      </w:tr>
      <w:tr>
        <w:tc>
          <w:tcPr/>
          <w:p>
            <w:pPr>
              <w:pStyle w:val="Compact"/>
            </w:pPr>
            <w:r>
              <w:rPr>
                <w:sz w:val="17"/>
              </w:rPr>
              <w:t xml:space="preserve">A5</w:t>
            </w:r>
          </w:p>
        </w:tc>
        <w:tc>
          <w:tcPr/>
          <w:p>
            <w:pPr>
              <w:pStyle w:val="Compact"/>
            </w:pPr>
            <w:r>
              <w:rPr>
                <w:sz w:val="17"/>
              </w:rPr>
              <w:t xml:space="preserve">OL n° 18/003 du 13 mars 2018, nomenclature du pouvoir central</w:t>
            </w:r>
          </w:p>
        </w:tc>
        <w:tc>
          <w:tcPr/>
          <w:p>
            <w:pPr>
              <w:pStyle w:val="Compact"/>
            </w:pPr>
            <w:r>
              <w:rPr>
                <w:sz w:val="17"/>
              </w:rPr>
              <w:t xml:space="preserve">CONFIRMÉ</w:t>
            </w:r>
          </w:p>
        </w:tc>
        <w:tc>
          <w:tcPr/>
          <w:p>
            <w:pPr>
              <w:pStyle w:val="Compact"/>
            </w:pPr>
            <w:r>
              <w:rPr>
                <w:sz w:val="17"/>
              </w:rPr>
              <w:t xml:space="preserve">PNUE LEAP ; legalrdc.com</w:t>
            </w:r>
          </w:p>
        </w:tc>
      </w:tr>
      <w:tr>
        <w:tc>
          <w:tcPr>
            <w:shd w:val="clear" w:color="auto" w:fill="F5F7FB"/>
          </w:tcPr>
          <w:p>
            <w:pPr>
              <w:pStyle w:val="Compact"/>
            </w:pPr>
            <w:r>
              <w:rPr>
                <w:sz w:val="17"/>
              </w:rPr>
              <w:t xml:space="preserve">A6</w:t>
            </w:r>
          </w:p>
        </w:tc>
        <w:tc>
          <w:tcPr>
            <w:shd w:val="clear" w:color="auto" w:fill="F5F7FB"/>
          </w:tcPr>
          <w:p>
            <w:pPr>
              <w:pStyle w:val="Compact"/>
            </w:pPr>
            <w:r>
              <w:rPr>
                <w:sz w:val="17"/>
              </w:rPr>
              <w:t xml:space="preserve">Clés de répartition province/ETD de l’OL 18/004</w:t>
            </w:r>
          </w:p>
        </w:tc>
        <w:tc>
          <w:tcPr>
            <w:shd w:val="clear" w:color="auto" w:fill="F5F7FB"/>
          </w:tcPr>
          <w:p>
            <w:pPr>
              <w:pStyle w:val="Compact"/>
            </w:pPr>
            <w:r>
              <w:rPr>
                <w:sz w:val="17"/>
              </w:rPr>
              <w:t xml:space="preserve">NON VÉRIFIÉ</w:t>
            </w:r>
          </w:p>
        </w:tc>
        <w:tc>
          <w:tcPr>
            <w:shd w:val="clear" w:color="auto" w:fill="F5F7FB"/>
          </w:tcPr>
          <w:p>
            <w:pPr>
              <w:pStyle w:val="Compact"/>
            </w:pPr>
            <w:r>
              <w:rPr>
                <w:sz w:val="17"/>
              </w:rPr>
              <w:t xml:space="preserve">Texte intégral non consulté</w:t>
            </w:r>
          </w:p>
        </w:tc>
      </w:tr>
      <w:tr>
        <w:tc>
          <w:tcPr/>
          <w:p>
            <w:pPr>
              <w:pStyle w:val="Compact"/>
            </w:pPr>
            <w:r>
              <w:rPr>
                <w:sz w:val="17"/>
              </w:rPr>
              <w:t xml:space="preserve">A7</w:t>
            </w:r>
          </w:p>
        </w:tc>
        <w:tc>
          <w:tcPr/>
          <w:p>
            <w:pPr>
              <w:pStyle w:val="Compact"/>
            </w:pPr>
            <w:r>
              <w:rPr>
                <w:sz w:val="17"/>
              </w:rPr>
              <w:t xml:space="preserve">« Loi n° 18/014 du 9 juillet 2018 »</w:t>
            </w:r>
          </w:p>
        </w:tc>
        <w:tc>
          <w:tcPr/>
          <w:p>
            <w:pPr>
              <w:pStyle w:val="Compact"/>
            </w:pPr>
            <w:r>
              <w:rPr>
                <w:sz w:val="17"/>
              </w:rPr>
              <w:t xml:space="preserve">NON RETROUVÉE</w:t>
            </w:r>
          </w:p>
        </w:tc>
        <w:tc>
          <w:tcPr/>
          <w:p>
            <w:pPr>
              <w:pStyle w:val="Compact"/>
            </w:pPr>
            <w:r>
              <w:rPr>
                <w:sz w:val="17"/>
              </w:rPr>
              <w:t xml:space="preserve">Aucune trace ; lois du 9 juillet 2018 identifiées : 18/010 (LOFIP), 18/016 (PPP), 18/019 (paiements), 18/020</w:t>
            </w:r>
          </w:p>
        </w:tc>
      </w:tr>
      <w:tr>
        <w:tc>
          <w:tcPr>
            <w:shd w:val="clear" w:color="auto" w:fill="F5F7FB"/>
          </w:tcPr>
          <w:p>
            <w:pPr>
              <w:pStyle w:val="Compact"/>
            </w:pPr>
            <w:r>
              <w:rPr>
                <w:sz w:val="17"/>
              </w:rPr>
              <w:t xml:space="preserve">A8</w:t>
            </w:r>
          </w:p>
        </w:tc>
        <w:tc>
          <w:tcPr>
            <w:shd w:val="clear" w:color="auto" w:fill="F5F7FB"/>
          </w:tcPr>
          <w:p>
            <w:pPr>
              <w:pStyle w:val="Compact"/>
            </w:pPr>
            <w:r>
              <w:rPr>
                <w:sz w:val="17"/>
              </w:rPr>
              <w:t xml:space="preserve">IRL Kinshasa : 22 % (1er rang), 17 % (autres rangs) ; retenue 20 % / 15 %</w:t>
            </w:r>
          </w:p>
        </w:tc>
        <w:tc>
          <w:tcPr>
            <w:shd w:val="clear" w:color="auto" w:fill="F5F7FB"/>
          </w:tcPr>
          <w:p>
            <w:pPr>
              <w:pStyle w:val="Compact"/>
            </w:pPr>
            <w:r>
              <w:rPr>
                <w:sz w:val="17"/>
              </w:rPr>
              <w:t xml:space="preserve">CONFIRMÉ (presse)</w:t>
            </w:r>
          </w:p>
        </w:tc>
        <w:tc>
          <w:tcPr>
            <w:shd w:val="clear" w:color="auto" w:fill="F5F7FB"/>
          </w:tcPr>
          <w:p>
            <w:pPr>
              <w:pStyle w:val="Compact"/>
            </w:pPr>
            <w:r>
              <w:rPr>
                <w:sz w:val="17"/>
              </w:rPr>
              <w:t xml:space="preserve">lepoint.cd (févr. 2026) ; mediacongo.net (févr. 2026) ; Légavox</w:t>
            </w:r>
          </w:p>
        </w:tc>
      </w:tr>
      <w:tr>
        <w:tc>
          <w:tcPr/>
          <w:p>
            <w:pPr>
              <w:pStyle w:val="Compact"/>
            </w:pPr>
            <w:r>
              <w:rPr>
                <w:sz w:val="17"/>
              </w:rPr>
              <w:t xml:space="preserve">A9</w:t>
            </w:r>
          </w:p>
        </w:tc>
        <w:tc>
          <w:tcPr/>
          <w:p>
            <w:pPr>
              <w:pStyle w:val="Compact"/>
            </w:pPr>
            <w:r>
              <w:rPr>
                <w:sz w:val="17"/>
              </w:rPr>
              <w:t xml:space="preserve">Échéance IF/IRL 2026 prorogée au 28 février 2026</w:t>
            </w:r>
          </w:p>
        </w:tc>
        <w:tc>
          <w:tcPr/>
          <w:p>
            <w:pPr>
              <w:pStyle w:val="Compact"/>
            </w:pPr>
            <w:r>
              <w:rPr>
                <w:sz w:val="17"/>
              </w:rPr>
              <w:t xml:space="preserve">CONFIRMÉ (presse)</w:t>
            </w:r>
          </w:p>
        </w:tc>
        <w:tc>
          <w:tcPr/>
          <w:p>
            <w:pPr>
              <w:pStyle w:val="Compact"/>
            </w:pPr>
            <w:r>
              <w:rPr>
                <w:sz w:val="17"/>
              </w:rPr>
              <w:t xml:space="preserve">acp.cd ; radiookapi.net (28 janv. 2026) ; deskeco.com</w:t>
            </w:r>
          </w:p>
        </w:tc>
      </w:tr>
      <w:tr>
        <w:tc>
          <w:tcPr>
            <w:shd w:val="clear" w:color="auto" w:fill="F5F7FB"/>
          </w:tcPr>
          <w:p>
            <w:pPr>
              <w:pStyle w:val="Compact"/>
            </w:pPr>
            <w:r>
              <w:rPr>
                <w:sz w:val="17"/>
              </w:rPr>
              <w:t xml:space="preserve">A10</w:t>
            </w:r>
          </w:p>
        </w:tc>
        <w:tc>
          <w:tcPr>
            <w:shd w:val="clear" w:color="auto" w:fill="F5F7FB"/>
          </w:tcPr>
          <w:p>
            <w:pPr>
              <w:pStyle w:val="Compact"/>
            </w:pPr>
            <w:r>
              <w:rPr>
                <w:sz w:val="17"/>
              </w:rPr>
              <w:t xml:space="preserve">Innovations IRL de l’édit budgétaire 2026</w:t>
            </w:r>
          </w:p>
        </w:tc>
        <w:tc>
          <w:tcPr>
            <w:shd w:val="clear" w:color="auto" w:fill="F5F7FB"/>
          </w:tcPr>
          <w:p>
            <w:pPr>
              <w:pStyle w:val="Compact"/>
            </w:pPr>
            <w:r>
              <w:rPr>
                <w:sz w:val="17"/>
              </w:rPr>
              <w:t xml:space="preserve">PROBABLE</w:t>
            </w:r>
          </w:p>
        </w:tc>
        <w:tc>
          <w:tcPr>
            <w:shd w:val="clear" w:color="auto" w:fill="F5F7FB"/>
          </w:tcPr>
          <w:p>
            <w:pPr>
              <w:pStyle w:val="Compact"/>
            </w:pPr>
            <w:r>
              <w:rPr>
                <w:sz w:val="17"/>
              </w:rPr>
              <w:t xml:space="preserve">fec-rdc.com</w:t>
            </w:r>
          </w:p>
        </w:tc>
      </w:tr>
      <w:tr>
        <w:tc>
          <w:tcPr/>
          <w:p>
            <w:pPr>
              <w:pStyle w:val="Compact"/>
            </w:pPr>
            <w:r>
              <w:rPr>
                <w:sz w:val="17"/>
              </w:rPr>
              <w:t xml:space="preserve">A11</w:t>
            </w:r>
          </w:p>
        </w:tc>
        <w:tc>
          <w:tcPr/>
          <w:p>
            <w:pPr>
              <w:pStyle w:val="Compact"/>
            </w:pPr>
            <w:r>
              <w:rPr>
                <w:sz w:val="17"/>
              </w:rPr>
              <w:t xml:space="preserve">Barèmes IF 2026 (450/150/50/10 USD ; 3,5/2,5/2/1,5 USD/m² ; 8/5/4/3 USD/m²)</w:t>
            </w:r>
          </w:p>
        </w:tc>
        <w:tc>
          <w:tcPr/>
          <w:p>
            <w:pPr>
              <w:pStyle w:val="Compact"/>
            </w:pPr>
            <w:r>
              <w:rPr>
                <w:sz w:val="17"/>
              </w:rPr>
              <w:t xml:space="preserve">CONFIRMÉ (source unique)</w:t>
            </w:r>
          </w:p>
        </w:tc>
        <w:tc>
          <w:tcPr/>
          <w:p>
            <w:pPr>
              <w:pStyle w:val="Compact"/>
            </w:pPr>
            <w:r>
              <w:rPr>
                <w:sz w:val="17"/>
              </w:rPr>
              <w:t xml:space="preserve">lepoint.cd (févr. 2026)</w:t>
            </w:r>
          </w:p>
        </w:tc>
      </w:tr>
      <w:tr>
        <w:tc>
          <w:tcPr>
            <w:shd w:val="clear" w:color="auto" w:fill="F5F7FB"/>
          </w:tcPr>
          <w:p>
            <w:pPr>
              <w:pStyle w:val="Compact"/>
            </w:pPr>
            <w:r>
              <w:rPr>
                <w:sz w:val="17"/>
              </w:rPr>
              <w:t xml:space="preserve">A12</w:t>
            </w:r>
          </w:p>
        </w:tc>
        <w:tc>
          <w:tcPr>
            <w:shd w:val="clear" w:color="auto" w:fill="F5F7FB"/>
          </w:tcPr>
          <w:p>
            <w:pPr>
              <w:pStyle w:val="Compact"/>
            </w:pPr>
            <w:r>
              <w:rPr>
                <w:sz w:val="17"/>
              </w:rPr>
              <w:t xml:space="preserve">Vignette dématérialisée à QR, déclaration en ligne obligatoire depuis janv. 2026, banques partenaires</w:t>
            </w:r>
          </w:p>
        </w:tc>
        <w:tc>
          <w:tcPr>
            <w:shd w:val="clear" w:color="auto" w:fill="F5F7FB"/>
          </w:tcPr>
          <w:p>
            <w:pPr>
              <w:pStyle w:val="Compact"/>
            </w:pPr>
            <w:r>
              <w:rPr>
                <w:sz w:val="17"/>
              </w:rPr>
              <w:t xml:space="preserve">CONFIRMÉ (presse)</w:t>
            </w:r>
          </w:p>
        </w:tc>
        <w:tc>
          <w:tcPr>
            <w:shd w:val="clear" w:color="auto" w:fill="F5F7FB"/>
          </w:tcPr>
          <w:p>
            <w:pPr>
              <w:pStyle w:val="Compact"/>
            </w:pPr>
            <w:r>
              <w:rPr>
                <w:sz w:val="17"/>
              </w:rPr>
              <w:t xml:space="preserve">rtnc.cd ; acp.cd ; flambeau-eco.cd</w:t>
            </w:r>
          </w:p>
        </w:tc>
      </w:tr>
      <w:tr>
        <w:tc>
          <w:tcPr/>
          <w:p>
            <w:pPr>
              <w:pStyle w:val="Compact"/>
            </w:pPr>
            <w:r>
              <w:rPr>
                <w:sz w:val="17"/>
              </w:rPr>
              <w:t xml:space="preserve">A13</w:t>
            </w:r>
          </w:p>
        </w:tc>
        <w:tc>
          <w:tcPr/>
          <w:p>
            <w:pPr>
              <w:pStyle w:val="Compact"/>
            </w:pPr>
            <w:r>
              <w:rPr>
                <w:sz w:val="17"/>
              </w:rPr>
              <w:t xml:space="preserve">Plateforme de déclaration et paiement lancée le 5 mars 2026 (IF, IRL, vignette)</w:t>
            </w:r>
          </w:p>
        </w:tc>
        <w:tc>
          <w:tcPr/>
          <w:p>
            <w:pPr>
              <w:pStyle w:val="Compact"/>
            </w:pPr>
            <w:r>
              <w:rPr>
                <w:sz w:val="17"/>
              </w:rPr>
              <w:t xml:space="preserve">PROBABLE</w:t>
            </w:r>
          </w:p>
        </w:tc>
        <w:tc>
          <w:tcPr/>
          <w:p>
            <w:pPr>
              <w:pStyle w:val="Compact"/>
            </w:pPr>
            <w:r>
              <w:rPr>
                <w:sz w:val="17"/>
              </w:rPr>
              <w:t xml:space="preserve">deskeco.com (6 mars 2026)</w:t>
            </w:r>
          </w:p>
        </w:tc>
      </w:tr>
      <w:tr>
        <w:tc>
          <w:tcPr>
            <w:shd w:val="clear" w:color="auto" w:fill="F5F7FB"/>
          </w:tcPr>
          <w:p>
            <w:pPr>
              <w:pStyle w:val="Compact"/>
            </w:pPr>
            <w:r>
              <w:rPr>
                <w:sz w:val="17"/>
              </w:rPr>
              <w:t xml:space="preserve">A14</w:t>
            </w:r>
          </w:p>
        </w:tc>
        <w:tc>
          <w:tcPr>
            <w:shd w:val="clear" w:color="auto" w:fill="F5F7FB"/>
          </w:tcPr>
          <w:p>
            <w:pPr>
              <w:pStyle w:val="Compact"/>
            </w:pPr>
            <w:r>
              <w:rPr>
                <w:sz w:val="17"/>
              </w:rPr>
              <w:t xml:space="preserve">DGRK créée par l’Édit n° 0001/08 du 22 janvier 2008</w:t>
            </w:r>
          </w:p>
        </w:tc>
        <w:tc>
          <w:tcPr>
            <w:shd w:val="clear" w:color="auto" w:fill="F5F7FB"/>
          </w:tcPr>
          <w:p>
            <w:pPr>
              <w:pStyle w:val="Compact"/>
            </w:pPr>
            <w:r>
              <w:rPr>
                <w:sz w:val="17"/>
              </w:rPr>
              <w:t xml:space="preserve">PROBABLE</w:t>
            </w:r>
          </w:p>
        </w:tc>
        <w:tc>
          <w:tcPr>
            <w:shd w:val="clear" w:color="auto" w:fill="F5F7FB"/>
          </w:tcPr>
          <w:p>
            <w:pPr>
              <w:pStyle w:val="Compact"/>
            </w:pPr>
            <w:r>
              <w:rPr>
                <w:sz w:val="17"/>
              </w:rPr>
              <w:t xml:space="preserve">Portail de la régie</w:t>
            </w:r>
          </w:p>
        </w:tc>
      </w:tr>
      <w:tr>
        <w:tc>
          <w:tcPr/>
          <w:p>
            <w:pPr>
              <w:pStyle w:val="Compact"/>
            </w:pPr>
            <w:r>
              <w:rPr>
                <w:sz w:val="17"/>
              </w:rPr>
              <w:t xml:space="preserve">A15</w:t>
            </w:r>
          </w:p>
        </w:tc>
        <w:tc>
          <w:tcPr/>
          <w:p>
            <w:pPr>
              <w:pStyle w:val="Compact"/>
            </w:pPr>
            <w:r>
              <w:rPr>
                <w:sz w:val="17"/>
              </w:rPr>
              <w:t xml:space="preserve">Remplacement de la DGRK par la DGIPK et une direction des droits, taxes et redevances, par arrêtés ; feuille de route le 8 sept. 2026</w:t>
            </w:r>
          </w:p>
        </w:tc>
        <w:tc>
          <w:tcPr/>
          <w:p>
            <w:pPr>
              <w:pStyle w:val="Compact"/>
            </w:pPr>
            <w:r>
              <w:rPr>
                <w:sz w:val="17"/>
              </w:rPr>
              <w:t xml:space="preserve">CONFIRMÉ (presse)</w:t>
            </w:r>
          </w:p>
        </w:tc>
        <w:tc>
          <w:tcPr/>
          <w:p>
            <w:pPr>
              <w:pStyle w:val="Compact"/>
            </w:pPr>
            <w:r>
              <w:rPr>
                <w:sz w:val="17"/>
              </w:rPr>
              <w:t xml:space="preserve">7sur7.cd, actualite.cd (16 mai 2026) ; acp.cd ; allafrica (10 sept. 2026)</w:t>
            </w:r>
          </w:p>
        </w:tc>
      </w:tr>
      <w:tr>
        <w:tc>
          <w:tcPr>
            <w:shd w:val="clear" w:color="auto" w:fill="F5F7FB"/>
          </w:tcPr>
          <w:p>
            <w:pPr>
              <w:pStyle w:val="Compact"/>
            </w:pPr>
            <w:r>
              <w:rPr>
                <w:sz w:val="17"/>
              </w:rPr>
              <w:t xml:space="preserve">A16</w:t>
            </w:r>
          </w:p>
        </w:tc>
        <w:tc>
          <w:tcPr>
            <w:shd w:val="clear" w:color="auto" w:fill="F5F7FB"/>
          </w:tcPr>
          <w:p>
            <w:pPr>
              <w:pStyle w:val="Compact"/>
            </w:pPr>
            <w:r>
              <w:rPr>
                <w:sz w:val="17"/>
              </w:rPr>
              <w:t xml:space="preserve">Quitus fiscal provincial</w:t>
            </w:r>
          </w:p>
        </w:tc>
        <w:tc>
          <w:tcPr>
            <w:shd w:val="clear" w:color="auto" w:fill="F5F7FB"/>
          </w:tcPr>
          <w:p>
            <w:pPr>
              <w:pStyle w:val="Compact"/>
            </w:pPr>
            <w:r>
              <w:rPr>
                <w:sz w:val="17"/>
              </w:rPr>
              <w:t xml:space="preserve">PROBABLE</w:t>
            </w:r>
          </w:p>
        </w:tc>
        <w:tc>
          <w:tcPr>
            <w:shd w:val="clear" w:color="auto" w:fill="F5F7FB"/>
          </w:tcPr>
          <w:p>
            <w:pPr>
              <w:pStyle w:val="Compact"/>
            </w:pPr>
            <w:r>
              <w:rPr>
                <w:sz w:val="17"/>
              </w:rPr>
              <w:t xml:space="preserve">radiookapi.net (janv. 2026) ; mediacongo.net</w:t>
            </w:r>
          </w:p>
        </w:tc>
      </w:tr>
      <w:tr>
        <w:tc>
          <w:tcPr/>
          <w:p>
            <w:pPr>
              <w:pStyle w:val="Compact"/>
            </w:pPr>
            <w:r>
              <w:rPr>
                <w:sz w:val="17"/>
              </w:rPr>
              <w:t xml:space="preserve">A17</w:t>
            </w:r>
          </w:p>
        </w:tc>
        <w:tc>
          <w:tcPr/>
          <w:p>
            <w:pPr>
              <w:pStyle w:val="Compact"/>
            </w:pPr>
            <w:r>
              <w:rPr>
                <w:sz w:val="17"/>
              </w:rPr>
              <w:t xml:space="preserve">Évaluation TADAT de la régie de Kinshasa restituée le 5 sept. 2025</w:t>
            </w:r>
          </w:p>
        </w:tc>
        <w:tc>
          <w:tcPr/>
          <w:p>
            <w:pPr>
              <w:pStyle w:val="Compact"/>
            </w:pPr>
            <w:r>
              <w:rPr>
                <w:sz w:val="17"/>
              </w:rPr>
              <w:t xml:space="preserve">CONFIRMÉ (fait)</w:t>
            </w:r>
          </w:p>
        </w:tc>
        <w:tc>
          <w:tcPr/>
          <w:p>
            <w:pPr>
              <w:pStyle w:val="Compact"/>
            </w:pPr>
            <w:r>
              <w:rPr>
                <w:sz w:val="17"/>
              </w:rPr>
              <w:t xml:space="preserve">ecomine.cd (12 sept. 2025) ; coref.cd</w:t>
            </w:r>
          </w:p>
        </w:tc>
      </w:tr>
      <w:tr>
        <w:tc>
          <w:tcPr>
            <w:shd w:val="clear" w:color="auto" w:fill="F5F7FB"/>
          </w:tcPr>
          <w:p>
            <w:pPr>
              <w:pStyle w:val="Compact"/>
            </w:pPr>
            <w:r>
              <w:rPr>
                <w:sz w:val="17"/>
              </w:rPr>
              <w:t xml:space="preserve">A18</w:t>
            </w:r>
          </w:p>
        </w:tc>
        <w:tc>
          <w:tcPr>
            <w:shd w:val="clear" w:color="auto" w:fill="F5F7FB"/>
          </w:tcPr>
          <w:p>
            <w:pPr>
              <w:pStyle w:val="Compact"/>
            </w:pPr>
            <w:r>
              <w:rPr>
                <w:sz w:val="17"/>
              </w:rPr>
              <w:t xml:space="preserve">Budget 2025 : 3 696,15 Md CDF ; budget 2026 : 3 023,3 ou 3 223,6 Md CDF</w:t>
            </w:r>
          </w:p>
        </w:tc>
        <w:tc>
          <w:tcPr>
            <w:shd w:val="clear" w:color="auto" w:fill="F5F7FB"/>
          </w:tcPr>
          <w:p>
            <w:pPr>
              <w:pStyle w:val="Compact"/>
            </w:pPr>
            <w:r>
              <w:rPr>
                <w:sz w:val="17"/>
              </w:rPr>
              <w:t xml:space="preserve">CONFIRMÉ / PROBABLE</w:t>
            </w:r>
          </w:p>
        </w:tc>
        <w:tc>
          <w:tcPr>
            <w:shd w:val="clear" w:color="auto" w:fill="F5F7FB"/>
          </w:tcPr>
          <w:p>
            <w:pPr>
              <w:pStyle w:val="Compact"/>
            </w:pPr>
            <w:r>
              <w:rPr>
                <w:sz w:val="17"/>
              </w:rPr>
              <w:t xml:space="preserve">actualite.cd ; deskeco.com ; 7sur7.cd ; acp.cd</w:t>
            </w:r>
          </w:p>
        </w:tc>
      </w:tr>
      <w:tr>
        <w:tc>
          <w:tcPr/>
          <w:p>
            <w:pPr>
              <w:pStyle w:val="Compact"/>
            </w:pPr>
            <w:r>
              <w:rPr>
                <w:sz w:val="17"/>
              </w:rPr>
              <w:t xml:space="preserve">A19</w:t>
            </w:r>
          </w:p>
        </w:tc>
        <w:tc>
          <w:tcPr/>
          <w:p>
            <w:pPr>
              <w:pStyle w:val="Compact"/>
            </w:pPr>
            <w:r>
              <w:rPr>
                <w:sz w:val="17"/>
              </w:rPr>
              <w:t xml:space="preserve">LOFIP n° 11/011 modifiée par la loi n° 18/010 ; unité de caisse</w:t>
            </w:r>
          </w:p>
        </w:tc>
        <w:tc>
          <w:tcPr/>
          <w:p>
            <w:pPr>
              <w:pStyle w:val="Compact"/>
            </w:pPr>
            <w:r>
              <w:rPr>
                <w:sz w:val="17"/>
              </w:rPr>
              <w:t xml:space="preserve">CONFIRMÉ</w:t>
            </w:r>
          </w:p>
        </w:tc>
        <w:tc>
          <w:tcPr/>
          <w:p>
            <w:pPr>
              <w:pStyle w:val="Compact"/>
            </w:pPr>
            <w:r>
              <w:rPr>
                <w:sz w:val="17"/>
              </w:rPr>
              <w:t xml:space="preserve">leganet.cd ; odep-rdc.com</w:t>
            </w:r>
          </w:p>
        </w:tc>
      </w:tr>
      <w:tr>
        <w:tc>
          <w:tcPr>
            <w:shd w:val="clear" w:color="auto" w:fill="F5F7FB"/>
          </w:tcPr>
          <w:p>
            <w:pPr>
              <w:pStyle w:val="Compact"/>
            </w:pPr>
            <w:r>
              <w:rPr>
                <w:sz w:val="17"/>
              </w:rPr>
              <w:t xml:space="preserve">A20</w:t>
            </w:r>
          </w:p>
        </w:tc>
        <w:tc>
          <w:tcPr>
            <w:shd w:val="clear" w:color="auto" w:fill="F5F7FB"/>
          </w:tcPr>
          <w:p>
            <w:pPr>
              <w:pStyle w:val="Compact"/>
            </w:pPr>
            <w:r>
              <w:rPr>
                <w:sz w:val="17"/>
              </w:rPr>
              <w:t xml:space="preserve">RGCP, décret n° 13/050 du 6 nov. 2013</w:t>
            </w:r>
          </w:p>
        </w:tc>
        <w:tc>
          <w:tcPr>
            <w:shd w:val="clear" w:color="auto" w:fill="F5F7FB"/>
          </w:tcPr>
          <w:p>
            <w:pPr>
              <w:pStyle w:val="Compact"/>
            </w:pPr>
            <w:r>
              <w:rPr>
                <w:sz w:val="17"/>
              </w:rPr>
              <w:t xml:space="preserve">PROBABLE</w:t>
            </w:r>
          </w:p>
        </w:tc>
        <w:tc>
          <w:tcPr>
            <w:shd w:val="clear" w:color="auto" w:fill="F5F7FB"/>
          </w:tcPr>
          <w:p>
            <w:pPr>
              <w:pStyle w:val="Compact"/>
            </w:pPr>
            <w:r>
              <w:rPr>
                <w:sz w:val="17"/>
              </w:rPr>
              <w:t xml:space="preserve">droitcongolais.info</w:t>
            </w:r>
          </w:p>
        </w:tc>
      </w:tr>
      <w:tr>
        <w:tc>
          <w:tcPr/>
          <w:p>
            <w:pPr>
              <w:pStyle w:val="Compact"/>
            </w:pPr>
            <w:r>
              <w:rPr>
                <w:sz w:val="17"/>
              </w:rPr>
              <w:t xml:space="preserve">A21</w:t>
            </w:r>
          </w:p>
        </w:tc>
        <w:tc>
          <w:tcPr/>
          <w:p>
            <w:pPr>
              <w:pStyle w:val="Compact"/>
            </w:pPr>
            <w:r>
              <w:rPr>
                <w:sz w:val="17"/>
              </w:rPr>
              <w:t xml:space="preserve">Loi n° 08/012 modifiée par la loi n° 13/008 ; loi organique n° 08/016</w:t>
            </w:r>
          </w:p>
        </w:tc>
        <w:tc>
          <w:tcPr/>
          <w:p>
            <w:pPr>
              <w:pStyle w:val="Compact"/>
            </w:pPr>
            <w:r>
              <w:rPr>
                <w:sz w:val="17"/>
              </w:rPr>
              <w:t xml:space="preserve">CONFIRMÉ</w:t>
            </w:r>
          </w:p>
        </w:tc>
        <w:tc>
          <w:tcPr/>
          <w:p>
            <w:pPr>
              <w:pStyle w:val="Compact"/>
            </w:pPr>
            <w:r>
              <w:rPr>
                <w:sz w:val="17"/>
              </w:rPr>
              <w:t xml:space="preserve">leganet.cd</w:t>
            </w:r>
          </w:p>
        </w:tc>
      </w:tr>
      <w:tr>
        <w:tc>
          <w:tcPr>
            <w:shd w:val="clear" w:color="auto" w:fill="F5F7FB"/>
          </w:tcPr>
          <w:p>
            <w:pPr>
              <w:pStyle w:val="Compact"/>
            </w:pPr>
            <w:r>
              <w:rPr>
                <w:sz w:val="17"/>
              </w:rPr>
              <w:t xml:space="preserve">A22</w:t>
            </w:r>
          </w:p>
        </w:tc>
        <w:tc>
          <w:tcPr>
            <w:shd w:val="clear" w:color="auto" w:fill="F5F7FB"/>
          </w:tcPr>
          <w:p>
            <w:pPr>
              <w:pStyle w:val="Compact"/>
            </w:pPr>
            <w:r>
              <w:rPr>
                <w:sz w:val="17"/>
              </w:rPr>
              <w:t xml:space="preserve">Loi n° 004/2003 (procédures fiscales) modifiée, notamment par la loi n° 23/052</w:t>
            </w:r>
          </w:p>
        </w:tc>
        <w:tc>
          <w:tcPr>
            <w:shd w:val="clear" w:color="auto" w:fill="F5F7FB"/>
          </w:tcPr>
          <w:p>
            <w:pPr>
              <w:pStyle w:val="Compact"/>
            </w:pPr>
            <w:r>
              <w:rPr>
                <w:sz w:val="17"/>
              </w:rPr>
              <w:t xml:space="preserve">CONFIRMÉ</w:t>
            </w:r>
          </w:p>
        </w:tc>
        <w:tc>
          <w:tcPr>
            <w:shd w:val="clear" w:color="auto" w:fill="F5F7FB"/>
          </w:tcPr>
          <w:p>
            <w:pPr>
              <w:pStyle w:val="Compact"/>
            </w:pPr>
            <w:r>
              <w:rPr>
                <w:sz w:val="17"/>
              </w:rPr>
              <w:t xml:space="preserve">leganet.cd ; leganews.pro</w:t>
            </w:r>
          </w:p>
        </w:tc>
      </w:tr>
      <w:tr>
        <w:tc>
          <w:tcPr/>
          <w:p>
            <w:pPr>
              <w:pStyle w:val="Compact"/>
            </w:pPr>
            <w:r>
              <w:rPr>
                <w:sz w:val="17"/>
              </w:rPr>
              <w:t xml:space="preserve">A23</w:t>
            </w:r>
          </w:p>
        </w:tc>
        <w:tc>
          <w:tcPr/>
          <w:p>
            <w:pPr>
              <w:pStyle w:val="Compact"/>
            </w:pPr>
            <w:r>
              <w:rPr>
                <w:sz w:val="17"/>
              </w:rPr>
              <w:t xml:space="preserve">Édit n° 005/2021 du 31 déc. 2021 (procédures de perception de la Ville), JO spécial 14 févr. 2022</w:t>
            </w:r>
          </w:p>
        </w:tc>
        <w:tc>
          <w:tcPr/>
          <w:p>
            <w:pPr>
              <w:pStyle w:val="Compact"/>
            </w:pPr>
            <w:r>
              <w:rPr>
                <w:sz w:val="17"/>
              </w:rPr>
              <w:t xml:space="preserve">CONFIRMÉ (existence)</w:t>
            </w:r>
          </w:p>
        </w:tc>
        <w:tc>
          <w:tcPr/>
          <w:p>
            <w:pPr>
              <w:pStyle w:val="Compact"/>
            </w:pPr>
            <w:r>
              <w:rPr>
                <w:sz w:val="17"/>
              </w:rPr>
              <w:t xml:space="preserve">legalrdc.com</w:t>
            </w:r>
          </w:p>
        </w:tc>
      </w:tr>
      <w:tr>
        <w:tc>
          <w:tcPr>
            <w:shd w:val="clear" w:color="auto" w:fill="F5F7FB"/>
          </w:tcPr>
          <w:p>
            <w:pPr>
              <w:pStyle w:val="Compact"/>
            </w:pPr>
            <w:r>
              <w:rPr>
                <w:sz w:val="17"/>
              </w:rPr>
              <w:t xml:space="preserve">A24</w:t>
            </w:r>
          </w:p>
        </w:tc>
        <w:tc>
          <w:tcPr>
            <w:shd w:val="clear" w:color="auto" w:fill="F5F7FB"/>
          </w:tcPr>
          <w:p>
            <w:pPr>
              <w:pStyle w:val="Compact"/>
            </w:pPr>
            <w:r>
              <w:rPr>
                <w:sz w:val="17"/>
              </w:rPr>
              <w:t xml:space="preserve">OL n° 23/010 du 13 mars 2023, Code du numérique</w:t>
            </w:r>
          </w:p>
        </w:tc>
        <w:tc>
          <w:tcPr>
            <w:shd w:val="clear" w:color="auto" w:fill="F5F7FB"/>
          </w:tcPr>
          <w:p>
            <w:pPr>
              <w:pStyle w:val="Compact"/>
            </w:pPr>
            <w:r>
              <w:rPr>
                <w:sz w:val="17"/>
              </w:rPr>
              <w:t xml:space="preserve">CONFIRMÉ</w:t>
            </w:r>
          </w:p>
        </w:tc>
        <w:tc>
          <w:tcPr>
            <w:shd w:val="clear" w:color="auto" w:fill="F5F7FB"/>
          </w:tcPr>
          <w:p>
            <w:pPr>
              <w:pStyle w:val="Compact"/>
            </w:pPr>
            <w:r>
              <w:rPr>
                <w:sz w:val="17"/>
              </w:rPr>
              <w:t xml:space="preserve">refworld.org</w:t>
            </w:r>
          </w:p>
        </w:tc>
      </w:tr>
      <w:tr>
        <w:tc>
          <w:tcPr/>
          <w:p>
            <w:pPr>
              <w:pStyle w:val="Compact"/>
            </w:pPr>
            <w:r>
              <w:rPr>
                <w:sz w:val="17"/>
              </w:rPr>
              <w:t xml:space="preserve">A25</w:t>
            </w:r>
          </w:p>
        </w:tc>
        <w:tc>
          <w:tcPr/>
          <w:p>
            <w:pPr>
              <w:pStyle w:val="Compact"/>
            </w:pPr>
            <w:r>
              <w:rPr>
                <w:sz w:val="17"/>
              </w:rPr>
              <w:t xml:space="preserve">Autorité de protection des données non créée ; missions intérimaires à l’ARPTIC</w:t>
            </w:r>
          </w:p>
        </w:tc>
        <w:tc>
          <w:tcPr/>
          <w:p>
            <w:pPr>
              <w:pStyle w:val="Compact"/>
            </w:pPr>
            <w:r>
              <w:rPr>
                <w:sz w:val="17"/>
              </w:rPr>
              <w:t xml:space="preserve">PROBABLE</w:t>
            </w:r>
          </w:p>
        </w:tc>
        <w:tc>
          <w:tcPr/>
          <w:p>
            <w:pPr>
              <w:pStyle w:val="Compact"/>
            </w:pPr>
            <w:r>
              <w:rPr>
                <w:sz w:val="17"/>
              </w:rPr>
              <w:t xml:space="preserve">leganews.pro ; doctrine</w:t>
            </w:r>
          </w:p>
        </w:tc>
      </w:tr>
      <w:tr>
        <w:tc>
          <w:tcPr>
            <w:shd w:val="clear" w:color="auto" w:fill="F5F7FB"/>
          </w:tcPr>
          <w:p>
            <w:pPr>
              <w:pStyle w:val="Compact"/>
            </w:pPr>
            <w:r>
              <w:rPr>
                <w:sz w:val="17"/>
              </w:rPr>
              <w:t xml:space="preserve">A26</w:t>
            </w:r>
          </w:p>
        </w:tc>
        <w:tc>
          <w:tcPr>
            <w:shd w:val="clear" w:color="auto" w:fill="F5F7FB"/>
          </w:tcPr>
          <w:p>
            <w:pPr>
              <w:pStyle w:val="Compact"/>
            </w:pPr>
            <w:r>
              <w:rPr>
                <w:sz w:val="17"/>
              </w:rPr>
              <w:t xml:space="preserve">Arrêtés n° 004 et 005 du 11 mars 2026 (services numériques)</w:t>
            </w:r>
          </w:p>
        </w:tc>
        <w:tc>
          <w:tcPr>
            <w:shd w:val="clear" w:color="auto" w:fill="F5F7FB"/>
          </w:tcPr>
          <w:p>
            <w:pPr>
              <w:pStyle w:val="Compact"/>
            </w:pPr>
            <w:r>
              <w:rPr>
                <w:sz w:val="17"/>
              </w:rPr>
              <w:t xml:space="preserve">PROBABLE</w:t>
            </w:r>
          </w:p>
        </w:tc>
        <w:tc>
          <w:tcPr>
            <w:shd w:val="clear" w:color="auto" w:fill="F5F7FB"/>
          </w:tcPr>
          <w:p>
            <w:pPr>
              <w:pStyle w:val="Compact"/>
            </w:pPr>
            <w:r>
              <w:rPr>
                <w:sz w:val="17"/>
              </w:rPr>
              <w:t xml:space="preserve">doseco.cd ; kbs-rdc.com</w:t>
            </w:r>
          </w:p>
        </w:tc>
      </w:tr>
      <w:tr>
        <w:tc>
          <w:tcPr/>
          <w:p>
            <w:pPr>
              <w:pStyle w:val="Compact"/>
            </w:pPr>
            <w:r>
              <w:rPr>
                <w:sz w:val="17"/>
              </w:rPr>
              <w:t xml:space="preserve">A27</w:t>
            </w:r>
          </w:p>
        </w:tc>
        <w:tc>
          <w:tcPr/>
          <w:p>
            <w:pPr>
              <w:pStyle w:val="Compact"/>
            </w:pPr>
            <w:r>
              <w:rPr>
                <w:sz w:val="17"/>
              </w:rPr>
              <w:t xml:space="preserve">Loi n° 18/019 du 9 juillet 2018 (systèmes de paiement) ; LO n° 18/027 (BCC)</w:t>
            </w:r>
          </w:p>
        </w:tc>
        <w:tc>
          <w:tcPr/>
          <w:p>
            <w:pPr>
              <w:pStyle w:val="Compact"/>
            </w:pPr>
            <w:r>
              <w:rPr>
                <w:sz w:val="17"/>
              </w:rPr>
              <w:t xml:space="preserve">CONFIRMÉ</w:t>
            </w:r>
          </w:p>
        </w:tc>
        <w:tc>
          <w:tcPr/>
          <w:p>
            <w:pPr>
              <w:pStyle w:val="Compact"/>
            </w:pPr>
            <w:r>
              <w:rPr>
                <w:sz w:val="17"/>
              </w:rPr>
              <w:t xml:space="preserve">droitcongolais.info ; bcc.cd</w:t>
            </w:r>
          </w:p>
        </w:tc>
      </w:tr>
      <w:tr>
        <w:tc>
          <w:tcPr>
            <w:shd w:val="clear" w:color="auto" w:fill="F5F7FB"/>
          </w:tcPr>
          <w:p>
            <w:pPr>
              <w:pStyle w:val="Compact"/>
            </w:pPr>
            <w:r>
              <w:rPr>
                <w:sz w:val="17"/>
              </w:rPr>
              <w:t xml:space="preserve">A28</w:t>
            </w:r>
          </w:p>
        </w:tc>
        <w:tc>
          <w:tcPr>
            <w:shd w:val="clear" w:color="auto" w:fill="F5F7FB"/>
          </w:tcPr>
          <w:p>
            <w:pPr>
              <w:pStyle w:val="Compact"/>
            </w:pPr>
            <w:r>
              <w:rPr>
                <w:sz w:val="17"/>
              </w:rPr>
              <w:t xml:space="preserve">Instructions BCC n° 24, 42, 58/2024</w:t>
            </w:r>
          </w:p>
        </w:tc>
        <w:tc>
          <w:tcPr>
            <w:shd w:val="clear" w:color="auto" w:fill="F5F7FB"/>
          </w:tcPr>
          <w:p>
            <w:pPr>
              <w:pStyle w:val="Compact"/>
            </w:pPr>
            <w:r>
              <w:rPr>
                <w:sz w:val="17"/>
              </w:rPr>
              <w:t xml:space="preserve">PROBABLE / NON VÉRIFIÉ</w:t>
            </w:r>
          </w:p>
        </w:tc>
        <w:tc>
          <w:tcPr>
            <w:shd w:val="clear" w:color="auto" w:fill="F5F7FB"/>
          </w:tcPr>
          <w:p>
            <w:pPr>
              <w:pStyle w:val="Compact"/>
            </w:pPr>
            <w:r>
              <w:rPr>
                <w:sz w:val="17"/>
              </w:rPr>
              <w:t xml:space="preserve">bcc.cd ; sources secondaires</w:t>
            </w:r>
          </w:p>
        </w:tc>
      </w:tr>
      <w:tr>
        <w:tc>
          <w:tcPr/>
          <w:p>
            <w:pPr>
              <w:pStyle w:val="Compact"/>
            </w:pPr>
            <w:r>
              <w:rPr>
                <w:sz w:val="17"/>
              </w:rPr>
              <w:t xml:space="preserve">A29</w:t>
            </w:r>
          </w:p>
        </w:tc>
        <w:tc>
          <w:tcPr/>
          <w:p>
            <w:pPr>
              <w:pStyle w:val="Compact"/>
            </w:pPr>
            <w:r>
              <w:rPr>
                <w:sz w:val="17"/>
              </w:rPr>
              <w:t xml:space="preserve">Loi n° 10/010 (marchés publics) ; révision validée en commission en janv. 2026</w:t>
            </w:r>
          </w:p>
        </w:tc>
        <w:tc>
          <w:tcPr/>
          <w:p>
            <w:pPr>
              <w:pStyle w:val="Compact"/>
            </w:pPr>
            <w:r>
              <w:rPr>
                <w:sz w:val="17"/>
              </w:rPr>
              <w:t xml:space="preserve">CONFIRMÉ / PROBABLE</w:t>
            </w:r>
          </w:p>
        </w:tc>
        <w:tc>
          <w:tcPr/>
          <w:p>
            <w:pPr>
              <w:pStyle w:val="Compact"/>
            </w:pPr>
            <w:r>
              <w:rPr>
                <w:sz w:val="17"/>
              </w:rPr>
              <w:t xml:space="preserve">armp-rdc.cd</w:t>
            </w:r>
          </w:p>
        </w:tc>
      </w:tr>
      <w:tr>
        <w:tc>
          <w:tcPr>
            <w:shd w:val="clear" w:color="auto" w:fill="F5F7FB"/>
          </w:tcPr>
          <w:p>
            <w:pPr>
              <w:pStyle w:val="Compact"/>
            </w:pPr>
            <w:r>
              <w:rPr>
                <w:sz w:val="17"/>
              </w:rPr>
              <w:t xml:space="preserve">A30</w:t>
            </w:r>
          </w:p>
        </w:tc>
        <w:tc>
          <w:tcPr>
            <w:shd w:val="clear" w:color="auto" w:fill="F5F7FB"/>
          </w:tcPr>
          <w:p>
            <w:pPr>
              <w:pStyle w:val="Compact"/>
            </w:pPr>
            <w:r>
              <w:rPr>
                <w:sz w:val="17"/>
              </w:rPr>
              <w:t xml:space="preserve">Loi n° 18/016 (PPP) ; décret n° 23/38</w:t>
            </w:r>
          </w:p>
        </w:tc>
        <w:tc>
          <w:tcPr>
            <w:shd w:val="clear" w:color="auto" w:fill="F5F7FB"/>
          </w:tcPr>
          <w:p>
            <w:pPr>
              <w:pStyle w:val="Compact"/>
            </w:pPr>
            <w:r>
              <w:rPr>
                <w:sz w:val="17"/>
              </w:rPr>
              <w:t xml:space="preserve">CONFIRMÉ</w:t>
            </w:r>
          </w:p>
        </w:tc>
        <w:tc>
          <w:tcPr>
            <w:shd w:val="clear" w:color="auto" w:fill="F5F7FB"/>
          </w:tcPr>
          <w:p>
            <w:pPr>
              <w:pStyle w:val="Compact"/>
            </w:pPr>
            <w:r>
              <w:rPr>
                <w:sz w:val="17"/>
              </w:rPr>
              <w:t xml:space="preserve">droit-afrique.com</w:t>
            </w:r>
          </w:p>
        </w:tc>
      </w:tr>
      <w:tr>
        <w:tc>
          <w:tcPr/>
          <w:p>
            <w:pPr>
              <w:pStyle w:val="Compact"/>
            </w:pPr>
            <w:r>
              <w:rPr>
                <w:sz w:val="17"/>
              </w:rPr>
              <w:t xml:space="preserve">A31</w:t>
            </w:r>
          </w:p>
        </w:tc>
        <w:tc>
          <w:tcPr/>
          <w:p>
            <w:pPr>
              <w:pStyle w:val="Compact"/>
            </w:pPr>
            <w:r>
              <w:rPr>
                <w:sz w:val="17"/>
              </w:rPr>
              <w:t xml:space="preserve">LO n° 18/024 (Cour des comptes)</w:t>
            </w:r>
          </w:p>
        </w:tc>
        <w:tc>
          <w:tcPr/>
          <w:p>
            <w:pPr>
              <w:pStyle w:val="Compact"/>
            </w:pPr>
            <w:r>
              <w:rPr>
                <w:sz w:val="17"/>
              </w:rPr>
              <w:t xml:space="preserve">CONFIRMÉ</w:t>
            </w:r>
          </w:p>
        </w:tc>
        <w:tc>
          <w:tcPr/>
          <w:p>
            <w:pPr>
              <w:pStyle w:val="Compact"/>
            </w:pPr>
            <w:r>
              <w:rPr>
                <w:sz w:val="17"/>
              </w:rPr>
              <w:t xml:space="preserve">courdescomptes.cd</w:t>
            </w:r>
          </w:p>
        </w:tc>
      </w:tr>
      <w:tr>
        <w:tc>
          <w:tcPr>
            <w:shd w:val="clear" w:color="auto" w:fill="F5F7FB"/>
          </w:tcPr>
          <w:p>
            <w:pPr>
              <w:pStyle w:val="Compact"/>
            </w:pPr>
            <w:r>
              <w:rPr>
                <w:sz w:val="17"/>
              </w:rPr>
              <w:t xml:space="preserve">A32</w:t>
            </w:r>
          </w:p>
        </w:tc>
        <w:tc>
          <w:tcPr>
            <w:shd w:val="clear" w:color="auto" w:fill="F5F7FB"/>
          </w:tcPr>
          <w:p>
            <w:pPr>
              <w:pStyle w:val="Compact"/>
            </w:pPr>
            <w:r>
              <w:rPr>
                <w:sz w:val="17"/>
              </w:rPr>
              <w:t xml:space="preserve">Décret n° 17/018 du 30 déc. 2017 (interdiction des emballages plastiques visés) ; arrêté de 2018</w:t>
            </w:r>
          </w:p>
        </w:tc>
        <w:tc>
          <w:tcPr>
            <w:shd w:val="clear" w:color="auto" w:fill="F5F7FB"/>
          </w:tcPr>
          <w:p>
            <w:pPr>
              <w:pStyle w:val="Compact"/>
            </w:pPr>
            <w:r>
              <w:rPr>
                <w:sz w:val="17"/>
              </w:rPr>
              <w:t xml:space="preserve">CONFIRMÉ</w:t>
            </w:r>
          </w:p>
        </w:tc>
        <w:tc>
          <w:tcPr>
            <w:shd w:val="clear" w:color="auto" w:fill="F5F7FB"/>
          </w:tcPr>
          <w:p>
            <w:pPr>
              <w:pStyle w:val="Compact"/>
            </w:pPr>
            <w:r>
              <w:rPr>
                <w:sz w:val="17"/>
              </w:rPr>
              <w:t xml:space="preserve">FAOLEX ; PNUE LEAP</w:t>
            </w:r>
          </w:p>
        </w:tc>
      </w:tr>
      <w:tr>
        <w:tc>
          <w:tcPr/>
          <w:p>
            <w:pPr>
              <w:pStyle w:val="Compact"/>
            </w:pPr>
            <w:r>
              <w:rPr>
                <w:sz w:val="17"/>
              </w:rPr>
              <w:t xml:space="preserve">A33</w:t>
            </w:r>
          </w:p>
        </w:tc>
        <w:tc>
          <w:tcPr/>
          <w:p>
            <w:pPr>
              <w:pStyle w:val="Compact"/>
            </w:pPr>
            <w:r>
              <w:rPr>
                <w:sz w:val="17"/>
              </w:rPr>
              <w:t xml:space="preserve">Loi n° 11/009 modifiée par l’OL n° 23/007</w:t>
            </w:r>
          </w:p>
        </w:tc>
        <w:tc>
          <w:tcPr/>
          <w:p>
            <w:pPr>
              <w:pStyle w:val="Compact"/>
            </w:pPr>
            <w:r>
              <w:rPr>
                <w:sz w:val="17"/>
              </w:rPr>
              <w:t xml:space="preserve">CONFIRMÉ</w:t>
            </w:r>
          </w:p>
        </w:tc>
        <w:tc>
          <w:tcPr/>
          <w:p>
            <w:pPr>
              <w:pStyle w:val="Compact"/>
            </w:pPr>
            <w:r>
              <w:rPr>
                <w:sz w:val="17"/>
              </w:rPr>
              <w:t xml:space="preserve">droitcongolais.info ; medd.gouv.cd</w:t>
            </w:r>
          </w:p>
        </w:tc>
      </w:tr>
      <w:tr>
        <w:tc>
          <w:tcPr>
            <w:shd w:val="clear" w:color="auto" w:fill="F5F7FB"/>
          </w:tcPr>
          <w:p>
            <w:pPr>
              <w:pStyle w:val="Compact"/>
            </w:pPr>
            <w:r>
              <w:rPr>
                <w:sz w:val="17"/>
              </w:rPr>
              <w:t xml:space="preserve">A34</w:t>
            </w:r>
          </w:p>
        </w:tc>
        <w:tc>
          <w:tcPr>
            <w:shd w:val="clear" w:color="auto" w:fill="F5F7FB"/>
          </w:tcPr>
          <w:p>
            <w:pPr>
              <w:pStyle w:val="Compact"/>
            </w:pPr>
            <w:r>
              <w:rPr>
                <w:sz w:val="17"/>
              </w:rPr>
              <w:t xml:space="preserve">Loi n° 22/068 (LBC/FT)</w:t>
            </w:r>
          </w:p>
        </w:tc>
        <w:tc>
          <w:tcPr>
            <w:shd w:val="clear" w:color="auto" w:fill="F5F7FB"/>
          </w:tcPr>
          <w:p>
            <w:pPr>
              <w:pStyle w:val="Compact"/>
            </w:pPr>
            <w:r>
              <w:rPr>
                <w:sz w:val="17"/>
              </w:rPr>
              <w:t xml:space="preserve">CONFIRMÉ</w:t>
            </w:r>
          </w:p>
        </w:tc>
        <w:tc>
          <w:tcPr>
            <w:shd w:val="clear" w:color="auto" w:fill="F5F7FB"/>
          </w:tcPr>
          <w:p>
            <w:pPr>
              <w:pStyle w:val="Compact"/>
            </w:pPr>
            <w:r>
              <w:rPr>
                <w:sz w:val="17"/>
              </w:rPr>
              <w:t xml:space="preserve">cenaref.org</w:t>
            </w:r>
          </w:p>
        </w:tc>
      </w:tr>
      <w:tr>
        <w:tc>
          <w:tcPr/>
          <w:p>
            <w:pPr>
              <w:pStyle w:val="Compact"/>
            </w:pPr>
            <w:r>
              <w:rPr>
                <w:sz w:val="17"/>
              </w:rPr>
              <w:t xml:space="preserve">A35</w:t>
            </w:r>
          </w:p>
        </w:tc>
        <w:tc>
          <w:tcPr/>
          <w:p>
            <w:pPr>
              <w:pStyle w:val="Compact"/>
            </w:pPr>
            <w:r>
              <w:rPr>
                <w:sz w:val="17"/>
              </w:rPr>
              <w:t xml:space="preserve">Identification de masse annoncée pour fin 2026</w:t>
            </w:r>
          </w:p>
        </w:tc>
        <w:tc>
          <w:tcPr/>
          <w:p>
            <w:pPr>
              <w:pStyle w:val="Compact"/>
            </w:pPr>
            <w:r>
              <w:rPr>
                <w:sz w:val="17"/>
              </w:rPr>
              <w:t xml:space="preserve">PROBABLE</w:t>
            </w:r>
          </w:p>
        </w:tc>
        <w:tc>
          <w:tcPr/>
          <w:p>
            <w:pPr>
              <w:pStyle w:val="Compact"/>
            </w:pPr>
            <w:r>
              <w:rPr>
                <w:sz w:val="17"/>
              </w:rPr>
              <w:t xml:space="preserve">congoquotidien.com (16 sept. 2026)</w:t>
            </w:r>
          </w:p>
        </w:tc>
      </w:tr>
      <w:tr>
        <w:tc>
          <w:tcPr>
            <w:shd w:val="clear" w:color="auto" w:fill="F5F7FB"/>
          </w:tcPr>
          <w:p>
            <w:pPr>
              <w:pStyle w:val="Compact"/>
            </w:pPr>
            <w:r>
              <w:rPr>
                <w:sz w:val="17"/>
              </w:rPr>
              <w:t xml:space="preserve">A36</w:t>
            </w:r>
          </w:p>
        </w:tc>
        <w:tc>
          <w:tcPr>
            <w:shd w:val="clear" w:color="auto" w:fill="F5F7FB"/>
          </w:tcPr>
          <w:p>
            <w:pPr>
              <w:pStyle w:val="Compact"/>
            </w:pPr>
            <w:r>
              <w:rPr>
                <w:sz w:val="17"/>
              </w:rPr>
              <w:t xml:space="preserve">Kananga : conformité et élasticité (Bergeron et al., Econometrica 2024 ; Balán et al., AER 2022 ; Weigel)</w:t>
            </w:r>
          </w:p>
        </w:tc>
        <w:tc>
          <w:tcPr>
            <w:shd w:val="clear" w:color="auto" w:fill="F5F7FB"/>
          </w:tcPr>
          <w:p>
            <w:pPr>
              <w:pStyle w:val="Compact"/>
            </w:pPr>
            <w:r>
              <w:rPr>
                <w:sz w:val="17"/>
              </w:rPr>
              <w:t xml:space="preserve">CONFIRMÉ</w:t>
            </w:r>
          </w:p>
        </w:tc>
        <w:tc>
          <w:tcPr>
            <w:shd w:val="clear" w:color="auto" w:fill="F5F7FB"/>
          </w:tcPr>
          <w:p>
            <w:pPr>
              <w:pStyle w:val="Compact"/>
            </w:pPr>
            <w:r>
              <w:rPr>
                <w:sz w:val="17"/>
              </w:rPr>
              <w:t xml:space="preserve">Publications académiques</w:t>
            </w:r>
          </w:p>
        </w:tc>
      </w:tr>
      <w:tr>
        <w:tc>
          <w:tcPr/>
          <w:p>
            <w:pPr>
              <w:pStyle w:val="Compact"/>
            </w:pPr>
            <w:r>
              <w:rPr>
                <w:sz w:val="17"/>
              </w:rPr>
              <w:t xml:space="preserve">A37</w:t>
            </w:r>
          </w:p>
        </w:tc>
        <w:tc>
          <w:tcPr/>
          <w:p>
            <w:pPr>
              <w:pStyle w:val="Compact"/>
            </w:pPr>
            <w:r>
              <w:rPr>
                <w:sz w:val="17"/>
              </w:rPr>
              <w:t xml:space="preserve">Kampala KCCA : recettes propres de 30 à 110 Md UGX (2011–2016)</w:t>
            </w:r>
          </w:p>
        </w:tc>
        <w:tc>
          <w:tcPr/>
          <w:p>
            <w:pPr>
              <w:pStyle w:val="Compact"/>
            </w:pPr>
            <w:r>
              <w:rPr>
                <w:sz w:val="17"/>
              </w:rPr>
              <w:t xml:space="preserve">CONFIRMÉ</w:t>
            </w:r>
          </w:p>
        </w:tc>
        <w:tc>
          <w:tcPr/>
          <w:p>
            <w:pPr>
              <w:pStyle w:val="Compact"/>
            </w:pPr>
            <w:r>
              <w:rPr>
                <w:sz w:val="17"/>
              </w:rPr>
              <w:t xml:space="preserve">theigc.org</w:t>
            </w:r>
          </w:p>
        </w:tc>
      </w:tr>
      <w:tr>
        <w:tc>
          <w:tcPr>
            <w:shd w:val="clear" w:color="auto" w:fill="F5F7FB"/>
          </w:tcPr>
          <w:p>
            <w:pPr>
              <w:pStyle w:val="Compact"/>
            </w:pPr>
            <w:r>
              <w:rPr>
                <w:sz w:val="17"/>
              </w:rPr>
              <w:t xml:space="preserve">A38</w:t>
            </w:r>
          </w:p>
        </w:tc>
        <w:tc>
          <w:tcPr>
            <w:shd w:val="clear" w:color="auto" w:fill="F5F7FB"/>
          </w:tcPr>
          <w:p>
            <w:pPr>
              <w:pStyle w:val="Compact"/>
            </w:pPr>
            <w:r>
              <w:rPr>
                <w:sz w:val="17"/>
              </w:rPr>
              <w:t xml:space="preserve">Freetown : impôt foncier de 4,25 à 15 Md SLL (2017–2020) ; suspension de 2020</w:t>
            </w:r>
          </w:p>
        </w:tc>
        <w:tc>
          <w:tcPr>
            <w:shd w:val="clear" w:color="auto" w:fill="F5F7FB"/>
          </w:tcPr>
          <w:p>
            <w:pPr>
              <w:pStyle w:val="Compact"/>
            </w:pPr>
            <w:r>
              <w:rPr>
                <w:sz w:val="17"/>
              </w:rPr>
              <w:t xml:space="preserve">PROBABLE</w:t>
            </w:r>
          </w:p>
        </w:tc>
        <w:tc>
          <w:tcPr>
            <w:shd w:val="clear" w:color="auto" w:fill="F5F7FB"/>
          </w:tcPr>
          <w:p>
            <w:pPr>
              <w:pStyle w:val="Compact"/>
            </w:pPr>
            <w:r>
              <w:rPr>
                <w:sz w:val="17"/>
              </w:rPr>
              <w:t xml:space="preserve">logri.org ; ids.ac.uk</w:t>
            </w:r>
          </w:p>
        </w:tc>
      </w:tr>
      <w:tr>
        <w:tc>
          <w:tcPr/>
          <w:p>
            <w:pPr>
              <w:pStyle w:val="Compact"/>
            </w:pPr>
            <w:r>
              <w:rPr>
                <w:sz w:val="17"/>
              </w:rPr>
              <w:t xml:space="preserve">A39</w:t>
            </w:r>
          </w:p>
        </w:tc>
        <w:tc>
          <w:tcPr/>
          <w:p>
            <w:pPr>
              <w:pStyle w:val="Compact"/>
            </w:pPr>
            <w:r>
              <w:rPr>
                <w:sz w:val="17"/>
              </w:rPr>
              <w:t xml:space="preserve">Monnaie mobile RDC : ≈ 24 millions de comptes actifs (T1 2024) ; parts de marché</w:t>
            </w:r>
          </w:p>
        </w:tc>
        <w:tc>
          <w:tcPr/>
          <w:p>
            <w:pPr>
              <w:pStyle w:val="Compact"/>
            </w:pPr>
            <w:r>
              <w:rPr>
                <w:sz w:val="17"/>
              </w:rPr>
              <w:t xml:space="preserve">PROBABLE</w:t>
            </w:r>
          </w:p>
        </w:tc>
        <w:tc>
          <w:tcPr/>
          <w:p>
            <w:pPr>
              <w:pStyle w:val="Compact"/>
            </w:pPr>
            <w:r>
              <w:rPr>
                <w:sz w:val="17"/>
              </w:rPr>
              <w:t xml:space="preserve">ARPTC via presse spécialisée</w:t>
            </w:r>
          </w:p>
        </w:tc>
      </w:tr>
      <w:tr>
        <w:tc>
          <w:tcPr>
            <w:shd w:val="clear" w:color="auto" w:fill="F5F7FB"/>
          </w:tcPr>
          <w:p>
            <w:pPr>
              <w:pStyle w:val="Compact"/>
            </w:pPr>
            <w:r>
              <w:rPr>
                <w:sz w:val="17"/>
              </w:rPr>
              <w:t xml:space="preserve">A40</w:t>
            </w:r>
          </w:p>
        </w:tc>
        <w:tc>
          <w:tcPr>
            <w:shd w:val="clear" w:color="auto" w:fill="F5F7FB"/>
          </w:tcPr>
          <w:p>
            <w:pPr>
              <w:pStyle w:val="Compact"/>
            </w:pPr>
            <w:r>
              <w:rPr>
                <w:sz w:val="17"/>
              </w:rPr>
              <w:t xml:space="preserve">Taux de change BCC ≈ 2 268 CDF/USD (sept. 2026) ; hypothèse budgétaire ≈ 2 900</w:t>
            </w:r>
          </w:p>
        </w:tc>
        <w:tc>
          <w:tcPr>
            <w:shd w:val="clear" w:color="auto" w:fill="F5F7FB"/>
          </w:tcPr>
          <w:p>
            <w:pPr>
              <w:pStyle w:val="Compact"/>
            </w:pPr>
            <w:r>
              <w:rPr>
                <w:sz w:val="17"/>
              </w:rPr>
              <w:t xml:space="preserve">PROBABLE</w:t>
            </w:r>
          </w:p>
        </w:tc>
        <w:tc>
          <w:tcPr>
            <w:shd w:val="clear" w:color="auto" w:fill="F5F7FB"/>
          </w:tcPr>
          <w:p>
            <w:pPr>
              <w:pStyle w:val="Compact"/>
            </w:pPr>
            <w:r>
              <w:rPr>
                <w:sz w:val="17"/>
              </w:rPr>
              <w:t xml:space="preserve">bcc.cd (non consulté directement)</w:t>
            </w:r>
          </w:p>
        </w:tc>
      </w:tr>
    </w:tbl>
    <w:bookmarkEnd w:id="374"/>
    <w:bookmarkStart w:id="375" w:name="annexe-b-fiches-de-règles-modèles"/>
    <w:p>
      <w:pPr>
        <w:pStyle w:val="Heading1"/>
      </w:pPr>
      <w:r>
        <w:t xml:space="preserve">Annexe B — Fiches de règles modèles</w:t>
      </w:r>
    </w:p>
    <w:p>
      <w:pPr>
        <w:pStyle w:val="FirstParagraph"/>
      </w:pPr>
      <w:r>
        <w:t xml:space="preserve">Les fiches ci-dessous sont des</w:t>
      </w:r>
      <w:r>
        <w:t xml:space="preserve"> </w:t>
      </w:r>
      <w:r>
        <w:rPr>
          <w:b/>
          <w:bCs/>
        </w:rPr>
        <w:t xml:space="preserve">modèles de saisie</w:t>
      </w:r>
      <w:r>
        <w:t xml:space="preserve">. Leur statut est</w:t>
      </w:r>
      <w:r>
        <w:t xml:space="preserve"> </w:t>
      </w:r>
      <w:r>
        <w:rPr>
          <w:rStyle w:val="VerbatimChar"/>
        </w:rPr>
        <w:t xml:space="preserve">A_VERIFIER</w:t>
      </w:r>
      <w:r>
        <w:t xml:space="preserve"> </w:t>
      </w:r>
      <w:r>
        <w:t xml:space="preserve">: elles ne produisent aucune obligation avant certification.</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Champ</w:t>
            </w:r>
          </w:p>
        </w:tc>
        <w:tc>
          <w:tcPr>
            <w:shd w:val="clear" w:color="auto" w:fill="232C6B"/>
          </w:tcPr>
          <w:p>
            <w:pPr>
              <w:pStyle w:val="Compact"/>
            </w:pPr>
            <w:r>
              <w:rPr>
                <w:b/>
                <w:color w:val="FFFFFF"/>
                <w:sz w:val="17"/>
              </w:rPr>
              <w:t xml:space="preserve">IRL — 1er rang</w:t>
            </w:r>
          </w:p>
        </w:tc>
        <w:tc>
          <w:tcPr>
            <w:shd w:val="clear" w:color="auto" w:fill="232C6B"/>
          </w:tcPr>
          <w:p>
            <w:pPr>
              <w:pStyle w:val="Compact"/>
            </w:pPr>
            <w:r>
              <w:rPr>
                <w:b/>
                <w:color w:val="FFFFFF"/>
                <w:sz w:val="17"/>
              </w:rPr>
              <w:t xml:space="preserve">Impôt foncier — personne physique, bâti, 1er rang</w:t>
            </w:r>
          </w:p>
        </w:tc>
      </w:tr>
      <w:tr>
        <w:tc>
          <w:tcPr/>
          <w:p>
            <w:pPr>
              <w:pStyle w:val="Compact"/>
            </w:pPr>
            <w:r>
              <w:rPr>
                <w:sz w:val="17"/>
              </w:rPr>
              <w:t xml:space="preserve">Code</w:t>
            </w:r>
          </w:p>
        </w:tc>
        <w:tc>
          <w:tcPr/>
          <w:p>
            <w:pPr>
              <w:pStyle w:val="Compact"/>
            </w:pPr>
            <w:r>
              <w:rPr>
                <w:rStyle w:val="VerbatimChar"/>
                <w:sz w:val="17"/>
              </w:rPr>
              <w:t xml:space="preserve">IRL-KIN-R1</w:t>
            </w:r>
          </w:p>
        </w:tc>
        <w:tc>
          <w:tcPr/>
          <w:p>
            <w:pPr>
              <w:pStyle w:val="Compact"/>
            </w:pPr>
            <w:r>
              <w:rPr>
                <w:rStyle w:val="VerbatimChar"/>
                <w:sz w:val="17"/>
              </w:rPr>
              <w:t xml:space="preserve">IF-KIN-PP-BATI-R1</w:t>
            </w:r>
          </w:p>
        </w:tc>
      </w:tr>
      <w:tr>
        <w:tc>
          <w:tcPr>
            <w:shd w:val="clear" w:color="auto" w:fill="F5F7FB"/>
          </w:tcPr>
          <w:p>
            <w:pPr>
              <w:pStyle w:val="Compact"/>
            </w:pPr>
            <w:r>
              <w:rPr>
                <w:sz w:val="17"/>
              </w:rPr>
              <w:t xml:space="preserve">Catégorie</w:t>
            </w:r>
          </w:p>
        </w:tc>
        <w:tc>
          <w:tcPr>
            <w:shd w:val="clear" w:color="auto" w:fill="F5F7FB"/>
          </w:tcPr>
          <w:p>
            <w:pPr>
              <w:pStyle w:val="Compact"/>
            </w:pPr>
            <w:r>
              <w:rPr>
                <w:sz w:val="17"/>
              </w:rPr>
              <w:t xml:space="preserve">IMPOT_PROVINCIAL</w:t>
            </w:r>
          </w:p>
        </w:tc>
        <w:tc>
          <w:tcPr>
            <w:shd w:val="clear" w:color="auto" w:fill="F5F7FB"/>
          </w:tcPr>
          <w:p>
            <w:pPr>
              <w:pStyle w:val="Compact"/>
            </w:pPr>
            <w:r>
              <w:rPr>
                <w:sz w:val="17"/>
              </w:rPr>
              <w:t xml:space="preserve">IMPOT_PROVINCIAL</w:t>
            </w:r>
          </w:p>
        </w:tc>
      </w:tr>
      <w:tr>
        <w:tc>
          <w:tcPr/>
          <w:p>
            <w:pPr>
              <w:pStyle w:val="Compact"/>
            </w:pPr>
            <w:r>
              <w:rPr>
                <w:sz w:val="17"/>
              </w:rPr>
              <w:t xml:space="preserve">Instrument</w:t>
            </w:r>
          </w:p>
        </w:tc>
        <w:tc>
          <w:tcPr/>
          <w:p>
            <w:pPr>
              <w:pStyle w:val="Compact"/>
            </w:pPr>
            <w:r>
              <w:rPr>
                <w:sz w:val="17"/>
              </w:rPr>
              <w:t xml:space="preserve">Constitution art. 204 pt 16 ; OL 18/004 ; OL 69/009 modifiée ; arrêté 2026 [À VÉRIFIER]</w:t>
            </w:r>
          </w:p>
        </w:tc>
        <w:tc>
          <w:tcPr/>
          <w:p>
            <w:pPr>
              <w:pStyle w:val="Compact"/>
            </w:pPr>
            <w:r>
              <w:rPr>
                <w:sz w:val="17"/>
              </w:rPr>
              <w:t xml:space="preserve">Constitution art. 204 pt 16 ; OL 18/004 ; OL 69/006 modifiée ; arrêté 2026 [À VÉRIFIER]</w:t>
            </w:r>
          </w:p>
        </w:tc>
      </w:tr>
      <w:tr>
        <w:tc>
          <w:tcPr>
            <w:shd w:val="clear" w:color="auto" w:fill="F5F7FB"/>
          </w:tcPr>
          <w:p>
            <w:pPr>
              <w:pStyle w:val="Compact"/>
            </w:pPr>
            <w:r>
              <w:rPr>
                <w:sz w:val="17"/>
              </w:rPr>
              <w:t xml:space="preserve">Autorité / administration</w:t>
            </w:r>
          </w:p>
        </w:tc>
        <w:tc>
          <w:tcPr>
            <w:shd w:val="clear" w:color="auto" w:fill="F5F7FB"/>
          </w:tcPr>
          <w:p>
            <w:pPr>
              <w:pStyle w:val="Compact"/>
            </w:pPr>
            <w:r>
              <w:rPr>
                <w:sz w:val="17"/>
              </w:rPr>
              <w:t xml:space="preserve">Ministère provincial des Finances / DGIPK</w:t>
            </w:r>
          </w:p>
        </w:tc>
        <w:tc>
          <w:tcPr>
            <w:shd w:val="clear" w:color="auto" w:fill="F5F7FB"/>
          </w:tcPr>
          <w:p>
            <w:pPr>
              <w:pStyle w:val="Compact"/>
            </w:pPr>
            <w:r>
              <w:rPr>
                <w:sz w:val="17"/>
              </w:rPr>
              <w:t xml:space="preserve">Idem</w:t>
            </w:r>
          </w:p>
        </w:tc>
      </w:tr>
      <w:tr>
        <w:tc>
          <w:tcPr/>
          <w:p>
            <w:pPr>
              <w:pStyle w:val="Compact"/>
            </w:pPr>
            <w:r>
              <w:rPr>
                <w:sz w:val="17"/>
              </w:rPr>
              <w:t xml:space="preserve">Fait générateur</w:t>
            </w:r>
          </w:p>
        </w:tc>
        <w:tc>
          <w:tcPr/>
          <w:p>
            <w:pPr>
              <w:pStyle w:val="Compact"/>
            </w:pPr>
            <w:r>
              <w:rPr>
                <w:sz w:val="17"/>
              </w:rPr>
              <w:t xml:space="preserve">Perception de loyers</w:t>
            </w:r>
          </w:p>
        </w:tc>
        <w:tc>
          <w:tcPr/>
          <w:p>
            <w:pPr>
              <w:pStyle w:val="Compact"/>
            </w:pPr>
            <w:r>
              <w:rPr>
                <w:sz w:val="17"/>
              </w:rPr>
              <w:t xml:space="preserve">Propriété d’un immeuble bâti [date À VÉRIFIER]</w:t>
            </w:r>
          </w:p>
        </w:tc>
      </w:tr>
      <w:tr>
        <w:tc>
          <w:tcPr>
            <w:shd w:val="clear" w:color="auto" w:fill="F5F7FB"/>
          </w:tcPr>
          <w:p>
            <w:pPr>
              <w:pStyle w:val="Compact"/>
            </w:pPr>
            <w:r>
              <w:rPr>
                <w:sz w:val="17"/>
              </w:rPr>
              <w:t xml:space="preserve">Redevable</w:t>
            </w:r>
          </w:p>
        </w:tc>
        <w:tc>
          <w:tcPr>
            <w:shd w:val="clear" w:color="auto" w:fill="F5F7FB"/>
          </w:tcPr>
          <w:p>
            <w:pPr>
              <w:pStyle w:val="Compact"/>
            </w:pPr>
            <w:r>
              <w:rPr>
                <w:sz w:val="17"/>
              </w:rPr>
              <w:t xml:space="preserve">Bailleur ; retenue par locataire assujetti [À VÉRIFIER]</w:t>
            </w:r>
          </w:p>
        </w:tc>
        <w:tc>
          <w:tcPr>
            <w:shd w:val="clear" w:color="auto" w:fill="F5F7FB"/>
          </w:tcPr>
          <w:p>
            <w:pPr>
              <w:pStyle w:val="Compact"/>
            </w:pPr>
            <w:r>
              <w:rPr>
                <w:sz w:val="17"/>
              </w:rPr>
              <w:t xml:space="preserve">Propriétaire personne physique</w:t>
            </w:r>
          </w:p>
        </w:tc>
      </w:tr>
      <w:tr>
        <w:tc>
          <w:tcPr/>
          <w:p>
            <w:pPr>
              <w:pStyle w:val="Compact"/>
            </w:pPr>
            <w:r>
              <w:rPr>
                <w:sz w:val="17"/>
              </w:rPr>
              <w:t xml:space="preserve">Assiette</w:t>
            </w:r>
          </w:p>
        </w:tc>
        <w:tc>
          <w:tcPr/>
          <w:p>
            <w:pPr>
              <w:pStyle w:val="Compact"/>
            </w:pPr>
            <w:r>
              <w:rPr>
                <w:sz w:val="17"/>
              </w:rPr>
              <w:t xml:space="preserve">Loyers effectivement perçus sur la période</w:t>
            </w:r>
          </w:p>
        </w:tc>
        <w:tc>
          <w:tcPr/>
          <w:p>
            <w:pPr>
              <w:pStyle w:val="Compact"/>
            </w:pPr>
            <w:r>
              <w:rPr>
                <w:sz w:val="17"/>
              </w:rPr>
              <w:t xml:space="preserve">Forfait par propriété</w:t>
            </w:r>
          </w:p>
        </w:tc>
      </w:tr>
      <w:tr>
        <w:tc>
          <w:tcPr>
            <w:shd w:val="clear" w:color="auto" w:fill="F5F7FB"/>
          </w:tcPr>
          <w:p>
            <w:pPr>
              <w:pStyle w:val="Compact"/>
            </w:pPr>
            <w:r>
              <w:rPr>
                <w:sz w:val="17"/>
              </w:rPr>
              <w:t xml:space="preserve">Formule</w:t>
            </w:r>
          </w:p>
        </w:tc>
        <w:tc>
          <w:tcPr>
            <w:shd w:val="clear" w:color="auto" w:fill="F5F7FB"/>
          </w:tcPr>
          <w:p>
            <w:pPr>
              <w:pStyle w:val="Compact"/>
            </w:pPr>
            <w:r>
              <w:rPr>
                <w:rStyle w:val="VerbatimChar"/>
                <w:sz w:val="17"/>
              </w:rPr>
              <w:t xml:space="preserve">impot = loyers_percus × taux ; solde = impot − retenues_imputees</w:t>
            </w:r>
          </w:p>
        </w:tc>
        <w:tc>
          <w:tcPr>
            <w:shd w:val="clear" w:color="auto" w:fill="F5F7FB"/>
          </w:tcPr>
          <w:p>
            <w:pPr>
              <w:pStyle w:val="Compact"/>
            </w:pPr>
            <w:r>
              <w:rPr>
                <w:rStyle w:val="VerbatimChar"/>
                <w:sz w:val="17"/>
              </w:rPr>
              <w:t xml:space="preserve">impot = forfait(rang)</w:t>
            </w:r>
          </w:p>
        </w:tc>
      </w:tr>
      <w:tr>
        <w:tc>
          <w:tcPr/>
          <w:p>
            <w:pPr>
              <w:pStyle w:val="Compact"/>
            </w:pPr>
            <w:r>
              <w:rPr>
                <w:sz w:val="17"/>
              </w:rPr>
              <w:t xml:space="preserve">Taux / tarif</w:t>
            </w:r>
          </w:p>
        </w:tc>
        <w:tc>
          <w:tcPr/>
          <w:p>
            <w:pPr>
              <w:pStyle w:val="Compact"/>
            </w:pPr>
            <w:r>
              <w:rPr>
                <w:sz w:val="17"/>
              </w:rPr>
              <w:t xml:space="preserve">22 % ; retenue 20 %</w:t>
            </w:r>
          </w:p>
        </w:tc>
        <w:tc>
          <w:tcPr/>
          <w:p>
            <w:pPr>
              <w:pStyle w:val="Compact"/>
            </w:pPr>
            <w:r>
              <w:rPr>
                <w:sz w:val="17"/>
              </w:rPr>
              <w:t xml:space="preserve">450 USD</w:t>
            </w:r>
          </w:p>
        </w:tc>
      </w:tr>
      <w:tr>
        <w:tc>
          <w:tcPr>
            <w:shd w:val="clear" w:color="auto" w:fill="F5F7FB"/>
          </w:tcPr>
          <w:p>
            <w:pPr>
              <w:pStyle w:val="Compact"/>
            </w:pPr>
            <w:r>
              <w:rPr>
                <w:sz w:val="17"/>
              </w:rPr>
              <w:t xml:space="preserve">Devise</w:t>
            </w:r>
          </w:p>
        </w:tc>
        <w:tc>
          <w:tcPr>
            <w:shd w:val="clear" w:color="auto" w:fill="F5F7FB"/>
          </w:tcPr>
          <w:p>
            <w:pPr>
              <w:pStyle w:val="Compact"/>
            </w:pPr>
            <w:r>
              <w:rPr>
                <w:sz w:val="17"/>
              </w:rPr>
              <w:t xml:space="preserve">Devise du loyer ou CDF [À VÉRIFIER]</w:t>
            </w:r>
          </w:p>
        </w:tc>
        <w:tc>
          <w:tcPr>
            <w:shd w:val="clear" w:color="auto" w:fill="F5F7FB"/>
          </w:tcPr>
          <w:p>
            <w:pPr>
              <w:pStyle w:val="Compact"/>
            </w:pPr>
            <w:r>
              <w:rPr>
                <w:sz w:val="17"/>
              </w:rPr>
              <w:t xml:space="preserve">USD ; contre-valeur CDF au taux certifié</w:t>
            </w:r>
          </w:p>
        </w:tc>
      </w:tr>
      <w:tr>
        <w:tc>
          <w:tcPr/>
          <w:p>
            <w:pPr>
              <w:pStyle w:val="Compact"/>
            </w:pPr>
            <w:r>
              <w:rPr>
                <w:sz w:val="17"/>
              </w:rPr>
              <w:t xml:space="preserve">Périodicité / échéance</w:t>
            </w:r>
          </w:p>
        </w:tc>
        <w:tc>
          <w:tcPr/>
          <w:p>
            <w:pPr>
              <w:pStyle w:val="Compact"/>
            </w:pPr>
            <w:r>
              <w:rPr>
                <w:sz w:val="17"/>
              </w:rPr>
              <w:t xml:space="preserve">Annuelle, 1er février ; retenue mensuelle [À VÉRIFIER]</w:t>
            </w:r>
          </w:p>
        </w:tc>
        <w:tc>
          <w:tcPr/>
          <w:p>
            <w:pPr>
              <w:pStyle w:val="Compact"/>
            </w:pPr>
            <w:r>
              <w:rPr>
                <w:sz w:val="17"/>
              </w:rPr>
              <w:t xml:space="preserve">Annuelle, 1er février</w:t>
            </w:r>
          </w:p>
        </w:tc>
      </w:tr>
      <w:tr>
        <w:tc>
          <w:tcPr>
            <w:shd w:val="clear" w:color="auto" w:fill="F5F7FB"/>
          </w:tcPr>
          <w:p>
            <w:pPr>
              <w:pStyle w:val="Compact"/>
            </w:pPr>
            <w:r>
              <w:rPr>
                <w:sz w:val="17"/>
              </w:rPr>
              <w:t xml:space="preserve">Exonérations</w:t>
            </w:r>
          </w:p>
        </w:tc>
        <w:tc>
          <w:tcPr>
            <w:shd w:val="clear" w:color="auto" w:fill="F5F7FB"/>
          </w:tcPr>
          <w:p>
            <w:pPr>
              <w:pStyle w:val="Compact"/>
            </w:pPr>
            <w:r>
              <w:rPr>
                <w:sz w:val="17"/>
              </w:rPr>
              <w:t xml:space="preserve">[À VÉRIFIER]</w:t>
            </w:r>
          </w:p>
        </w:tc>
        <w:tc>
          <w:tcPr>
            <w:shd w:val="clear" w:color="auto" w:fill="F5F7FB"/>
          </w:tcPr>
          <w:p>
            <w:pPr>
              <w:pStyle w:val="Compact"/>
            </w:pPr>
            <w:r>
              <w:rPr>
                <w:sz w:val="17"/>
              </w:rPr>
              <w:t xml:space="preserve">[À VÉRIFIER]</w:t>
            </w:r>
          </w:p>
        </w:tc>
      </w:tr>
      <w:tr>
        <w:tc>
          <w:tcPr/>
          <w:p>
            <w:pPr>
              <w:pStyle w:val="Compact"/>
            </w:pPr>
            <w:r>
              <w:rPr>
                <w:sz w:val="17"/>
              </w:rPr>
              <w:t xml:space="preserve">Pénalités</w:t>
            </w:r>
          </w:p>
        </w:tc>
        <w:tc>
          <w:tcPr/>
          <w:p>
            <w:pPr>
              <w:pStyle w:val="Compact"/>
            </w:pPr>
            <w:r>
              <w:rPr>
                <w:sz w:val="17"/>
              </w:rPr>
              <w:t xml:space="preserve">[À VÉRIFIER — Édit 005/2021]</w:t>
            </w:r>
          </w:p>
        </w:tc>
        <w:tc>
          <w:tcPr/>
          <w:p>
            <w:pPr>
              <w:pStyle w:val="Compact"/>
            </w:pPr>
            <w:r>
              <w:rPr>
                <w:sz w:val="17"/>
              </w:rPr>
              <w:t xml:space="preserve">Idem</w:t>
            </w:r>
          </w:p>
        </w:tc>
      </w:tr>
      <w:tr>
        <w:tc>
          <w:tcPr>
            <w:shd w:val="clear" w:color="auto" w:fill="F5F7FB"/>
          </w:tcPr>
          <w:p>
            <w:pPr>
              <w:pStyle w:val="Compact"/>
            </w:pPr>
            <w:r>
              <w:rPr>
                <w:sz w:val="17"/>
              </w:rPr>
              <w:t xml:space="preserve">Compte bénéficiaire</w:t>
            </w:r>
          </w:p>
        </w:tc>
        <w:tc>
          <w:tcPr>
            <w:shd w:val="clear" w:color="auto" w:fill="F5F7FB"/>
          </w:tcPr>
          <w:p>
            <w:pPr>
              <w:pStyle w:val="Compact"/>
            </w:pPr>
            <w:r>
              <w:rPr>
                <w:sz w:val="17"/>
              </w:rPr>
              <w:t xml:space="preserve">Alias</w:t>
            </w:r>
            <w:r>
              <w:rPr>
                <w:sz w:val="17"/>
              </w:rPr>
              <w:t xml:space="preserve"> </w:t>
            </w:r>
            <w:r>
              <w:rPr>
                <w:rStyle w:val="VerbatimChar"/>
                <w:sz w:val="17"/>
              </w:rPr>
              <w:t xml:space="preserve">KIN-DGIPK-RECETTES-01</w:t>
            </w:r>
            <w:r>
              <w:rPr>
                <w:sz w:val="17"/>
              </w:rPr>
              <w:t xml:space="preserve"> </w:t>
            </w:r>
            <w:r>
              <w:rPr>
                <w:sz w:val="17"/>
              </w:rPr>
              <w:t xml:space="preserve">(coffre)</w:t>
            </w:r>
          </w:p>
        </w:tc>
        <w:tc>
          <w:tcPr>
            <w:shd w:val="clear" w:color="auto" w:fill="F5F7FB"/>
          </w:tcPr>
          <w:p>
            <w:pPr>
              <w:pStyle w:val="Compact"/>
            </w:pPr>
            <w:r>
              <w:rPr>
                <w:sz w:val="17"/>
              </w:rPr>
              <w:t xml:space="preserve">Idem</w:t>
            </w:r>
          </w:p>
        </w:tc>
      </w:tr>
      <w:tr>
        <w:tc>
          <w:tcPr/>
          <w:p>
            <w:pPr>
              <w:pStyle w:val="Compact"/>
            </w:pPr>
            <w:r>
              <w:rPr>
                <w:sz w:val="17"/>
              </w:rPr>
              <w:t xml:space="preserve">Recours</w:t>
            </w:r>
          </w:p>
        </w:tc>
        <w:tc>
          <w:tcPr/>
          <w:p>
            <w:pPr>
              <w:pStyle w:val="Compact"/>
            </w:pPr>
            <w:r>
              <w:rPr>
                <w:sz w:val="17"/>
              </w:rPr>
              <w:t xml:space="preserve">Réclamation auprès de la DGIPK [délai À VÉRIFIER]</w:t>
            </w:r>
          </w:p>
        </w:tc>
        <w:tc>
          <w:tcPr/>
          <w:p>
            <w:pPr>
              <w:pStyle w:val="Compact"/>
            </w:pPr>
            <w:r>
              <w:rPr>
                <w:sz w:val="17"/>
              </w:rPr>
              <w:t xml:space="preserve">Idem</w:t>
            </w:r>
          </w:p>
        </w:tc>
      </w:tr>
      <w:tr>
        <w:tc>
          <w:tcPr>
            <w:shd w:val="clear" w:color="auto" w:fill="F5F7FB"/>
          </w:tcPr>
          <w:p>
            <w:pPr>
              <w:pStyle w:val="Compact"/>
            </w:pPr>
            <w:r>
              <w:rPr>
                <w:sz w:val="17"/>
              </w:rPr>
              <w:t xml:space="preserve">Statut</w:t>
            </w:r>
          </w:p>
        </w:tc>
        <w:tc>
          <w:tcPr>
            <w:shd w:val="clear" w:color="auto" w:fill="F5F7FB"/>
          </w:tcPr>
          <w:p>
            <w:pPr>
              <w:pStyle w:val="Compact"/>
            </w:pPr>
            <w:r>
              <w:rPr>
                <w:rStyle w:val="VerbatimChar"/>
                <w:sz w:val="17"/>
              </w:rPr>
              <w:t xml:space="preserve">A_VERIFIER</w:t>
            </w:r>
          </w:p>
        </w:tc>
        <w:tc>
          <w:tcPr>
            <w:shd w:val="clear" w:color="auto" w:fill="F5F7FB"/>
          </w:tcPr>
          <w:p>
            <w:pPr>
              <w:pStyle w:val="Compact"/>
            </w:pPr>
            <w:r>
              <w:rPr>
                <w:rStyle w:val="VerbatimChar"/>
                <w:sz w:val="17"/>
              </w:rPr>
              <w:t xml:space="preserve">A_VERIFIER</w:t>
            </w:r>
          </w:p>
        </w:tc>
      </w:tr>
    </w:tbl>
    <w:p>
      <w:pPr>
        <w:pStyle w:val="BodyText"/>
      </w:pPr>
      <w:r>
        <w:t xml:space="preserve">Le socle logiciel (Annexe E) contient ces fiches sous forme exécutable, avec des tests qui démontrent qu’elles restent bloquées tant qu’elles ne sont pas certifiées.</w:t>
      </w:r>
    </w:p>
    <w:bookmarkEnd w:id="375"/>
    <w:bookmarkStart w:id="376" w:name="annexe-c-glossaire"/>
    <w:p>
      <w:pPr>
        <w:pStyle w:val="Heading1"/>
      </w:pPr>
      <w:r>
        <w:t xml:space="preserve">Annexe C — Glossaire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Terme</w:t>
            </w:r>
          </w:p>
        </w:tc>
        <w:tc>
          <w:tcPr>
            <w:shd w:val="clear" w:color="auto" w:fill="232C6B"/>
          </w:tcPr>
          <w:p>
            <w:pPr>
              <w:pStyle w:val="Compact"/>
            </w:pPr>
            <w:r>
              <w:rPr>
                <w:b/>
                <w:color w:val="FFFFFF"/>
                <w:sz w:val="17"/>
              </w:rPr>
              <w:t xml:space="preserve">Définition</w:t>
            </w:r>
          </w:p>
        </w:tc>
      </w:tr>
      <w:tr>
        <w:tc>
          <w:tcPr/>
          <w:p>
            <w:pPr>
              <w:pStyle w:val="Compact"/>
            </w:pPr>
            <w:r>
              <w:rPr>
                <w:sz w:val="17"/>
              </w:rPr>
              <w:t xml:space="preserve">ABAC</w:t>
            </w:r>
          </w:p>
        </w:tc>
        <w:tc>
          <w:tcPr/>
          <w:p>
            <w:pPr>
              <w:pStyle w:val="Compact"/>
            </w:pPr>
            <w:r>
              <w:rPr>
                <w:sz w:val="17"/>
              </w:rPr>
              <w:t xml:space="preserve">Contrôle d’accès fondé sur des attributs (territoire, heure, appareil, finalité)</w:t>
            </w:r>
          </w:p>
        </w:tc>
      </w:tr>
      <w:tr>
        <w:tc>
          <w:tcPr>
            <w:shd w:val="clear" w:color="auto" w:fill="F5F7FB"/>
          </w:tcPr>
          <w:p>
            <w:pPr>
              <w:pStyle w:val="Compact"/>
            </w:pPr>
            <w:r>
              <w:rPr>
                <w:sz w:val="17"/>
              </w:rPr>
              <w:t xml:space="preserve">Assiette</w:t>
            </w:r>
          </w:p>
        </w:tc>
        <w:tc>
          <w:tcPr>
            <w:shd w:val="clear" w:color="auto" w:fill="F5F7FB"/>
          </w:tcPr>
          <w:p>
            <w:pPr>
              <w:pStyle w:val="Compact"/>
            </w:pPr>
            <w:r>
              <w:rPr>
                <w:sz w:val="17"/>
              </w:rPr>
              <w:t xml:space="preserve">Base sur laquelle est calculé un impôt</w:t>
            </w:r>
          </w:p>
        </w:tc>
      </w:tr>
      <w:tr>
        <w:tc>
          <w:tcPr/>
          <w:p>
            <w:pPr>
              <w:pStyle w:val="Compact"/>
            </w:pPr>
            <w:r>
              <w:rPr>
                <w:sz w:val="17"/>
              </w:rPr>
              <w:t xml:space="preserve">BCC</w:t>
            </w:r>
          </w:p>
        </w:tc>
        <w:tc>
          <w:tcPr/>
          <w:p>
            <w:pPr>
              <w:pStyle w:val="Compact"/>
            </w:pPr>
            <w:r>
              <w:rPr>
                <w:sz w:val="17"/>
              </w:rPr>
              <w:t xml:space="preserve">Banque Centrale du Congo</w:t>
            </w:r>
          </w:p>
        </w:tc>
      </w:tr>
      <w:tr>
        <w:tc>
          <w:tcPr>
            <w:shd w:val="clear" w:color="auto" w:fill="F5F7FB"/>
          </w:tcPr>
          <w:p>
            <w:pPr>
              <w:pStyle w:val="Compact"/>
            </w:pPr>
            <w:r>
              <w:rPr>
                <w:sz w:val="17"/>
              </w:rPr>
              <w:t xml:space="preserve">Coffre des bénéficiaires</w:t>
            </w:r>
          </w:p>
        </w:tc>
        <w:tc>
          <w:tcPr>
            <w:shd w:val="clear" w:color="auto" w:fill="F5F7FB"/>
          </w:tcPr>
          <w:p>
            <w:pPr>
              <w:pStyle w:val="Compact"/>
            </w:pPr>
            <w:r>
              <w:rPr>
                <w:sz w:val="17"/>
              </w:rPr>
              <w:t xml:space="preserve">Registre verrouillé des comptes publics de destination (module 60)</w:t>
            </w:r>
          </w:p>
        </w:tc>
      </w:tr>
      <w:tr>
        <w:tc>
          <w:tcPr/>
          <w:p>
            <w:pPr>
              <w:pStyle w:val="Compact"/>
            </w:pPr>
            <w:r>
              <w:rPr>
                <w:sz w:val="17"/>
              </w:rPr>
              <w:t xml:space="preserve">Contre-écriture</w:t>
            </w:r>
          </w:p>
        </w:tc>
        <w:tc>
          <w:tcPr/>
          <w:p>
            <w:pPr>
              <w:pStyle w:val="Compact"/>
            </w:pPr>
            <w:r>
              <w:rPr>
                <w:sz w:val="17"/>
              </w:rPr>
              <w:t xml:space="preserve">Écriture inverse qui corrige une écriture sans l’effacer</w:t>
            </w:r>
          </w:p>
        </w:tc>
      </w:tr>
      <w:tr>
        <w:tc>
          <w:tcPr>
            <w:shd w:val="clear" w:color="auto" w:fill="F5F7FB"/>
          </w:tcPr>
          <w:p>
            <w:pPr>
              <w:pStyle w:val="Compact"/>
            </w:pPr>
            <w:r>
              <w:rPr>
                <w:sz w:val="17"/>
              </w:rPr>
              <w:t xml:space="preserve">CQRS</w:t>
            </w:r>
          </w:p>
        </w:tc>
        <w:tc>
          <w:tcPr>
            <w:shd w:val="clear" w:color="auto" w:fill="F5F7FB"/>
          </w:tcPr>
          <w:p>
            <w:pPr>
              <w:pStyle w:val="Compact"/>
            </w:pPr>
            <w:r>
              <w:rPr>
                <w:sz w:val="17"/>
              </w:rPr>
              <w:t xml:space="preserve">Séparation des modèles d’écriture et de lecture</w:t>
            </w:r>
          </w:p>
        </w:tc>
      </w:tr>
      <w:tr>
        <w:tc>
          <w:tcPr/>
          <w:p>
            <w:pPr>
              <w:pStyle w:val="Compact"/>
            </w:pPr>
            <w:r>
              <w:rPr>
                <w:sz w:val="17"/>
              </w:rPr>
              <w:t xml:space="preserve">DGIPK</w:t>
            </w:r>
          </w:p>
        </w:tc>
        <w:tc>
          <w:tcPr/>
          <w:p>
            <w:pPr>
              <w:pStyle w:val="Compact"/>
            </w:pPr>
            <w:r>
              <w:rPr>
                <w:sz w:val="17"/>
              </w:rPr>
              <w:t xml:space="preserve">Direction générale des impôts provinciaux de Kinshasa</w:t>
            </w:r>
          </w:p>
        </w:tc>
      </w:tr>
      <w:tr>
        <w:tc>
          <w:tcPr>
            <w:shd w:val="clear" w:color="auto" w:fill="F5F7FB"/>
          </w:tcPr>
          <w:p>
            <w:pPr>
              <w:pStyle w:val="Compact"/>
            </w:pPr>
            <w:r>
              <w:rPr>
                <w:sz w:val="17"/>
              </w:rPr>
              <w:t xml:space="preserve">DGRK</w:t>
            </w:r>
          </w:p>
        </w:tc>
        <w:tc>
          <w:tcPr>
            <w:shd w:val="clear" w:color="auto" w:fill="F5F7FB"/>
          </w:tcPr>
          <w:p>
            <w:pPr>
              <w:pStyle w:val="Compact"/>
            </w:pPr>
            <w:r>
              <w:rPr>
                <w:sz w:val="17"/>
              </w:rPr>
              <w:t xml:space="preserve">Direction générale des recettes de Kinshasa (en voie de remplacement)</w:t>
            </w:r>
          </w:p>
        </w:tc>
      </w:tr>
      <w:tr>
        <w:tc>
          <w:tcPr/>
          <w:p>
            <w:pPr>
              <w:pStyle w:val="Compact"/>
            </w:pPr>
            <w:r>
              <w:rPr>
                <w:sz w:val="17"/>
              </w:rPr>
              <w:t xml:space="preserve">DGTK</w:t>
            </w:r>
          </w:p>
        </w:tc>
        <w:tc>
          <w:tcPr/>
          <w:p>
            <w:pPr>
              <w:pStyle w:val="Compact"/>
            </w:pPr>
            <w:r>
              <w:rPr>
                <w:sz w:val="17"/>
              </w:rPr>
              <w:t xml:space="preserve">Direction des droits, taxes et redevances de Kinshasa (dénomination à confirmer)</w:t>
            </w:r>
          </w:p>
        </w:tc>
      </w:tr>
      <w:tr>
        <w:tc>
          <w:tcPr>
            <w:shd w:val="clear" w:color="auto" w:fill="F5F7FB"/>
          </w:tcPr>
          <w:p>
            <w:pPr>
              <w:pStyle w:val="Compact"/>
            </w:pPr>
            <w:r>
              <w:rPr>
                <w:sz w:val="17"/>
              </w:rPr>
              <w:t xml:space="preserve">ETD</w:t>
            </w:r>
          </w:p>
        </w:tc>
        <w:tc>
          <w:tcPr>
            <w:shd w:val="clear" w:color="auto" w:fill="F5F7FB"/>
          </w:tcPr>
          <w:p>
            <w:pPr>
              <w:pStyle w:val="Compact"/>
            </w:pPr>
            <w:r>
              <w:rPr>
                <w:sz w:val="17"/>
              </w:rPr>
              <w:t xml:space="preserve">Entité territoriale décentralisée (commune, secteur, chefferie)</w:t>
            </w:r>
          </w:p>
        </w:tc>
      </w:tr>
      <w:tr>
        <w:tc>
          <w:tcPr/>
          <w:p>
            <w:pPr>
              <w:pStyle w:val="Compact"/>
            </w:pPr>
            <w:r>
              <w:rPr>
                <w:sz w:val="17"/>
              </w:rPr>
              <w:t xml:space="preserve">Event sourcing</w:t>
            </w:r>
          </w:p>
        </w:tc>
        <w:tc>
          <w:tcPr/>
          <w:p>
            <w:pPr>
              <w:pStyle w:val="Compact"/>
            </w:pPr>
            <w:r>
              <w:rPr>
                <w:sz w:val="17"/>
              </w:rPr>
              <w:t xml:space="preserve">Stockage d’un état sous forme de suite d’événements immuables</w:t>
            </w:r>
          </w:p>
        </w:tc>
      </w:tr>
      <w:tr>
        <w:tc>
          <w:tcPr>
            <w:shd w:val="clear" w:color="auto" w:fill="F5F7FB"/>
          </w:tcPr>
          <w:p>
            <w:pPr>
              <w:pStyle w:val="Compact"/>
            </w:pPr>
            <w:r>
              <w:rPr>
                <w:sz w:val="17"/>
              </w:rPr>
              <w:t xml:space="preserve">HSM</w:t>
            </w:r>
          </w:p>
        </w:tc>
        <w:tc>
          <w:tcPr>
            <w:shd w:val="clear" w:color="auto" w:fill="F5F7FB"/>
          </w:tcPr>
          <w:p>
            <w:pPr>
              <w:pStyle w:val="Compact"/>
            </w:pPr>
            <w:r>
              <w:rPr>
                <w:sz w:val="17"/>
              </w:rPr>
              <w:t xml:space="preserve">Module matériel de sécurité pour les clés cryptographiques</w:t>
            </w:r>
          </w:p>
        </w:tc>
      </w:tr>
      <w:tr>
        <w:tc>
          <w:tcPr/>
          <w:p>
            <w:pPr>
              <w:pStyle w:val="Compact"/>
            </w:pPr>
            <w:r>
              <w:rPr>
                <w:sz w:val="17"/>
              </w:rPr>
              <w:t xml:space="preserve">Idempotence</w:t>
            </w:r>
          </w:p>
        </w:tc>
        <w:tc>
          <w:tcPr/>
          <w:p>
            <w:pPr>
              <w:pStyle w:val="Compact"/>
            </w:pPr>
            <w:r>
              <w:rPr>
                <w:sz w:val="17"/>
              </w:rPr>
              <w:t xml:space="preserve">Propriété d’une opération rejouée sans effet supplémentaire</w:t>
            </w:r>
          </w:p>
        </w:tc>
      </w:tr>
      <w:tr>
        <w:tc>
          <w:tcPr>
            <w:shd w:val="clear" w:color="auto" w:fill="F5F7FB"/>
          </w:tcPr>
          <w:p>
            <w:pPr>
              <w:pStyle w:val="Compact"/>
            </w:pPr>
            <w:r>
              <w:rPr>
                <w:sz w:val="17"/>
              </w:rPr>
              <w:t xml:space="preserve">IGF</w:t>
            </w:r>
          </w:p>
        </w:tc>
        <w:tc>
          <w:tcPr>
            <w:shd w:val="clear" w:color="auto" w:fill="F5F7FB"/>
          </w:tcPr>
          <w:p>
            <w:pPr>
              <w:pStyle w:val="Compact"/>
            </w:pPr>
            <w:r>
              <w:rPr>
                <w:sz w:val="17"/>
              </w:rPr>
              <w:t xml:space="preserve">Identifiant géographique fiscal d’un objet</w:t>
            </w:r>
          </w:p>
        </w:tc>
      </w:tr>
      <w:tr>
        <w:tc>
          <w:tcPr/>
          <w:p>
            <w:pPr>
              <w:pStyle w:val="Compact"/>
            </w:pPr>
            <w:r>
              <w:rPr>
                <w:sz w:val="17"/>
              </w:rPr>
              <w:t xml:space="preserve">IRL</w:t>
            </w:r>
          </w:p>
        </w:tc>
        <w:tc>
          <w:tcPr/>
          <w:p>
            <w:pPr>
              <w:pStyle w:val="Compact"/>
            </w:pPr>
            <w:r>
              <w:rPr>
                <w:sz w:val="17"/>
              </w:rPr>
              <w:t xml:space="preserve">Impôt sur les revenus locatifs</w:t>
            </w:r>
          </w:p>
        </w:tc>
      </w:tr>
      <w:tr>
        <w:tc>
          <w:tcPr>
            <w:shd w:val="clear" w:color="auto" w:fill="F5F7FB"/>
          </w:tcPr>
          <w:p>
            <w:pPr>
              <w:pStyle w:val="Compact"/>
            </w:pPr>
            <w:r>
              <w:rPr>
                <w:sz w:val="17"/>
              </w:rPr>
              <w:t xml:space="preserve">IUC</w:t>
            </w:r>
          </w:p>
        </w:tc>
        <w:tc>
          <w:tcPr>
            <w:shd w:val="clear" w:color="auto" w:fill="F5F7FB"/>
          </w:tcPr>
          <w:p>
            <w:pPr>
              <w:pStyle w:val="Compact"/>
            </w:pPr>
            <w:r>
              <w:rPr>
                <w:sz w:val="17"/>
              </w:rPr>
              <w:t xml:space="preserve">Identifiant unique de contribuable MOSOLO (technique)</w:t>
            </w:r>
          </w:p>
        </w:tc>
      </w:tr>
      <w:tr>
        <w:tc>
          <w:tcPr/>
          <w:p>
            <w:pPr>
              <w:pStyle w:val="Compact"/>
            </w:pPr>
            <w:r>
              <w:rPr>
                <w:sz w:val="17"/>
              </w:rPr>
              <w:t xml:space="preserve">Liquidation</w:t>
            </w:r>
          </w:p>
        </w:tc>
        <w:tc>
          <w:tcPr/>
          <w:p>
            <w:pPr>
              <w:pStyle w:val="Compact"/>
            </w:pPr>
            <w:r>
              <w:rPr>
                <w:sz w:val="17"/>
              </w:rPr>
              <w:t xml:space="preserve">Calcul du montant dû</w:t>
            </w:r>
          </w:p>
        </w:tc>
      </w:tr>
      <w:tr>
        <w:tc>
          <w:tcPr>
            <w:shd w:val="clear" w:color="auto" w:fill="F5F7FB"/>
          </w:tcPr>
          <w:p>
            <w:pPr>
              <w:pStyle w:val="Compact"/>
            </w:pPr>
            <w:r>
              <w:rPr>
                <w:sz w:val="17"/>
              </w:rPr>
              <w:t xml:space="preserve">Maker-checker</w:t>
            </w:r>
          </w:p>
        </w:tc>
        <w:tc>
          <w:tcPr>
            <w:shd w:val="clear" w:color="auto" w:fill="F5F7FB"/>
          </w:tcPr>
          <w:p>
            <w:pPr>
              <w:pStyle w:val="Compact"/>
            </w:pPr>
            <w:r>
              <w:rPr>
                <w:sz w:val="17"/>
              </w:rPr>
              <w:t xml:space="preserve">Initiateur et vérificateur distincts</w:t>
            </w:r>
          </w:p>
        </w:tc>
      </w:tr>
      <w:tr>
        <w:tc>
          <w:tcPr/>
          <w:p>
            <w:pPr>
              <w:pStyle w:val="Compact"/>
            </w:pPr>
            <w:r>
              <w:rPr>
                <w:sz w:val="17"/>
              </w:rPr>
              <w:t xml:space="preserve">mTLS</w:t>
            </w:r>
          </w:p>
        </w:tc>
        <w:tc>
          <w:tcPr/>
          <w:p>
            <w:pPr>
              <w:pStyle w:val="Compact"/>
            </w:pPr>
            <w:r>
              <w:rPr>
                <w:sz w:val="17"/>
              </w:rPr>
              <w:t xml:space="preserve">TLS avec authentification mutuelle par certificats</w:t>
            </w:r>
          </w:p>
        </w:tc>
      </w:tr>
      <w:tr>
        <w:tc>
          <w:tcPr>
            <w:shd w:val="clear" w:color="auto" w:fill="F5F7FB"/>
          </w:tcPr>
          <w:p>
            <w:pPr>
              <w:pStyle w:val="Compact"/>
            </w:pPr>
            <w:r>
              <w:rPr>
                <w:sz w:val="17"/>
              </w:rPr>
              <w:t xml:space="preserve">NIF</w:t>
            </w:r>
          </w:p>
        </w:tc>
        <w:tc>
          <w:tcPr>
            <w:shd w:val="clear" w:color="auto" w:fill="F5F7FB"/>
          </w:tcPr>
          <w:p>
            <w:pPr>
              <w:pStyle w:val="Compact"/>
            </w:pPr>
            <w:r>
              <w:rPr>
                <w:sz w:val="17"/>
              </w:rPr>
              <w:t xml:space="preserve">Numéro d’identification fiscale (DGI)</w:t>
            </w:r>
          </w:p>
        </w:tc>
      </w:tr>
      <w:tr>
        <w:tc>
          <w:tcPr/>
          <w:p>
            <w:pPr>
              <w:pStyle w:val="Compact"/>
            </w:pPr>
            <w:r>
              <w:rPr>
                <w:sz w:val="17"/>
              </w:rPr>
              <w:t xml:space="preserve">OTP</w:t>
            </w:r>
          </w:p>
        </w:tc>
        <w:tc>
          <w:tcPr/>
          <w:p>
            <w:pPr>
              <w:pStyle w:val="Compact"/>
            </w:pPr>
            <w:r>
              <w:rPr>
                <w:sz w:val="17"/>
              </w:rPr>
              <w:t xml:space="preserve">Code à usage unique</w:t>
            </w:r>
          </w:p>
        </w:tc>
      </w:tr>
      <w:tr>
        <w:tc>
          <w:tcPr>
            <w:shd w:val="clear" w:color="auto" w:fill="F5F7FB"/>
          </w:tcPr>
          <w:p>
            <w:pPr>
              <w:pStyle w:val="Compact"/>
            </w:pPr>
            <w:r>
              <w:rPr>
                <w:sz w:val="17"/>
              </w:rPr>
              <w:t xml:space="preserve">Quitus fiscal</w:t>
            </w:r>
          </w:p>
        </w:tc>
        <w:tc>
          <w:tcPr>
            <w:shd w:val="clear" w:color="auto" w:fill="F5F7FB"/>
          </w:tcPr>
          <w:p>
            <w:pPr>
              <w:pStyle w:val="Compact"/>
            </w:pPr>
            <w:r>
              <w:rPr>
                <w:sz w:val="17"/>
              </w:rPr>
              <w:t xml:space="preserve">Attestation de régularité fiscale</w:t>
            </w:r>
          </w:p>
        </w:tc>
      </w:tr>
      <w:tr>
        <w:tc>
          <w:tcPr/>
          <w:p>
            <w:pPr>
              <w:pStyle w:val="Compact"/>
            </w:pPr>
            <w:r>
              <w:rPr>
                <w:sz w:val="17"/>
              </w:rPr>
              <w:t xml:space="preserve">RANV</w:t>
            </w:r>
          </w:p>
        </w:tc>
        <w:tc>
          <w:tcPr/>
          <w:p>
            <w:pPr>
              <w:pStyle w:val="Compact"/>
            </w:pPr>
            <w:r>
              <w:rPr>
                <w:sz w:val="17"/>
              </w:rPr>
              <w:t xml:space="preserve">Recette additionnelle nette vérifiée</w:t>
            </w:r>
          </w:p>
        </w:tc>
      </w:tr>
      <w:tr>
        <w:tc>
          <w:tcPr>
            <w:shd w:val="clear" w:color="auto" w:fill="F5F7FB"/>
          </w:tcPr>
          <w:p>
            <w:pPr>
              <w:pStyle w:val="Compact"/>
            </w:pPr>
            <w:r>
              <w:rPr>
                <w:sz w:val="17"/>
              </w:rPr>
              <w:t xml:space="preserve">Rang de localité</w:t>
            </w:r>
          </w:p>
        </w:tc>
        <w:tc>
          <w:tcPr>
            <w:shd w:val="clear" w:color="auto" w:fill="F5F7FB"/>
          </w:tcPr>
          <w:p>
            <w:pPr>
              <w:pStyle w:val="Compact"/>
            </w:pPr>
            <w:r>
              <w:rPr>
                <w:sz w:val="17"/>
              </w:rPr>
              <w:t xml:space="preserve">Classement territorial déterminant certains taux</w:t>
            </w:r>
          </w:p>
        </w:tc>
      </w:tr>
      <w:tr>
        <w:tc>
          <w:tcPr/>
          <w:p>
            <w:pPr>
              <w:pStyle w:val="Compact"/>
            </w:pPr>
            <w:r>
              <w:rPr>
                <w:sz w:val="17"/>
              </w:rPr>
              <w:t xml:space="preserve">Règlement (settlement)</w:t>
            </w:r>
          </w:p>
        </w:tc>
        <w:tc>
          <w:tcPr/>
          <w:p>
            <w:pPr>
              <w:pStyle w:val="Compact"/>
            </w:pPr>
            <w:r>
              <w:rPr>
                <w:sz w:val="17"/>
              </w:rPr>
              <w:t xml:space="preserve">Crédit effectif du compte public</w:t>
            </w:r>
          </w:p>
        </w:tc>
      </w:tr>
      <w:tr>
        <w:tc>
          <w:tcPr>
            <w:shd w:val="clear" w:color="auto" w:fill="F5F7FB"/>
          </w:tcPr>
          <w:p>
            <w:pPr>
              <w:pStyle w:val="Compact"/>
            </w:pPr>
            <w:r>
              <w:rPr>
                <w:sz w:val="17"/>
              </w:rPr>
              <w:t xml:space="preserve">RPO / RTO</w:t>
            </w:r>
          </w:p>
        </w:tc>
        <w:tc>
          <w:tcPr>
            <w:shd w:val="clear" w:color="auto" w:fill="F5F7FB"/>
          </w:tcPr>
          <w:p>
            <w:pPr>
              <w:pStyle w:val="Compact"/>
            </w:pPr>
            <w:r>
              <w:rPr>
                <w:sz w:val="17"/>
              </w:rPr>
              <w:t xml:space="preserve">Perte de données / délai de reprise maximaux admissibles</w:t>
            </w:r>
          </w:p>
        </w:tc>
      </w:tr>
      <w:tr>
        <w:tc>
          <w:tcPr/>
          <w:p>
            <w:pPr>
              <w:pStyle w:val="Compact"/>
            </w:pPr>
            <w:r>
              <w:rPr>
                <w:sz w:val="17"/>
              </w:rPr>
              <w:t xml:space="preserve">SVI</w:t>
            </w:r>
          </w:p>
        </w:tc>
        <w:tc>
          <w:tcPr/>
          <w:p>
            <w:pPr>
              <w:pStyle w:val="Compact"/>
            </w:pPr>
            <w:r>
              <w:rPr>
                <w:sz w:val="17"/>
              </w:rPr>
              <w:t xml:space="preserve">Serveur vocal interactif</w:t>
            </w:r>
          </w:p>
        </w:tc>
      </w:tr>
      <w:tr>
        <w:tc>
          <w:tcPr>
            <w:shd w:val="clear" w:color="auto" w:fill="F5F7FB"/>
          </w:tcPr>
          <w:p>
            <w:pPr>
              <w:pStyle w:val="Compact"/>
            </w:pPr>
            <w:r>
              <w:rPr>
                <w:sz w:val="17"/>
              </w:rPr>
              <w:t xml:space="preserve">TADAT</w:t>
            </w:r>
          </w:p>
        </w:tc>
        <w:tc>
          <w:tcPr>
            <w:shd w:val="clear" w:color="auto" w:fill="F5F7FB"/>
          </w:tcPr>
          <w:p>
            <w:pPr>
              <w:pStyle w:val="Compact"/>
            </w:pPr>
            <w:r>
              <w:rPr>
                <w:sz w:val="17"/>
              </w:rPr>
              <w:t xml:space="preserve">Outil diagnostique d’évaluation de l’administration fiscale</w:t>
            </w:r>
          </w:p>
        </w:tc>
      </w:tr>
      <w:tr>
        <w:tc>
          <w:tcPr/>
          <w:p>
            <w:pPr>
              <w:pStyle w:val="Compact"/>
            </w:pPr>
            <w:r>
              <w:rPr>
                <w:sz w:val="17"/>
              </w:rPr>
              <w:t xml:space="preserve">WORM</w:t>
            </w:r>
          </w:p>
        </w:tc>
        <w:tc>
          <w:tcPr/>
          <w:p>
            <w:pPr>
              <w:pStyle w:val="Compact"/>
            </w:pPr>
            <w:r>
              <w:rPr>
                <w:sz w:val="17"/>
              </w:rPr>
              <w:t xml:space="preserve">Stockage à écriture unique, lecture multiple</w:t>
            </w:r>
          </w:p>
        </w:tc>
      </w:tr>
    </w:tbl>
    <w:bookmarkEnd w:id="376"/>
    <w:bookmarkStart w:id="379" w:name="Xc12fdb73653bdacaac97164d86ee693695850f5"/>
    <w:p>
      <w:pPr>
        <w:pStyle w:val="Heading1"/>
      </w:pPr>
      <w:r>
        <w:t xml:space="preserve">Annexe D — Arbitrages avec les documents antérieurs et traçabilité</w:t>
      </w:r>
    </w:p>
    <w:bookmarkStart w:id="377" w:name="d.1-documents-sources"/>
    <w:p>
      <w:pPr>
        <w:pStyle w:val="Heading2"/>
      </w:pPr>
      <w:r>
        <w:t xml:space="preserve">D.1 Documents sources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Réf.</w:t>
            </w:r>
          </w:p>
        </w:tc>
        <w:tc>
          <w:tcPr>
            <w:shd w:val="clear" w:color="auto" w:fill="232C6B"/>
          </w:tcPr>
          <w:p>
            <w:pPr>
              <w:pStyle w:val="Compact"/>
            </w:pPr>
            <w:r>
              <w:rPr>
                <w:b/>
                <w:color w:val="FFFFFF"/>
                <w:sz w:val="17"/>
              </w:rPr>
              <w:t xml:space="preserve">Document</w:t>
            </w:r>
          </w:p>
        </w:tc>
        <w:tc>
          <w:tcPr>
            <w:shd w:val="clear" w:color="auto" w:fill="232C6B"/>
          </w:tcPr>
          <w:p>
            <w:pPr>
              <w:pStyle w:val="Compact"/>
            </w:pPr>
            <w:r>
              <w:rPr>
                <w:b/>
                <w:color w:val="FFFFFF"/>
                <w:sz w:val="17"/>
              </w:rPr>
              <w:t xml:space="preserve">Traitement</w:t>
            </w:r>
          </w:p>
        </w:tc>
      </w:tr>
      <w:tr>
        <w:tc>
          <w:tcPr/>
          <w:p>
            <w:pPr>
              <w:pStyle w:val="Compact"/>
            </w:pPr>
            <w:r>
              <w:rPr>
                <w:sz w:val="17"/>
              </w:rPr>
              <w:t xml:space="preserve">S1</w:t>
            </w:r>
          </w:p>
        </w:tc>
        <w:tc>
          <w:tcPr/>
          <w:p>
            <w:pPr>
              <w:pStyle w:val="Compact"/>
            </w:pPr>
            <w:r>
              <w:rPr>
                <w:sz w:val="17"/>
              </w:rPr>
              <w:t xml:space="preserve">Cahier des exigences consolidé v2.9 (24 sept. 2026)</w:t>
            </w:r>
          </w:p>
        </w:tc>
        <w:tc>
          <w:tcPr/>
          <w:p>
            <w:pPr>
              <w:pStyle w:val="Compact"/>
            </w:pPr>
            <w:r>
              <w:rPr>
                <w:sz w:val="17"/>
              </w:rPr>
              <w:t xml:space="preserve">Intégralement repris dans sa structure en 47 chapitres ; corrigé sur les points du tableau D.2 ; reste la référence détaillée pour les verticales (ParkSmart, KIN PUB CONTROL, KIN-AVIA FISCUS, RakaPay, moto-taxis, CALCU, NFIU)</w:t>
            </w:r>
          </w:p>
        </w:tc>
      </w:tr>
      <w:tr>
        <w:tc>
          <w:tcPr>
            <w:shd w:val="clear" w:color="auto" w:fill="F5F7FB"/>
          </w:tcPr>
          <w:p>
            <w:pPr>
              <w:pStyle w:val="Compact"/>
            </w:pPr>
            <w:r>
              <w:rPr>
                <w:sz w:val="17"/>
              </w:rPr>
              <w:t xml:space="preserve">S2</w:t>
            </w:r>
          </w:p>
        </w:tc>
        <w:tc>
          <w:tcPr>
            <w:shd w:val="clear" w:color="auto" w:fill="F5F7FB"/>
          </w:tcPr>
          <w:p>
            <w:pPr>
              <w:pStyle w:val="Compact"/>
            </w:pPr>
            <w:r>
              <w:rPr>
                <w:sz w:val="17"/>
              </w:rPr>
              <w:t xml:space="preserve">Spécification fonctionnelle des 81 modules et 16 verticales v1.2</w:t>
            </w:r>
          </w:p>
        </w:tc>
        <w:tc>
          <w:tcPr>
            <w:shd w:val="clear" w:color="auto" w:fill="F5F7FB"/>
          </w:tcPr>
          <w:p>
            <w:pPr>
              <w:pStyle w:val="Compact"/>
            </w:pPr>
            <w:r>
              <w:rPr>
                <w:sz w:val="17"/>
              </w:rPr>
              <w:t xml:space="preserve">Numérotation 1–81 conservée ; modules 82–95 ajoutés (§ 11.2) ; reste la référence module par module</w:t>
            </w:r>
          </w:p>
        </w:tc>
      </w:tr>
      <w:tr>
        <w:tc>
          <w:tcPr/>
          <w:p>
            <w:pPr>
              <w:pStyle w:val="Compact"/>
            </w:pPr>
            <w:r>
              <w:rPr>
                <w:sz w:val="17"/>
              </w:rPr>
              <w:t xml:space="preserve">S3</w:t>
            </w:r>
          </w:p>
        </w:tc>
        <w:tc>
          <w:tcPr/>
          <w:p>
            <w:pPr>
              <w:pStyle w:val="Compact"/>
            </w:pPr>
            <w:r>
              <w:rPr>
                <w:sz w:val="17"/>
              </w:rPr>
              <w:t xml:space="preserve">Dossier Gouverneur et spécification directrice v1.0</w:t>
            </w:r>
          </w:p>
        </w:tc>
        <w:tc>
          <w:tcPr/>
          <w:p>
            <w:pPr>
              <w:pStyle w:val="Compact"/>
            </w:pPr>
            <w:r>
              <w:rPr>
                <w:sz w:val="17"/>
              </w:rPr>
              <w:t xml:space="preserve">Principes, Constitution financière, annexes A à C repris</w:t>
            </w:r>
          </w:p>
        </w:tc>
      </w:tr>
      <w:tr>
        <w:tc>
          <w:tcPr>
            <w:shd w:val="clear" w:color="auto" w:fill="F5F7FB"/>
          </w:tcPr>
          <w:p>
            <w:pPr>
              <w:pStyle w:val="Compact"/>
            </w:pPr>
            <w:r>
              <w:rPr>
                <w:sz w:val="17"/>
              </w:rPr>
              <w:t xml:space="preserve">S4</w:t>
            </w:r>
          </w:p>
        </w:tc>
        <w:tc>
          <w:tcPr>
            <w:shd w:val="clear" w:color="auto" w:fill="F5F7FB"/>
          </w:tcPr>
          <w:p>
            <w:pPr>
              <w:pStyle w:val="Compact"/>
            </w:pPr>
            <w:r>
              <w:rPr>
                <w:sz w:val="17"/>
              </w:rPr>
              <w:t xml:space="preserve">Note exécutive au Gouverneur (24 sept. 2026)</w:t>
            </w:r>
          </w:p>
        </w:tc>
        <w:tc>
          <w:tcPr>
            <w:shd w:val="clear" w:color="auto" w:fill="F5F7FB"/>
          </w:tcPr>
          <w:p>
            <w:pPr>
              <w:pStyle w:val="Compact"/>
            </w:pPr>
            <w:r>
              <w:rPr>
                <w:sz w:val="17"/>
              </w:rPr>
              <w:t xml:space="preserve">Reprise dans le résumé exécutif, mise à jour</w:t>
            </w:r>
          </w:p>
        </w:tc>
      </w:tr>
    </w:tbl>
    <w:bookmarkEnd w:id="377"/>
    <w:bookmarkStart w:id="378" w:name="d.2-arbitrages-de-la-version-3.0"/>
    <w:p>
      <w:pPr>
        <w:pStyle w:val="Heading2"/>
      </w:pPr>
      <w:r>
        <w:t xml:space="preserve">D.2 Arbitrages de la version 3.0</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Point</w:t>
            </w:r>
          </w:p>
        </w:tc>
        <w:tc>
          <w:tcPr>
            <w:shd w:val="clear" w:color="auto" w:fill="232C6B"/>
          </w:tcPr>
          <w:p>
            <w:pPr>
              <w:pStyle w:val="Compact"/>
            </w:pPr>
            <w:r>
              <w:rPr>
                <w:b/>
                <w:color w:val="FFFFFF"/>
                <w:sz w:val="17"/>
              </w:rPr>
              <w:t xml:space="preserve">Documents antérieurs</w:t>
            </w:r>
          </w:p>
        </w:tc>
        <w:tc>
          <w:tcPr>
            <w:shd w:val="clear" w:color="auto" w:fill="232C6B"/>
          </w:tcPr>
          <w:p>
            <w:pPr>
              <w:pStyle w:val="Compact"/>
            </w:pPr>
            <w:r>
              <w:rPr>
                <w:b/>
                <w:color w:val="FFFFFF"/>
                <w:sz w:val="17"/>
              </w:rPr>
              <w:t xml:space="preserve">Position retenue</w:t>
            </w:r>
          </w:p>
        </w:tc>
        <w:tc>
          <w:tcPr>
            <w:shd w:val="clear" w:color="auto" w:fill="232C6B"/>
          </w:tcPr>
          <w:p>
            <w:pPr>
              <w:pStyle w:val="Compact"/>
            </w:pPr>
            <w:r>
              <w:rPr>
                <w:b/>
                <w:color w:val="FFFFFF"/>
                <w:sz w:val="17"/>
              </w:rPr>
              <w:t xml:space="preserve">Raison</w:t>
            </w:r>
          </w:p>
        </w:tc>
      </w:tr>
      <w:tr>
        <w:tc>
          <w:tcPr/>
          <w:p>
            <w:pPr>
              <w:pStyle w:val="Compact"/>
            </w:pPr>
            <w:r>
              <w:rPr>
                <w:sz w:val="17"/>
              </w:rPr>
              <w:t xml:space="preserve">Taux IRL</w:t>
            </w:r>
          </w:p>
        </w:tc>
        <w:tc>
          <w:tcPr/>
          <w:p>
            <w:pPr>
              <w:pStyle w:val="Compact"/>
            </w:pPr>
            <w:r>
              <w:rPr>
                <w:sz w:val="17"/>
              </w:rPr>
              <w:t xml:space="preserve">22 % unique ; retenue 20 % (1er rang) et 15 %</w:t>
            </w:r>
          </w:p>
        </w:tc>
        <w:tc>
          <w:tcPr/>
          <w:p>
            <w:pPr>
              <w:pStyle w:val="Compact"/>
            </w:pPr>
            <w:r>
              <w:rPr>
                <w:sz w:val="17"/>
              </w:rPr>
              <w:t xml:space="preserve">22 % (1er rang) et</w:t>
            </w:r>
            <w:r>
              <w:rPr>
                <w:sz w:val="17"/>
              </w:rPr>
              <w:t xml:space="preserve"> </w:t>
            </w:r>
            <w:r>
              <w:rPr>
                <w:b/>
                <w:bCs/>
                <w:sz w:val="17"/>
              </w:rPr>
              <w:t xml:space="preserve">17 %</w:t>
            </w:r>
            <w:r>
              <w:rPr>
                <w:sz w:val="17"/>
              </w:rPr>
              <w:t xml:space="preserve"> </w:t>
            </w:r>
            <w:r>
              <w:rPr>
                <w:sz w:val="17"/>
              </w:rPr>
              <w:t xml:space="preserve">(autres rangs) ; retenues 20 % et 15 %</w:t>
            </w:r>
          </w:p>
        </w:tc>
        <w:tc>
          <w:tcPr/>
          <w:p>
            <w:pPr>
              <w:pStyle w:val="Compact"/>
            </w:pPr>
            <w:r>
              <w:rPr>
                <w:sz w:val="17"/>
              </w:rPr>
              <w:t xml:space="preserve">Communiqué provincial de février 2026</w:t>
            </w:r>
          </w:p>
        </w:tc>
      </w:tr>
      <w:tr>
        <w:tc>
          <w:tcPr>
            <w:shd w:val="clear" w:color="auto" w:fill="F5F7FB"/>
          </w:tcPr>
          <w:p>
            <w:pPr>
              <w:pStyle w:val="Compact"/>
            </w:pPr>
            <w:r>
              <w:rPr>
                <w:sz w:val="17"/>
              </w:rPr>
              <w:t xml:space="preserve">Loi n° 18/014</w:t>
            </w:r>
          </w:p>
        </w:tc>
        <w:tc>
          <w:tcPr>
            <w:shd w:val="clear" w:color="auto" w:fill="F5F7FB"/>
          </w:tcPr>
          <w:p>
            <w:pPr>
              <w:pStyle w:val="Compact"/>
            </w:pPr>
            <w:r>
              <w:rPr>
                <w:sz w:val="17"/>
              </w:rPr>
              <w:t xml:space="preserve">Présentée comme loi de ratification de l’OL 18/004</w:t>
            </w:r>
          </w:p>
        </w:tc>
        <w:tc>
          <w:tcPr>
            <w:shd w:val="clear" w:color="auto" w:fill="F5F7FB"/>
          </w:tcPr>
          <w:p>
            <w:pPr>
              <w:pStyle w:val="Compact"/>
            </w:pPr>
            <w:r>
              <w:rPr>
                <w:b/>
                <w:bCs/>
                <w:sz w:val="17"/>
              </w:rPr>
              <w:t xml:space="preserve">Non retrouvée</w:t>
            </w:r>
            <w:r>
              <w:rPr>
                <w:sz w:val="17"/>
              </w:rPr>
              <w:t xml:space="preserve"> </w:t>
            </w:r>
            <w:r>
              <w:rPr>
                <w:sz w:val="17"/>
              </w:rPr>
              <w:t xml:space="preserve">; à vérifier</w:t>
            </w:r>
          </w:p>
        </w:tc>
        <w:tc>
          <w:tcPr>
            <w:shd w:val="clear" w:color="auto" w:fill="F5F7FB"/>
          </w:tcPr>
          <w:p>
            <w:pPr>
              <w:pStyle w:val="Compact"/>
            </w:pPr>
            <w:r>
              <w:rPr>
                <w:sz w:val="17"/>
              </w:rPr>
              <w:t xml:space="preserve">Aucune source publique</w:t>
            </w:r>
          </w:p>
        </w:tc>
      </w:tr>
      <w:tr>
        <w:tc>
          <w:tcPr/>
          <w:p>
            <w:pPr>
              <w:pStyle w:val="Compact"/>
            </w:pPr>
            <w:r>
              <w:rPr>
                <w:sz w:val="17"/>
              </w:rPr>
              <w:t xml:space="preserve">Régies</w:t>
            </w:r>
          </w:p>
        </w:tc>
        <w:tc>
          <w:tcPr/>
          <w:p>
            <w:pPr>
              <w:pStyle w:val="Compact"/>
            </w:pPr>
            <w:r>
              <w:rPr>
                <w:sz w:val="17"/>
              </w:rPr>
              <w:t xml:space="preserve">DGRK, DGIPK, futures DGRFK et DGTK</w:t>
            </w:r>
          </w:p>
        </w:tc>
        <w:tc>
          <w:tcPr/>
          <w:p>
            <w:pPr>
              <w:pStyle w:val="Compact"/>
            </w:pPr>
            <w:r>
              <w:rPr>
                <w:sz w:val="17"/>
              </w:rPr>
              <w:t xml:space="preserve">DGIPK et DGTK en remplacement de la DGRK ; administration paramétrable</w:t>
            </w:r>
          </w:p>
        </w:tc>
        <w:tc>
          <w:tcPr/>
          <w:p>
            <w:pPr>
              <w:pStyle w:val="Compact"/>
            </w:pPr>
            <w:r>
              <w:rPr>
                <w:sz w:val="17"/>
              </w:rPr>
              <w:t xml:space="preserve">Réforme 2026</w:t>
            </w:r>
          </w:p>
        </w:tc>
      </w:tr>
      <w:tr>
        <w:tc>
          <w:tcPr>
            <w:shd w:val="clear" w:color="auto" w:fill="F5F7FB"/>
          </w:tcPr>
          <w:p>
            <w:pPr>
              <w:pStyle w:val="Compact"/>
            </w:pPr>
            <w:r>
              <w:rPr>
                <w:sz w:val="17"/>
              </w:rPr>
              <w:t xml:space="preserve">Système existant</w:t>
            </w:r>
          </w:p>
        </w:tc>
        <w:tc>
          <w:tcPr>
            <w:shd w:val="clear" w:color="auto" w:fill="F5F7FB"/>
          </w:tcPr>
          <w:p>
            <w:pPr>
              <w:pStyle w:val="Compact"/>
            </w:pPr>
            <w:r>
              <w:rPr>
                <w:sz w:val="17"/>
              </w:rPr>
              <w:t xml:space="preserve">E-DGRK repris</w:t>
            </w:r>
          </w:p>
        </w:tc>
        <w:tc>
          <w:tcPr>
            <w:shd w:val="clear" w:color="auto" w:fill="F5F7FB"/>
          </w:tcPr>
          <w:p>
            <w:pPr>
              <w:pStyle w:val="Compact"/>
            </w:pPr>
            <w:r>
              <w:rPr>
                <w:sz w:val="17"/>
              </w:rPr>
              <w:t xml:space="preserve">Plateforme de déclaration lancée en mars 2026 à intégrer ou migrer</w:t>
            </w:r>
          </w:p>
        </w:tc>
        <w:tc>
          <w:tcPr>
            <w:shd w:val="clear" w:color="auto" w:fill="F5F7FB"/>
          </w:tcPr>
          <w:p>
            <w:pPr>
              <w:pStyle w:val="Compact"/>
            </w:pPr>
            <w:r>
              <w:rPr>
                <w:sz w:val="17"/>
              </w:rPr>
              <w:t xml:space="preserve">Fait nouveau</w:t>
            </w:r>
          </w:p>
        </w:tc>
      </w:tr>
      <w:tr>
        <w:tc>
          <w:tcPr/>
          <w:p>
            <w:pPr>
              <w:pStyle w:val="Compact"/>
            </w:pPr>
            <w:r>
              <w:rPr>
                <w:sz w:val="17"/>
              </w:rPr>
              <w:t xml:space="preserve">Rémunération du prestataire (§ 37A)</w:t>
            </w:r>
          </w:p>
        </w:tc>
        <w:tc>
          <w:tcPr/>
          <w:p>
            <w:pPr>
              <w:pStyle w:val="Compact"/>
            </w:pPr>
            <w:r>
              <w:rPr>
                <w:sz w:val="17"/>
              </w:rPr>
              <w:t xml:space="preserve">10 % des recettes pendant 30 ans + 10 % ministères + 10 % agents, par prélèvement automatique</w:t>
            </w:r>
          </w:p>
        </w:tc>
        <w:tc>
          <w:tcPr/>
          <w:p>
            <w:pPr>
              <w:pStyle w:val="Compact"/>
            </w:pPr>
            <w:r>
              <w:rPr>
                <w:b/>
                <w:bCs/>
                <w:sz w:val="17"/>
              </w:rPr>
              <w:t xml:space="preserve">Déconseillé</w:t>
            </w:r>
            <w:r>
              <w:rPr>
                <w:sz w:val="17"/>
              </w:rPr>
              <w:t xml:space="preserve"> </w:t>
            </w:r>
            <w:r>
              <w:rPr>
                <w:sz w:val="17"/>
              </w:rPr>
              <w:t xml:space="preserve">; modèle hybride plafonné sur recette additionnelle nette vérifiée, payé sur crédit budgétaire</w:t>
            </w:r>
          </w:p>
        </w:tc>
        <w:tc>
          <w:tcPr/>
          <w:p>
            <w:pPr>
              <w:pStyle w:val="Compact"/>
            </w:pPr>
            <w:r>
              <w:rPr>
                <w:sz w:val="17"/>
              </w:rPr>
              <w:t xml:space="preserve">Commande ; unité de caisse ; risque de gestion de fait ; note exécutive initiale (« aucun pourcentage sur les recettes publiques »)</w:t>
            </w:r>
          </w:p>
        </w:tc>
      </w:tr>
      <w:tr>
        <w:tc>
          <w:tcPr>
            <w:shd w:val="clear" w:color="auto" w:fill="F5F7FB"/>
          </w:tcPr>
          <w:p>
            <w:pPr>
              <w:pStyle w:val="Compact"/>
            </w:pPr>
            <w:r>
              <w:rPr>
                <w:sz w:val="17"/>
              </w:rPr>
              <w:t xml:space="preserve">Rétrocession automatique aux ministères et aux agents</w:t>
            </w:r>
          </w:p>
        </w:tc>
        <w:tc>
          <w:tcPr>
            <w:shd w:val="clear" w:color="auto" w:fill="F5F7FB"/>
          </w:tcPr>
          <w:p>
            <w:pPr>
              <w:pStyle w:val="Compact"/>
            </w:pPr>
            <w:r>
              <w:rPr>
                <w:sz w:val="17"/>
              </w:rPr>
              <w:t xml:space="preserve">10 % + 10 %</w:t>
            </w:r>
          </w:p>
        </w:tc>
        <w:tc>
          <w:tcPr>
            <w:shd w:val="clear" w:color="auto" w:fill="F5F7FB"/>
          </w:tcPr>
          <w:p>
            <w:pPr>
              <w:pStyle w:val="Compact"/>
            </w:pPr>
            <w:r>
              <w:rPr>
                <w:sz w:val="17"/>
              </w:rPr>
              <w:t xml:space="preserve">Uniquement si un texte le prévoit, par voie budgétaire (§ 27.2)</w:t>
            </w:r>
          </w:p>
        </w:tc>
        <w:tc>
          <w:tcPr>
            <w:shd w:val="clear" w:color="auto" w:fill="F5F7FB"/>
          </w:tcPr>
          <w:p>
            <w:pPr>
              <w:pStyle w:val="Compact"/>
            </w:pPr>
            <w:r>
              <w:rPr>
                <w:sz w:val="17"/>
              </w:rPr>
              <w:t xml:space="preserve">Universalité budgétaire</w:t>
            </w:r>
          </w:p>
        </w:tc>
      </w:tr>
      <w:tr>
        <w:tc>
          <w:tcPr/>
          <w:p>
            <w:pPr>
              <w:pStyle w:val="Compact"/>
            </w:pPr>
            <w:r>
              <w:rPr>
                <w:sz w:val="17"/>
              </w:rPr>
              <w:t xml:space="preserve">Calendrier</w:t>
            </w:r>
          </w:p>
        </w:tc>
        <w:tc>
          <w:tcPr/>
          <w:p>
            <w:pPr>
              <w:pStyle w:val="Compact"/>
            </w:pPr>
            <w:r>
              <w:rPr>
                <w:sz w:val="17"/>
              </w:rPr>
              <w:t xml:space="preserve">Pilote complet à partir de février 2027</w:t>
            </w:r>
          </w:p>
        </w:tc>
        <w:tc>
          <w:tcPr/>
          <w:p>
            <w:pPr>
              <w:pStyle w:val="Compact"/>
            </w:pPr>
            <w:r>
              <w:rPr>
                <w:sz w:val="17"/>
              </w:rPr>
              <w:t xml:space="preserve">R0 recensement en déc. 2026 ; test partiel en février ; R1 en avril 2027</w:t>
            </w:r>
          </w:p>
        </w:tc>
        <w:tc>
          <w:tcPr/>
          <w:p>
            <w:pPr>
              <w:pStyle w:val="Compact"/>
            </w:pPr>
            <w:r>
              <w:rPr>
                <w:sz w:val="17"/>
              </w:rPr>
              <w:t xml:space="preserve">Réalisme</w:t>
            </w:r>
          </w:p>
        </w:tc>
      </w:tr>
      <w:tr>
        <w:tc>
          <w:tcPr>
            <w:shd w:val="clear" w:color="auto" w:fill="F5F7FB"/>
          </w:tcPr>
          <w:p>
            <w:pPr>
              <w:pStyle w:val="Compact"/>
            </w:pPr>
            <w:r>
              <w:rPr>
                <w:sz w:val="17"/>
              </w:rPr>
              <w:t xml:space="preserve">Pile technique</w:t>
            </w:r>
          </w:p>
        </w:tc>
        <w:tc>
          <w:tcPr>
            <w:shd w:val="clear" w:color="auto" w:fill="F5F7FB"/>
          </w:tcPr>
          <w:p>
            <w:pPr>
              <w:pStyle w:val="Compact"/>
            </w:pPr>
            <w:r>
              <w:rPr>
                <w:sz w:val="17"/>
              </w:rPr>
              <w:t xml:space="preserve">Java / .NET recommandés</w:t>
            </w:r>
          </w:p>
        </w:tc>
        <w:tc>
          <w:tcPr>
            <w:shd w:val="clear" w:color="auto" w:fill="F5F7FB"/>
          </w:tcPr>
          <w:p>
            <w:pPr>
              <w:pStyle w:val="Compact"/>
            </w:pPr>
            <w:r>
              <w:rPr>
                <w:sz w:val="17"/>
              </w:rPr>
              <w:t xml:space="preserve">TypeScript de bout en bout pour le socle livré (partage des types entre</w:t>
            </w:r>
            <w:r>
              <w:rPr>
                <w:sz w:val="17"/>
              </w:rPr>
              <w:t xml:space="preserve"> </w:t>
            </w:r>
            <w:r>
              <w:rPr>
                <w:rStyle w:val="VerbatimChar"/>
                <w:sz w:val="17"/>
              </w:rPr>
              <w:t xml:space="preserve">shared</w:t>
            </w:r>
            <w:r>
              <w:rPr>
                <w:sz w:val="17"/>
              </w:rPr>
              <w:t xml:space="preserve">,</w:t>
            </w:r>
            <w:r>
              <w:rPr>
                <w:sz w:val="17"/>
              </w:rPr>
              <w:t xml:space="preserve"> </w:t>
            </w:r>
            <w:r>
              <w:rPr>
                <w:rStyle w:val="VerbatimChar"/>
                <w:sz w:val="17"/>
              </w:rPr>
              <w:t xml:space="preserve">backend</w:t>
            </w:r>
            <w:r>
              <w:rPr>
                <w:sz w:val="17"/>
              </w:rPr>
              <w:t xml:space="preserve"> </w:t>
            </w:r>
            <w:r>
              <w:rPr>
                <w:sz w:val="17"/>
              </w:rPr>
              <w:t xml:space="preserve">et</w:t>
            </w:r>
            <w:r>
              <w:rPr>
                <w:sz w:val="17"/>
              </w:rPr>
              <w:t xml:space="preserve"> </w:t>
            </w:r>
            <w:r>
              <w:rPr>
                <w:rStyle w:val="VerbatimChar"/>
                <w:sz w:val="17"/>
              </w:rPr>
              <w:t xml:space="preserve">frontend</w:t>
            </w:r>
            <w:r>
              <w:rPr>
                <w:sz w:val="17"/>
              </w:rPr>
              <w:t xml:space="preserve">) ; PostgreSQL/PostGIS inchangé</w:t>
            </w:r>
          </w:p>
        </w:tc>
        <w:tc>
          <w:tcPr>
            <w:shd w:val="clear" w:color="auto" w:fill="F5F7FB"/>
          </w:tcPr>
          <w:p>
            <w:pPr>
              <w:pStyle w:val="Compact"/>
            </w:pPr>
            <w:r>
              <w:rPr>
                <w:sz w:val="17"/>
              </w:rPr>
              <w:t xml:space="preserve">Cohérence du socle livré ; compétences disponibles</w:t>
            </w:r>
          </w:p>
        </w:tc>
      </w:tr>
      <w:tr>
        <w:tc>
          <w:tcPr/>
          <w:p>
            <w:pPr>
              <w:pStyle w:val="Compact"/>
            </w:pPr>
            <w:r>
              <w:rPr>
                <w:sz w:val="17"/>
              </w:rPr>
              <w:t xml:space="preserve">Communications</w:t>
            </w:r>
          </w:p>
        </w:tc>
        <w:tc>
          <w:tcPr/>
          <w:p>
            <w:pPr>
              <w:pStyle w:val="Compact"/>
            </w:pPr>
            <w:r>
              <w:rPr>
                <w:sz w:val="17"/>
              </w:rPr>
              <w:t xml:space="preserve">Module 39 générique</w:t>
            </w:r>
          </w:p>
        </w:tc>
        <w:tc>
          <w:tcPr/>
          <w:p>
            <w:pPr>
              <w:pStyle w:val="Compact"/>
            </w:pPr>
            <w:r>
              <w:rPr>
                <w:sz w:val="17"/>
              </w:rPr>
              <w:t xml:space="preserve">Architecture événementielle, 255 événements, avis obligatoires (§ 11.4)</w:t>
            </w:r>
          </w:p>
        </w:tc>
        <w:tc>
          <w:tcPr/>
          <w:p>
            <w:pPr>
              <w:pStyle w:val="Compact"/>
            </w:pPr>
            <w:r>
              <w:rPr>
                <w:sz w:val="17"/>
              </w:rPr>
              <w:t xml:space="preserve">Demande du promoteur</w:t>
            </w:r>
          </w:p>
        </w:tc>
      </w:tr>
      <w:tr>
        <w:tc>
          <w:tcPr>
            <w:shd w:val="clear" w:color="auto" w:fill="F5F7FB"/>
          </w:tcPr>
          <w:p>
            <w:pPr>
              <w:pStyle w:val="Compact"/>
            </w:pPr>
            <w:r>
              <w:rPr>
                <w:sz w:val="17"/>
              </w:rPr>
              <w:t xml:space="preserve">Devises et langues</w:t>
            </w:r>
          </w:p>
        </w:tc>
        <w:tc>
          <w:tcPr>
            <w:shd w:val="clear" w:color="auto" w:fill="F5F7FB"/>
          </w:tcPr>
          <w:p>
            <w:pPr>
              <w:pStyle w:val="Compact"/>
            </w:pPr>
            <w:r>
              <w:rPr>
                <w:sz w:val="17"/>
              </w:rPr>
              <w:t xml:space="preserve">Multidevise, multilingue</w:t>
            </w:r>
          </w:p>
        </w:tc>
        <w:tc>
          <w:tcPr>
            <w:shd w:val="clear" w:color="auto" w:fill="F5F7FB"/>
          </w:tcPr>
          <w:p>
            <w:pPr>
              <w:pStyle w:val="Compact"/>
            </w:pPr>
            <w:r>
              <w:rPr>
                <w:sz w:val="17"/>
              </w:rPr>
              <w:t xml:space="preserve">CDF principale ; drapeaux par devise ; langues par nom natif (§ 11.5–11.6)</w:t>
            </w:r>
          </w:p>
        </w:tc>
        <w:tc>
          <w:tcPr>
            <w:shd w:val="clear" w:color="auto" w:fill="F5F7FB"/>
          </w:tcPr>
          <w:p>
            <w:pPr>
              <w:pStyle w:val="Compact"/>
            </w:pPr>
            <w:r>
              <w:rPr>
                <w:sz w:val="17"/>
              </w:rPr>
              <w:t xml:space="preserve">Demande du promoteur</w:t>
            </w:r>
          </w:p>
        </w:tc>
      </w:tr>
      <w:tr>
        <w:tc>
          <w:tcPr/>
          <w:p>
            <w:pPr>
              <w:pStyle w:val="Compact"/>
            </w:pPr>
            <w:r>
              <w:rPr>
                <w:sz w:val="17"/>
              </w:rPr>
              <w:t xml:space="preserve">Couche d’intelligence</w:t>
            </w:r>
          </w:p>
        </w:tc>
        <w:tc>
          <w:tcPr/>
          <w:p>
            <w:pPr>
              <w:pStyle w:val="Compact"/>
            </w:pPr>
            <w:r>
              <w:rPr>
                <w:sz w:val="17"/>
              </w:rPr>
              <w:t xml:space="preserve">Agents IA</w:t>
            </w:r>
          </w:p>
        </w:tc>
        <w:tc>
          <w:tcPr/>
          <w:p>
            <w:pPr>
              <w:pStyle w:val="Compact"/>
            </w:pPr>
            <w:r>
              <w:rPr>
                <w:sz w:val="17"/>
              </w:rPr>
              <w:t xml:space="preserve">Système d’exploitation IA encadré, autosave, mémoire, format de sortie (§ 23.5)</w:t>
            </w:r>
          </w:p>
        </w:tc>
        <w:tc>
          <w:tcPr/>
          <w:p>
            <w:pPr>
              <w:pStyle w:val="Compact"/>
            </w:pPr>
            <w:r>
              <w:rPr>
                <w:sz w:val="17"/>
              </w:rPr>
              <w:t xml:space="preserve">Demande du promoteur</w:t>
            </w:r>
          </w:p>
        </w:tc>
      </w:tr>
      <w:tr>
        <w:tc>
          <w:tcPr>
            <w:shd w:val="clear" w:color="auto" w:fill="F5F7FB"/>
          </w:tcPr>
          <w:p>
            <w:pPr>
              <w:pStyle w:val="Compact"/>
            </w:pPr>
            <w:r>
              <w:rPr>
                <w:sz w:val="17"/>
              </w:rPr>
              <w:t xml:space="preserve">Charte graphique</w:t>
            </w:r>
          </w:p>
        </w:tc>
        <w:tc>
          <w:tcPr>
            <w:shd w:val="clear" w:color="auto" w:fill="F5F7FB"/>
          </w:tcPr>
          <w:p>
            <w:pPr>
              <w:pStyle w:val="Compact"/>
            </w:pPr>
            <w:r>
              <w:rPr>
                <w:sz w:val="17"/>
              </w:rPr>
              <w:t xml:space="preserve">Teal Groupe Nseya</w:t>
            </w:r>
          </w:p>
        </w:tc>
        <w:tc>
          <w:tcPr>
            <w:shd w:val="clear" w:color="auto" w:fill="F5F7FB"/>
          </w:tcPr>
          <w:p>
            <w:pPr>
              <w:pStyle w:val="Compact"/>
            </w:pPr>
            <w:r>
              <w:rPr>
                <w:b/>
                <w:bCs/>
                <w:sz w:val="17"/>
              </w:rPr>
              <w:t xml:space="preserve">Logo officiel de la Ville de Kinshasa, sans modification</w:t>
            </w:r>
            <w:r>
              <w:rPr>
                <w:sz w:val="17"/>
              </w:rPr>
              <w:t xml:space="preserve">, et couleurs de sa charte (marine</w:t>
            </w:r>
            <w:r>
              <w:rPr>
                <w:sz w:val="17"/>
              </w:rPr>
              <w:t xml:space="preserve"> </w:t>
            </w:r>
            <w:r>
              <w:rPr>
                <w:rStyle w:val="VerbatimChar"/>
                <w:sz w:val="17"/>
              </w:rPr>
              <w:t xml:space="preserve">#232C6B</w:t>
            </w:r>
            <w:r>
              <w:rPr>
                <w:sz w:val="17"/>
              </w:rPr>
              <w:t xml:space="preserve">, bleu</w:t>
            </w:r>
            <w:r>
              <w:rPr>
                <w:sz w:val="17"/>
              </w:rPr>
              <w:t xml:space="preserve"> </w:t>
            </w:r>
            <w:r>
              <w:rPr>
                <w:rStyle w:val="VerbatimChar"/>
                <w:sz w:val="17"/>
              </w:rPr>
              <w:t xml:space="preserve">#1E9BD7</w:t>
            </w:r>
            <w:r>
              <w:rPr>
                <w:sz w:val="17"/>
              </w:rPr>
              <w:t xml:space="preserve">, jaune</w:t>
            </w:r>
            <w:r>
              <w:rPr>
                <w:sz w:val="17"/>
              </w:rPr>
              <w:t xml:space="preserve"> </w:t>
            </w:r>
            <w:r>
              <w:rPr>
                <w:rStyle w:val="VerbatimChar"/>
                <w:sz w:val="17"/>
              </w:rPr>
              <w:t xml:space="preserve">#F7D618</w:t>
            </w:r>
            <w:r>
              <w:rPr>
                <w:sz w:val="17"/>
              </w:rPr>
              <w:t xml:space="preserve">, rouge</w:t>
            </w:r>
            <w:r>
              <w:rPr>
                <w:sz w:val="17"/>
              </w:rPr>
              <w:t xml:space="preserve"> </w:t>
            </w:r>
            <w:r>
              <w:rPr>
                <w:rStyle w:val="VerbatimChar"/>
                <w:sz w:val="17"/>
              </w:rPr>
              <w:t xml:space="preserve">#D7141A</w:t>
            </w:r>
            <w:r>
              <w:rPr>
                <w:sz w:val="17"/>
              </w:rPr>
              <w:t xml:space="preserve">, or</w:t>
            </w:r>
            <w:r>
              <w:rPr>
                <w:sz w:val="17"/>
              </w:rPr>
              <w:t xml:space="preserve"> </w:t>
            </w:r>
            <w:r>
              <w:rPr>
                <w:rStyle w:val="VerbatimChar"/>
                <w:sz w:val="17"/>
              </w:rPr>
              <w:t xml:space="preserve">#E0A526</w:t>
            </w:r>
            <w:r>
              <w:rPr>
                <w:sz w:val="17"/>
              </w:rPr>
              <w:t xml:space="preserve">, vert</w:t>
            </w:r>
            <w:r>
              <w:rPr>
                <w:sz w:val="17"/>
              </w:rPr>
              <w:t xml:space="preserve"> </w:t>
            </w:r>
            <w:r>
              <w:rPr>
                <w:rStyle w:val="VerbatimChar"/>
                <w:sz w:val="17"/>
              </w:rPr>
              <w:t xml:space="preserve">#1E8C3A</w:t>
            </w:r>
            <w:r>
              <w:rPr>
                <w:sz w:val="17"/>
              </w:rPr>
              <w:t xml:space="preserve">) dans les graphiques, documents et interfaces ; logo Groupe Nseya en mention « réalisé par »</w:t>
            </w:r>
          </w:p>
        </w:tc>
        <w:tc>
          <w:tcPr>
            <w:shd w:val="clear" w:color="auto" w:fill="F5F7FB"/>
          </w:tcPr>
          <w:p>
            <w:pPr>
              <w:pStyle w:val="Compact"/>
            </w:pPr>
            <w:r>
              <w:rPr>
                <w:sz w:val="17"/>
              </w:rPr>
              <w:t xml:space="preserve">Demande du promoteur</w:t>
            </w:r>
          </w:p>
        </w:tc>
      </w:tr>
      <w:tr>
        <w:tc>
          <w:tcPr/>
          <w:p>
            <w:pPr>
              <w:pStyle w:val="Compact"/>
            </w:pPr>
            <w:r>
              <w:rPr>
                <w:sz w:val="17"/>
              </w:rPr>
              <w:t xml:space="preserve">Direction artistique</w:t>
            </w:r>
          </w:p>
        </w:tc>
        <w:tc>
          <w:tcPr/>
          <w:p>
            <w:pPr>
              <w:pStyle w:val="Compact"/>
            </w:pPr>
            <w:r>
              <w:rPr>
                <w:sz w:val="17"/>
              </w:rPr>
              <w:t xml:space="preserve">—</w:t>
            </w:r>
          </w:p>
        </w:tc>
        <w:tc>
          <w:tcPr/>
          <w:p>
            <w:pPr>
              <w:pStyle w:val="Compact"/>
            </w:pPr>
            <w:r>
              <w:rPr>
                <w:sz w:val="17"/>
              </w:rPr>
              <w:t xml:space="preserve">Interface sobre et éditoriale de console financière publique ; page d’accueil cinématographique ; aucun artifice « généré par IA »</w:t>
            </w:r>
          </w:p>
        </w:tc>
        <w:tc>
          <w:tcPr/>
          <w:p>
            <w:pPr>
              <w:pStyle w:val="Compact"/>
            </w:pPr>
            <w:r>
              <w:rPr>
                <w:sz w:val="17"/>
              </w:rPr>
              <w:t xml:space="preserve">Demande du promoteur</w:t>
            </w:r>
          </w:p>
        </w:tc>
      </w:tr>
    </w:tbl>
    <w:bookmarkEnd w:id="378"/>
    <w:bookmarkEnd w:id="379"/>
    <w:bookmarkStart w:id="387" w:name="annexe-e-socle-logiciel-livré"/>
    <w:p>
      <w:pPr>
        <w:pStyle w:val="Heading1"/>
      </w:pPr>
      <w:r>
        <w:t xml:space="preserve">Annexe E — Socle logiciel livré</w:t>
      </w:r>
    </w:p>
    <w:p>
      <w:pPr>
        <w:pStyle w:val="FirstParagraph"/>
      </w:pPr>
      <w:r>
        <w:t xml:space="preserve">Le dépôt du programme contient, en plus du document, un</w:t>
      </w:r>
      <w:r>
        <w:t xml:space="preserve"> </w:t>
      </w:r>
      <w:r>
        <w:rPr>
          <w:b/>
          <w:bCs/>
        </w:rPr>
        <w:t xml:space="preserve">socle logiciel exécutable</w:t>
      </w:r>
      <w:r>
        <w:t xml:space="preserve"> </w:t>
      </w:r>
      <w:r>
        <w:t xml:space="preserve">qui met en œuvre les garde-fous essentiels de la plateforme. Il ne remplace pas la réalisation de la phase 2 : il en fixe l’architecture, les contrats et les invariants, et sert de référence aux équipes et aux évaluateurs.</w:t>
      </w:r>
    </w:p>
    <w:bookmarkStart w:id="383" w:name="X97bdeecce8f6021337eb1e26bb56b261f65872a"/>
    <w:p>
      <w:pPr>
        <w:pStyle w:val="Heading2"/>
      </w:pPr>
      <w:r>
        <w:t xml:space="preserve">E.1 Organisation : backend, frontend et shared séparés</w:t>
      </w:r>
    </w:p>
    <w:p>
      <w:pPr>
        <w:pStyle w:val="FirstParagraph"/>
      </w:pPr>
      <w:r>
        <w:drawing>
          <wp:inline>
            <wp:extent cx="6108700" cy="272709"/>
            <wp:effectExtent b="0" l="0" r="0" t="0"/>
            <wp:docPr descr="" title="" id="381" name="Picture"/>
            <a:graphic>
              <a:graphicData uri="http://schemas.openxmlformats.org/drawingml/2006/picture">
                <pic:pic>
                  <pic:nvPicPr>
                    <pic:cNvPr descr="figures/mermaid/mmd-633fe914ecfb.png" id="382" name="Picture"/>
                    <pic:cNvPicPr>
                      <a:picLocks noChangeArrowheads="1" noChangeAspect="1"/>
                    </pic:cNvPicPr>
                  </pic:nvPicPr>
                  <pic:blipFill>
                    <a:blip r:embed="rId380"/>
                    <a:stretch>
                      <a:fillRect/>
                    </a:stretch>
                  </pic:blipFill>
                  <pic:spPr bwMode="auto">
                    <a:xfrm>
                      <a:off x="0" y="0"/>
                      <a:ext cx="6108700" cy="272709"/>
                    </a:xfrm>
                    <a:prstGeom prst="rect">
                      <a:avLst/>
                    </a:prstGeom>
                    <a:noFill/>
                    <a:ln w="9525">
                      <a:noFill/>
                      <a:headEnd/>
                      <a:tailEnd/>
                    </a:ln>
                  </pic:spPr>
                </pic:pic>
              </a:graphicData>
            </a:graphic>
          </wp:inline>
        </w:drawing>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Paquet</w:t>
            </w:r>
          </w:p>
        </w:tc>
        <w:tc>
          <w:tcPr>
            <w:shd w:val="clear" w:color="auto" w:fill="232C6B"/>
          </w:tcPr>
          <w:p>
            <w:pPr>
              <w:pStyle w:val="Compact"/>
            </w:pPr>
            <w:r>
              <w:rPr>
                <w:b/>
                <w:color w:val="FFFFFF"/>
                <w:sz w:val="17"/>
              </w:rPr>
              <w:t xml:space="preserve">Technologie</w:t>
            </w:r>
          </w:p>
        </w:tc>
        <w:tc>
          <w:tcPr>
            <w:shd w:val="clear" w:color="auto" w:fill="232C6B"/>
          </w:tcPr>
          <w:p>
            <w:pPr>
              <w:pStyle w:val="Compact"/>
            </w:pPr>
            <w:r>
              <w:rPr>
                <w:b/>
                <w:color w:val="FFFFFF"/>
                <w:sz w:val="17"/>
              </w:rPr>
              <w:t xml:space="preserve">Rôle</w:t>
            </w:r>
          </w:p>
        </w:tc>
      </w:tr>
      <w:tr>
        <w:tc>
          <w:tcPr/>
          <w:p>
            <w:pPr>
              <w:pStyle w:val="Compact"/>
            </w:pPr>
            <w:r>
              <w:rPr>
                <w:rStyle w:val="VerbatimChar"/>
                <w:sz w:val="17"/>
              </w:rPr>
              <w:t xml:space="preserve">shared</w:t>
            </w:r>
          </w:p>
        </w:tc>
        <w:tc>
          <w:tcPr/>
          <w:p>
            <w:pPr>
              <w:pStyle w:val="Compact"/>
            </w:pPr>
            <w:r>
              <w:rPr>
                <w:sz w:val="17"/>
              </w:rPr>
              <w:t xml:space="preserve">TypeScript, sans dépendance d’exécution</w:t>
            </w:r>
          </w:p>
        </w:tc>
        <w:tc>
          <w:tcPr/>
          <w:p>
            <w:pPr>
              <w:pStyle w:val="Compact"/>
            </w:pPr>
            <w:r>
              <w:rPr>
                <w:sz w:val="17"/>
              </w:rPr>
              <w:t xml:space="preserve">Source unique des types, calculs monétaires, référentiels et catalogues</w:t>
            </w:r>
          </w:p>
        </w:tc>
      </w:tr>
      <w:tr>
        <w:tc>
          <w:tcPr>
            <w:shd w:val="clear" w:color="auto" w:fill="F5F7FB"/>
          </w:tcPr>
          <w:p>
            <w:pPr>
              <w:pStyle w:val="Compact"/>
            </w:pPr>
            <w:r>
              <w:rPr>
                <w:rStyle w:val="VerbatimChar"/>
                <w:sz w:val="17"/>
              </w:rPr>
              <w:t xml:space="preserve">backend</w:t>
            </w:r>
          </w:p>
        </w:tc>
        <w:tc>
          <w:tcPr>
            <w:shd w:val="clear" w:color="auto" w:fill="F5F7FB"/>
          </w:tcPr>
          <w:p>
            <w:pPr>
              <w:pStyle w:val="Compact"/>
            </w:pPr>
            <w:r>
              <w:rPr>
                <w:sz w:val="17"/>
              </w:rPr>
              <w:t xml:space="preserve">Node.js 22, TypeScript, Fastify, Zod</w:t>
            </w:r>
          </w:p>
        </w:tc>
        <w:tc>
          <w:tcPr>
            <w:shd w:val="clear" w:color="auto" w:fill="F5F7FB"/>
          </w:tcPr>
          <w:p>
            <w:pPr>
              <w:pStyle w:val="Compact"/>
            </w:pPr>
            <w:r>
              <w:rPr>
                <w:sz w:val="17"/>
              </w:rPr>
              <w:t xml:space="preserve">API REST conforme à</w:t>
            </w:r>
            <w:r>
              <w:rPr>
                <w:sz w:val="17"/>
              </w:rPr>
              <w:t xml:space="preserve"> </w:t>
            </w:r>
            <w:r>
              <w:rPr>
                <w:rStyle w:val="VerbatimChar"/>
                <w:sz w:val="17"/>
              </w:rPr>
              <w:t xml:space="preserve">specs/contrat-api.md</w:t>
            </w:r>
            <w:r>
              <w:rPr>
                <w:sz w:val="17"/>
              </w:rPr>
              <w:t xml:space="preserve"> </w:t>
            </w:r>
            <w:r>
              <w:rPr>
                <w:sz w:val="17"/>
              </w:rPr>
              <w:t xml:space="preserve">et</w:t>
            </w:r>
            <w:r>
              <w:rPr>
                <w:sz w:val="17"/>
              </w:rPr>
              <w:t xml:space="preserve"> </w:t>
            </w:r>
            <w:r>
              <w:rPr>
                <w:rStyle w:val="VerbatimChar"/>
                <w:sz w:val="17"/>
              </w:rPr>
              <w:t xml:space="preserve">specs/openapi.yaml</w:t>
            </w:r>
          </w:p>
        </w:tc>
      </w:tr>
      <w:tr>
        <w:tc>
          <w:tcPr/>
          <w:p>
            <w:pPr>
              <w:pStyle w:val="Compact"/>
            </w:pPr>
            <w:r>
              <w:rPr>
                <w:rStyle w:val="VerbatimChar"/>
                <w:sz w:val="17"/>
              </w:rPr>
              <w:t xml:space="preserve">frontend</w:t>
            </w:r>
          </w:p>
        </w:tc>
        <w:tc>
          <w:tcPr/>
          <w:p>
            <w:pPr>
              <w:pStyle w:val="Compact"/>
            </w:pPr>
            <w:r>
              <w:rPr>
                <w:sz w:val="17"/>
              </w:rPr>
              <w:t xml:space="preserve">React 18, Vite, Recharts, vite-plugin-pwa</w:t>
            </w:r>
          </w:p>
        </w:tc>
        <w:tc>
          <w:tcPr/>
          <w:p>
            <w:pPr>
              <w:pStyle w:val="Compact"/>
            </w:pPr>
            <w:r>
              <w:rPr>
                <w:sz w:val="17"/>
              </w:rPr>
              <w:t xml:space="preserve">Application web progressive installable, responsive (téléphone, tablette, poste de travail), hors ligne</w:t>
            </w:r>
          </w:p>
        </w:tc>
      </w:tr>
    </w:tbl>
    <w:bookmarkEnd w:id="383"/>
    <w:bookmarkStart w:id="384" w:name="X859b1218fe220cdaeb2be27e5016bcb12988b50"/>
    <w:p>
      <w:pPr>
        <w:pStyle w:val="Heading2"/>
      </w:pPr>
      <w:r>
        <w:t xml:space="preserve">E.2 Invariants démontrés par les tests automatisés</w:t>
      </w:r>
    </w:p>
    <w:p>
      <w:pPr>
        <w:pStyle w:val="FirstParagraph"/>
      </w:pPr>
      <w:r>
        <w:t xml:space="preserve">État au 26 septembre 2026 :</w:t>
      </w:r>
      <w:r>
        <w:t xml:space="preserve"> </w:t>
      </w:r>
      <w:r>
        <w:rPr>
          <w:b/>
          <w:bCs/>
        </w:rPr>
        <w:t xml:space="preserve">74 tests automatisés, tous verts</w:t>
      </w:r>
      <w:r>
        <w:t xml:space="preserve"> </w:t>
      </w:r>
      <w:r>
        <w:t xml:space="preserve">(shared : 16 ; backend : 47 ; frontend : 11), vérification de types stricte sans erreur, construction de la PWA réussie. Le backend implémente les 39 routes du contrat, vérifiées contre</w:t>
      </w:r>
      <w:r>
        <w:t xml:space="preserve"> </w:t>
      </w:r>
      <w:r>
        <w:rPr>
          <w:rStyle w:val="VerbatimChar"/>
        </w:rPr>
        <w:t xml:space="preserve">specs/openapi.yaml</w:t>
      </w:r>
      <w:r>
        <w:t xml:space="preserve"> </w:t>
      </w:r>
      <w:r>
        <w:t xml:space="preserve">; le schéma PostgreSQL (</w:t>
      </w:r>
      <w:r>
        <w:rPr>
          <w:rStyle w:val="VerbatimChar"/>
        </w:rPr>
        <w:t xml:space="preserve">backend/db/schema.sql</w:t>
      </w:r>
      <w:r>
        <w:t xml:space="preserve">) a été chargé dans PostgreSQL 16 et refuse toute modification ou suppression du journal d’audit ainsi que toute écriture comptable déséquilibrée.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Critère (ch. 41)</w:t>
            </w:r>
          </w:p>
        </w:tc>
        <w:tc>
          <w:tcPr>
            <w:shd w:val="clear" w:color="auto" w:fill="232C6B"/>
          </w:tcPr>
          <w:p>
            <w:pPr>
              <w:pStyle w:val="Compact"/>
            </w:pPr>
            <w:r>
              <w:rPr>
                <w:b/>
                <w:color w:val="FFFFFF"/>
                <w:sz w:val="17"/>
              </w:rPr>
              <w:t xml:space="preserve">Invariant</w:t>
            </w:r>
          </w:p>
        </w:tc>
        <w:tc>
          <w:tcPr>
            <w:shd w:val="clear" w:color="auto" w:fill="232C6B"/>
          </w:tcPr>
          <w:p>
            <w:pPr>
              <w:pStyle w:val="Compact"/>
            </w:pPr>
            <w:r>
              <w:rPr>
                <w:b/>
                <w:color w:val="FFFFFF"/>
                <w:sz w:val="17"/>
              </w:rPr>
              <w:t xml:space="preserve">Paquet</w:t>
            </w:r>
          </w:p>
        </w:tc>
      </w:tr>
      <w:tr>
        <w:tc>
          <w:tcPr/>
          <w:p>
            <w:pPr>
              <w:pStyle w:val="Compact"/>
            </w:pPr>
            <w:r>
              <w:rPr>
                <w:sz w:val="17"/>
              </w:rPr>
              <w:t xml:space="preserve">AC-LEG-01</w:t>
            </w:r>
          </w:p>
        </w:tc>
        <w:tc>
          <w:tcPr/>
          <w:p>
            <w:pPr>
              <w:pStyle w:val="Compact"/>
            </w:pPr>
            <w:r>
              <w:rPr>
                <w:sz w:val="17"/>
              </w:rPr>
              <w:t xml:space="preserve">Une règle</w:t>
            </w:r>
            <w:r>
              <w:rPr>
                <w:sz w:val="17"/>
              </w:rPr>
              <w:t xml:space="preserve"> </w:t>
            </w:r>
            <w:r>
              <w:rPr>
                <w:rStyle w:val="VerbatimChar"/>
                <w:sz w:val="17"/>
              </w:rPr>
              <w:t xml:space="preserve">A_VERIFIER</w:t>
            </w:r>
            <w:r>
              <w:rPr>
                <w:sz w:val="17"/>
              </w:rPr>
              <w:t xml:space="preserve"> </w:t>
            </w:r>
            <w:r>
              <w:rPr>
                <w:sz w:val="17"/>
              </w:rPr>
              <w:t xml:space="preserve">ne peut produire aucune obligation</w:t>
            </w:r>
          </w:p>
        </w:tc>
        <w:tc>
          <w:tcPr/>
          <w:p>
            <w:pPr>
              <w:pStyle w:val="Compact"/>
            </w:pPr>
            <w:r>
              <w:rPr>
                <w:sz w:val="17"/>
              </w:rPr>
              <w:t xml:space="preserve">shared, backend</w:t>
            </w:r>
          </w:p>
        </w:tc>
      </w:tr>
      <w:tr>
        <w:tc>
          <w:tcPr>
            <w:shd w:val="clear" w:color="auto" w:fill="F5F7FB"/>
          </w:tcPr>
          <w:p>
            <w:pPr>
              <w:pStyle w:val="Compact"/>
            </w:pPr>
            <w:r>
              <w:rPr>
                <w:sz w:val="17"/>
              </w:rPr>
              <w:t xml:space="preserve">AC-LEG-02</w:t>
            </w:r>
          </w:p>
        </w:tc>
        <w:tc>
          <w:tcPr>
            <w:shd w:val="clear" w:color="auto" w:fill="F5F7FB"/>
          </w:tcPr>
          <w:p>
            <w:pPr>
              <w:pStyle w:val="Compact"/>
            </w:pPr>
            <w:r>
              <w:rPr>
                <w:sz w:val="17"/>
              </w:rPr>
              <w:t xml:space="preserve">Quatre approbateurs distincts pour publier une règle</w:t>
            </w:r>
          </w:p>
        </w:tc>
        <w:tc>
          <w:tcPr>
            <w:shd w:val="clear" w:color="auto" w:fill="F5F7FB"/>
          </w:tcPr>
          <w:p>
            <w:pPr>
              <w:pStyle w:val="Compact"/>
            </w:pPr>
            <w:r>
              <w:rPr>
                <w:sz w:val="17"/>
              </w:rPr>
              <w:t xml:space="preserve">shared, backend</w:t>
            </w:r>
          </w:p>
        </w:tc>
      </w:tr>
      <w:tr>
        <w:tc>
          <w:tcPr/>
          <w:p>
            <w:pPr>
              <w:pStyle w:val="Compact"/>
            </w:pPr>
            <w:r>
              <w:rPr>
                <w:sz w:val="17"/>
              </w:rPr>
              <w:t xml:space="preserve">AC-LEG-03</w:t>
            </w:r>
          </w:p>
        </w:tc>
        <w:tc>
          <w:tcPr/>
          <w:p>
            <w:pPr>
              <w:pStyle w:val="Compact"/>
            </w:pPr>
            <w:r>
              <w:rPr>
                <w:sz w:val="17"/>
              </w:rPr>
              <w:t xml:space="preserve">Aucune règle fondée sur un texte abrogé</w:t>
            </w:r>
          </w:p>
        </w:tc>
        <w:tc>
          <w:tcPr/>
          <w:p>
            <w:pPr>
              <w:pStyle w:val="Compact"/>
            </w:pPr>
            <w:r>
              <w:rPr>
                <w:sz w:val="17"/>
              </w:rPr>
              <w:t xml:space="preserve">backend</w:t>
            </w:r>
          </w:p>
        </w:tc>
      </w:tr>
      <w:tr>
        <w:tc>
          <w:tcPr>
            <w:shd w:val="clear" w:color="auto" w:fill="F5F7FB"/>
          </w:tcPr>
          <w:p>
            <w:pPr>
              <w:pStyle w:val="Compact"/>
            </w:pPr>
            <w:r>
              <w:rPr>
                <w:sz w:val="17"/>
              </w:rPr>
              <w:t xml:space="preserve">AC-ASS-01</w:t>
            </w:r>
          </w:p>
        </w:tc>
        <w:tc>
          <w:tcPr>
            <w:shd w:val="clear" w:color="auto" w:fill="F5F7FB"/>
          </w:tcPr>
          <w:p>
            <w:pPr>
              <w:pStyle w:val="Compact"/>
            </w:pPr>
            <w:r>
              <w:rPr>
                <w:sz w:val="17"/>
              </w:rPr>
              <w:t xml:space="preserve">Chaque obligation porte son explication (règle, version, base légale, formule, entrées)</w:t>
            </w:r>
          </w:p>
        </w:tc>
        <w:tc>
          <w:tcPr>
            <w:shd w:val="clear" w:color="auto" w:fill="F5F7FB"/>
          </w:tcPr>
          <w:p>
            <w:pPr>
              <w:pStyle w:val="Compact"/>
            </w:pPr>
            <w:r>
              <w:rPr>
                <w:sz w:val="17"/>
              </w:rPr>
              <w:t xml:space="preserve">backend, frontend</w:t>
            </w:r>
          </w:p>
        </w:tc>
      </w:tr>
      <w:tr>
        <w:tc>
          <w:tcPr/>
          <w:p>
            <w:pPr>
              <w:pStyle w:val="Compact"/>
            </w:pPr>
            <w:r>
              <w:rPr>
                <w:sz w:val="17"/>
              </w:rPr>
              <w:t xml:space="preserve">AC-PAY-01</w:t>
            </w:r>
          </w:p>
        </w:tc>
        <w:tc>
          <w:tcPr/>
          <w:p>
            <w:pPr>
              <w:pStyle w:val="Compact"/>
            </w:pPr>
            <w:r>
              <w:rPr>
                <w:sz w:val="17"/>
              </w:rPr>
              <w:t xml:space="preserve">Idempotence des références de paiement</w:t>
            </w:r>
          </w:p>
        </w:tc>
        <w:tc>
          <w:tcPr/>
          <w:p>
            <w:pPr>
              <w:pStyle w:val="Compact"/>
            </w:pPr>
            <w:r>
              <w:rPr>
                <w:sz w:val="17"/>
              </w:rPr>
              <w:t xml:space="preserve">backend</w:t>
            </w:r>
          </w:p>
        </w:tc>
      </w:tr>
      <w:tr>
        <w:tc>
          <w:tcPr>
            <w:shd w:val="clear" w:color="auto" w:fill="F5F7FB"/>
          </w:tcPr>
          <w:p>
            <w:pPr>
              <w:pStyle w:val="Compact"/>
            </w:pPr>
            <w:r>
              <w:rPr>
                <w:sz w:val="17"/>
              </w:rPr>
              <w:t xml:space="preserve">AC-PAY-02</w:t>
            </w:r>
          </w:p>
        </w:tc>
        <w:tc>
          <w:tcPr>
            <w:shd w:val="clear" w:color="auto" w:fill="F5F7FB"/>
          </w:tcPr>
          <w:p>
            <w:pPr>
              <w:pStyle w:val="Compact"/>
            </w:pPr>
            <w:r>
              <w:rPr>
                <w:sz w:val="17"/>
              </w:rPr>
              <w:t xml:space="preserve">Rappels prestataires : signature, fenêtre temporelle, nonce, unicité</w:t>
            </w:r>
          </w:p>
        </w:tc>
        <w:tc>
          <w:tcPr>
            <w:shd w:val="clear" w:color="auto" w:fill="F5F7FB"/>
          </w:tcPr>
          <w:p>
            <w:pPr>
              <w:pStyle w:val="Compact"/>
            </w:pPr>
            <w:r>
              <w:rPr>
                <w:sz w:val="17"/>
              </w:rPr>
              <w:t xml:space="preserve">backend</w:t>
            </w:r>
          </w:p>
        </w:tc>
      </w:tr>
      <w:tr>
        <w:tc>
          <w:tcPr/>
          <w:p>
            <w:pPr>
              <w:pStyle w:val="Compact"/>
            </w:pPr>
            <w:r>
              <w:rPr>
                <w:sz w:val="17"/>
              </w:rPr>
              <w:t xml:space="preserve">AC-PAY-04</w:t>
            </w:r>
          </w:p>
        </w:tc>
        <w:tc>
          <w:tcPr/>
          <w:p>
            <w:pPr>
              <w:pStyle w:val="Compact"/>
            </w:pPr>
            <w:r>
              <w:rPr>
                <w:sz w:val="17"/>
              </w:rPr>
              <w:t xml:space="preserve">Quittance provisoire à la confirmation, définitive au rapprochement</w:t>
            </w:r>
          </w:p>
        </w:tc>
        <w:tc>
          <w:tcPr/>
          <w:p>
            <w:pPr>
              <w:pStyle w:val="Compact"/>
            </w:pPr>
            <w:r>
              <w:rPr>
                <w:sz w:val="17"/>
              </w:rPr>
              <w:t xml:space="preserve">backend</w:t>
            </w:r>
          </w:p>
        </w:tc>
      </w:tr>
      <w:tr>
        <w:tc>
          <w:tcPr>
            <w:shd w:val="clear" w:color="auto" w:fill="F5F7FB"/>
          </w:tcPr>
          <w:p>
            <w:pPr>
              <w:pStyle w:val="Compact"/>
            </w:pPr>
            <w:r>
              <w:rPr>
                <w:sz w:val="17"/>
              </w:rPr>
              <w:t xml:space="preserve">AC-BEN-01</w:t>
            </w:r>
          </w:p>
        </w:tc>
        <w:tc>
          <w:tcPr>
            <w:shd w:val="clear" w:color="auto" w:fill="F5F7FB"/>
          </w:tcPr>
          <w:p>
            <w:pPr>
              <w:pStyle w:val="Compact"/>
            </w:pPr>
            <w:r>
              <w:rPr>
                <w:sz w:val="17"/>
              </w:rPr>
              <w:t xml:space="preserve">Coffre des bénéficiaires : deux approbateurs, vérification hors bande, 72 heures</w:t>
            </w:r>
          </w:p>
        </w:tc>
        <w:tc>
          <w:tcPr>
            <w:shd w:val="clear" w:color="auto" w:fill="F5F7FB"/>
          </w:tcPr>
          <w:p>
            <w:pPr>
              <w:pStyle w:val="Compact"/>
            </w:pPr>
            <w:r>
              <w:rPr>
                <w:sz w:val="17"/>
              </w:rPr>
              <w:t xml:space="preserve">backend</w:t>
            </w:r>
          </w:p>
        </w:tc>
      </w:tr>
      <w:tr>
        <w:tc>
          <w:tcPr/>
          <w:p>
            <w:pPr>
              <w:pStyle w:val="Compact"/>
            </w:pPr>
            <w:r>
              <w:rPr>
                <w:sz w:val="17"/>
              </w:rPr>
              <w:t xml:space="preserve">AC-LED-01</w:t>
            </w:r>
          </w:p>
        </w:tc>
        <w:tc>
          <w:tcPr/>
          <w:p>
            <w:pPr>
              <w:pStyle w:val="Compact"/>
            </w:pPr>
            <w:r>
              <w:rPr>
                <w:sz w:val="17"/>
              </w:rPr>
              <w:t xml:space="preserve">Grand livre en ajout seul, équilibré, corrections par contre-écriture</w:t>
            </w:r>
          </w:p>
        </w:tc>
        <w:tc>
          <w:tcPr/>
          <w:p>
            <w:pPr>
              <w:pStyle w:val="Compact"/>
            </w:pPr>
            <w:r>
              <w:rPr>
                <w:sz w:val="17"/>
              </w:rPr>
              <w:t xml:space="preserve">backend</w:t>
            </w:r>
          </w:p>
        </w:tc>
      </w:tr>
      <w:tr>
        <w:tc>
          <w:tcPr>
            <w:shd w:val="clear" w:color="auto" w:fill="F5F7FB"/>
          </w:tcPr>
          <w:p>
            <w:pPr>
              <w:pStyle w:val="Compact"/>
            </w:pPr>
            <w:r>
              <w:rPr>
                <w:sz w:val="17"/>
              </w:rPr>
              <w:t xml:space="preserve">AC-AUD-01</w:t>
            </w:r>
          </w:p>
        </w:tc>
        <w:tc>
          <w:tcPr>
            <w:shd w:val="clear" w:color="auto" w:fill="F5F7FB"/>
          </w:tcPr>
          <w:p>
            <w:pPr>
              <w:pStyle w:val="Compact"/>
            </w:pPr>
            <w:r>
              <w:rPr>
                <w:sz w:val="17"/>
              </w:rPr>
              <w:t xml:space="preserve">Toute altération du journal d’audit est détectée</w:t>
            </w:r>
          </w:p>
        </w:tc>
        <w:tc>
          <w:tcPr>
            <w:shd w:val="clear" w:color="auto" w:fill="F5F7FB"/>
          </w:tcPr>
          <w:p>
            <w:pPr>
              <w:pStyle w:val="Compact"/>
            </w:pPr>
            <w:r>
              <w:rPr>
                <w:sz w:val="17"/>
              </w:rPr>
              <w:t xml:space="preserve">backend</w:t>
            </w:r>
          </w:p>
        </w:tc>
      </w:tr>
      <w:tr>
        <w:tc>
          <w:tcPr/>
          <w:p>
            <w:pPr>
              <w:pStyle w:val="Compact"/>
            </w:pPr>
            <w:r>
              <w:rPr>
                <w:sz w:val="17"/>
              </w:rPr>
              <w:t xml:space="preserve">AC-ACC-01/02</w:t>
            </w:r>
          </w:p>
        </w:tc>
        <w:tc>
          <w:tcPr/>
          <w:p>
            <w:pPr>
              <w:pStyle w:val="Compact"/>
            </w:pPr>
            <w:r>
              <w:rPr>
                <w:sz w:val="17"/>
              </w:rPr>
              <w:t xml:space="preserve">Super-administrateur et Gouverneur sans pouvoir financier</w:t>
            </w:r>
          </w:p>
        </w:tc>
        <w:tc>
          <w:tcPr/>
          <w:p>
            <w:pPr>
              <w:pStyle w:val="Compact"/>
            </w:pPr>
            <w:r>
              <w:rPr>
                <w:sz w:val="17"/>
              </w:rPr>
              <w:t xml:space="preserve">backend</w:t>
            </w:r>
          </w:p>
        </w:tc>
      </w:tr>
      <w:tr>
        <w:tc>
          <w:tcPr>
            <w:shd w:val="clear" w:color="auto" w:fill="F5F7FB"/>
          </w:tcPr>
          <w:p>
            <w:pPr>
              <w:pStyle w:val="Compact"/>
            </w:pPr>
            <w:r>
              <w:rPr>
                <w:sz w:val="17"/>
              </w:rPr>
              <w:t xml:space="preserve">AC-RCP-01</w:t>
            </w:r>
          </w:p>
        </w:tc>
        <w:tc>
          <w:tcPr>
            <w:shd w:val="clear" w:color="auto" w:fill="F5F7FB"/>
          </w:tcPr>
          <w:p>
            <w:pPr>
              <w:pStyle w:val="Compact"/>
            </w:pPr>
            <w:r>
              <w:rPr>
                <w:sz w:val="17"/>
              </w:rPr>
              <w:t xml:space="preserve">Vérification publique minimale</w:t>
            </w:r>
          </w:p>
        </w:tc>
        <w:tc>
          <w:tcPr>
            <w:shd w:val="clear" w:color="auto" w:fill="F5F7FB"/>
          </w:tcPr>
          <w:p>
            <w:pPr>
              <w:pStyle w:val="Compact"/>
            </w:pPr>
            <w:r>
              <w:rPr>
                <w:sz w:val="17"/>
              </w:rPr>
              <w:t xml:space="preserve">backend, frontend</w:t>
            </w:r>
          </w:p>
        </w:tc>
      </w:tr>
      <w:tr>
        <w:tc>
          <w:tcPr/>
          <w:p>
            <w:pPr>
              <w:pStyle w:val="Compact"/>
            </w:pPr>
            <w:r>
              <w:rPr>
                <w:sz w:val="17"/>
              </w:rPr>
              <w:t xml:space="preserve">AC-COM-01/02</w:t>
            </w:r>
          </w:p>
        </w:tc>
        <w:tc>
          <w:tcPr/>
          <w:p>
            <w:pPr>
              <w:pStyle w:val="Compact"/>
            </w:pPr>
            <w:r>
              <w:rPr>
                <w:sz w:val="17"/>
              </w:rPr>
              <w:t xml:space="preserve">Avis obligatoires malgré la désinscription ; bac à sable « journalisé »</w:t>
            </w:r>
          </w:p>
        </w:tc>
        <w:tc>
          <w:tcPr/>
          <w:p>
            <w:pPr>
              <w:pStyle w:val="Compact"/>
            </w:pPr>
            <w:r>
              <w:rPr>
                <w:sz w:val="17"/>
              </w:rPr>
              <w:t xml:space="preserve">shared, backend</w:t>
            </w:r>
          </w:p>
        </w:tc>
      </w:tr>
      <w:tr>
        <w:tc>
          <w:tcPr>
            <w:shd w:val="clear" w:color="auto" w:fill="F5F7FB"/>
          </w:tcPr>
          <w:p>
            <w:pPr>
              <w:pStyle w:val="Compact"/>
            </w:pPr>
            <w:r>
              <w:rPr>
                <w:sz w:val="17"/>
              </w:rPr>
              <w:t xml:space="preserve">AC-CUR-01</w:t>
            </w:r>
          </w:p>
        </w:tc>
        <w:tc>
          <w:tcPr>
            <w:shd w:val="clear" w:color="auto" w:fill="F5F7FB"/>
          </w:tcPr>
          <w:p>
            <w:pPr>
              <w:pStyle w:val="Compact"/>
            </w:pPr>
            <w:r>
              <w:rPr>
                <w:sz w:val="17"/>
              </w:rPr>
              <w:t xml:space="preserve">Montants exacts multidevises, drapeaux, taux et source</w:t>
            </w:r>
          </w:p>
        </w:tc>
        <w:tc>
          <w:tcPr>
            <w:shd w:val="clear" w:color="auto" w:fill="F5F7FB"/>
          </w:tcPr>
          <w:p>
            <w:pPr>
              <w:pStyle w:val="Compact"/>
            </w:pPr>
            <w:r>
              <w:rPr>
                <w:sz w:val="17"/>
              </w:rPr>
              <w:t xml:space="preserve">shared, backend, frontend</w:t>
            </w:r>
          </w:p>
        </w:tc>
      </w:tr>
      <w:tr>
        <w:tc>
          <w:tcPr/>
          <w:p>
            <w:pPr>
              <w:pStyle w:val="Compact"/>
            </w:pPr>
            <w:r>
              <w:rPr>
                <w:sz w:val="17"/>
              </w:rPr>
              <w:t xml:space="preserve">AC-AI-01</w:t>
            </w:r>
          </w:p>
        </w:tc>
        <w:tc>
          <w:tcPr/>
          <w:p>
            <w:pPr>
              <w:pStyle w:val="Compact"/>
            </w:pPr>
            <w:r>
              <w:rPr>
                <w:sz w:val="17"/>
              </w:rPr>
              <w:t xml:space="preserve">Une recommandation d’IA est sans effet avant décision humaine</w:t>
            </w:r>
          </w:p>
        </w:tc>
        <w:tc>
          <w:tcPr/>
          <w:p>
            <w:pPr>
              <w:pStyle w:val="Compact"/>
            </w:pPr>
            <w:r>
              <w:rPr>
                <w:sz w:val="17"/>
              </w:rPr>
              <w:t xml:space="preserve">backend, frontend</w:t>
            </w:r>
          </w:p>
        </w:tc>
      </w:tr>
      <w:tr>
        <w:tc>
          <w:tcPr>
            <w:shd w:val="clear" w:color="auto" w:fill="F5F7FB"/>
          </w:tcPr>
          <w:p>
            <w:pPr>
              <w:pStyle w:val="Compact"/>
            </w:pPr>
            <w:r>
              <w:rPr>
                <w:sz w:val="17"/>
              </w:rPr>
              <w:t xml:space="preserve">AC-SAV-01</w:t>
            </w:r>
          </w:p>
        </w:tc>
        <w:tc>
          <w:tcPr>
            <w:shd w:val="clear" w:color="auto" w:fill="F5F7FB"/>
          </w:tcPr>
          <w:p>
            <w:pPr>
              <w:pStyle w:val="Compact"/>
            </w:pPr>
            <w:r>
              <w:rPr>
                <w:sz w:val="17"/>
              </w:rPr>
              <w:t xml:space="preserve">Autosauvegarde versionnée</w:t>
            </w:r>
          </w:p>
        </w:tc>
        <w:tc>
          <w:tcPr>
            <w:shd w:val="clear" w:color="auto" w:fill="F5F7FB"/>
          </w:tcPr>
          <w:p>
            <w:pPr>
              <w:pStyle w:val="Compact"/>
            </w:pPr>
            <w:r>
              <w:rPr>
                <w:sz w:val="17"/>
              </w:rPr>
              <w:t xml:space="preserve">backend, frontend</w:t>
            </w:r>
          </w:p>
        </w:tc>
      </w:tr>
    </w:tbl>
    <w:bookmarkEnd w:id="384"/>
    <w:bookmarkStart w:id="385" w:name="e.3-ce-qui-relève-de-la-démonstration"/>
    <w:p>
      <w:pPr>
        <w:pStyle w:val="Heading2"/>
      </w:pPr>
      <w:r>
        <w:t xml:space="preserve">E.3 Ce qui relève de la démonstration</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Élément</w:t>
            </w:r>
          </w:p>
        </w:tc>
        <w:tc>
          <w:tcPr>
            <w:shd w:val="clear" w:color="auto" w:fill="232C6B"/>
          </w:tcPr>
          <w:p>
            <w:pPr>
              <w:pStyle w:val="Compact"/>
            </w:pPr>
            <w:r>
              <w:rPr>
                <w:b/>
                <w:color w:val="FFFFFF"/>
                <w:sz w:val="17"/>
              </w:rPr>
              <w:t xml:space="preserve">Socle</w:t>
            </w:r>
          </w:p>
        </w:tc>
        <w:tc>
          <w:tcPr>
            <w:shd w:val="clear" w:color="auto" w:fill="232C6B"/>
          </w:tcPr>
          <w:p>
            <w:pPr>
              <w:pStyle w:val="Compact"/>
            </w:pPr>
            <w:r>
              <w:rPr>
                <w:b/>
                <w:color w:val="FFFFFF"/>
                <w:sz w:val="17"/>
              </w:rPr>
              <w:t xml:space="preserve">Production (phase 2)</w:t>
            </w:r>
          </w:p>
        </w:tc>
      </w:tr>
      <w:tr>
        <w:tc>
          <w:tcPr/>
          <w:p>
            <w:pPr>
              <w:pStyle w:val="Compact"/>
            </w:pPr>
            <w:r>
              <w:rPr>
                <w:sz w:val="17"/>
              </w:rPr>
              <w:t xml:space="preserve">Authentification</w:t>
            </w:r>
          </w:p>
        </w:tc>
        <w:tc>
          <w:tcPr/>
          <w:p>
            <w:pPr>
              <w:pStyle w:val="Compact"/>
            </w:pPr>
            <w:r>
              <w:rPr>
                <w:sz w:val="17"/>
              </w:rPr>
              <w:t xml:space="preserve">En-tête de démonstration</w:t>
            </w:r>
            <w:r>
              <w:rPr>
                <w:sz w:val="17"/>
              </w:rPr>
              <w:t xml:space="preserve"> </w:t>
            </w:r>
            <w:r>
              <w:rPr>
                <w:rStyle w:val="VerbatimChar"/>
                <w:sz w:val="17"/>
              </w:rPr>
              <w:t xml:space="preserve">x-demo-user</w:t>
            </w:r>
            <w:r>
              <w:rPr>
                <w:sz w:val="17"/>
              </w:rPr>
              <w:t xml:space="preserve"> </w:t>
            </w:r>
            <w:r>
              <w:rPr>
                <w:sz w:val="17"/>
              </w:rPr>
              <w:t xml:space="preserve">et utilisateurs semés</w:t>
            </w:r>
          </w:p>
        </w:tc>
        <w:tc>
          <w:tcPr/>
          <w:p>
            <w:pPr>
              <w:pStyle w:val="Compact"/>
            </w:pPr>
            <w:r>
              <w:rPr>
                <w:sz w:val="17"/>
              </w:rPr>
              <w:t xml:space="preserve">OIDC (Keycloak), passkeys, MFA, certificats d’appareil</w:t>
            </w:r>
          </w:p>
        </w:tc>
      </w:tr>
      <w:tr>
        <w:tc>
          <w:tcPr>
            <w:shd w:val="clear" w:color="auto" w:fill="F5F7FB"/>
          </w:tcPr>
          <w:p>
            <w:pPr>
              <w:pStyle w:val="Compact"/>
            </w:pPr>
            <w:r>
              <w:rPr>
                <w:sz w:val="17"/>
              </w:rPr>
              <w:t xml:space="preserve">Stockage</w:t>
            </w:r>
          </w:p>
        </w:tc>
        <w:tc>
          <w:tcPr>
            <w:shd w:val="clear" w:color="auto" w:fill="F5F7FB"/>
          </w:tcPr>
          <w:p>
            <w:pPr>
              <w:pStyle w:val="Compact"/>
            </w:pPr>
            <w:r>
              <w:rPr>
                <w:sz w:val="17"/>
              </w:rPr>
              <w:t xml:space="preserve">Référentiels en mémoire derrière des interfaces</w:t>
            </w:r>
          </w:p>
        </w:tc>
        <w:tc>
          <w:tcPr>
            <w:shd w:val="clear" w:color="auto" w:fill="F5F7FB"/>
          </w:tcPr>
          <w:p>
            <w:pPr>
              <w:pStyle w:val="Compact"/>
            </w:pPr>
            <w:r>
              <w:rPr>
                <w:sz w:val="17"/>
              </w:rPr>
              <w:t xml:space="preserve">PostgreSQL/PostGIS (schéma fourni), stockage objet WORM</w:t>
            </w:r>
          </w:p>
        </w:tc>
      </w:tr>
      <w:tr>
        <w:tc>
          <w:tcPr/>
          <w:p>
            <w:pPr>
              <w:pStyle w:val="Compact"/>
            </w:pPr>
            <w:r>
              <w:rPr>
                <w:sz w:val="17"/>
              </w:rPr>
              <w:t xml:space="preserve">Bus d’événements</w:t>
            </w:r>
          </w:p>
        </w:tc>
        <w:tc>
          <w:tcPr/>
          <w:p>
            <w:pPr>
              <w:pStyle w:val="Compact"/>
            </w:pPr>
            <w:r>
              <w:rPr>
                <w:sz w:val="17"/>
              </w:rPr>
              <w:t xml:space="preserve">Émetteur en processus</w:t>
            </w:r>
          </w:p>
        </w:tc>
        <w:tc>
          <w:tcPr/>
          <w:p>
            <w:pPr>
              <w:pStyle w:val="Compact"/>
            </w:pPr>
            <w:r>
              <w:rPr>
                <w:sz w:val="17"/>
              </w:rPr>
              <w:t xml:space="preserve">Kafka avec boîte d’envoi transactionnelle</w:t>
            </w:r>
          </w:p>
        </w:tc>
      </w:tr>
      <w:tr>
        <w:tc>
          <w:tcPr>
            <w:shd w:val="clear" w:color="auto" w:fill="F5F7FB"/>
          </w:tcPr>
          <w:p>
            <w:pPr>
              <w:pStyle w:val="Compact"/>
            </w:pPr>
            <w:r>
              <w:rPr>
                <w:sz w:val="17"/>
              </w:rPr>
              <w:t xml:space="preserve">Signatures</w:t>
            </w:r>
          </w:p>
        </w:tc>
        <w:tc>
          <w:tcPr>
            <w:shd w:val="clear" w:color="auto" w:fill="F5F7FB"/>
          </w:tcPr>
          <w:p>
            <w:pPr>
              <w:pStyle w:val="Compact"/>
            </w:pPr>
            <w:r>
              <w:rPr>
                <w:sz w:val="17"/>
              </w:rPr>
              <w:t xml:space="preserve">Clés générées au démarrage</w:t>
            </w:r>
          </w:p>
        </w:tc>
        <w:tc>
          <w:tcPr>
            <w:shd w:val="clear" w:color="auto" w:fill="F5F7FB"/>
          </w:tcPr>
          <w:p>
            <w:pPr>
              <w:pStyle w:val="Compact"/>
            </w:pPr>
            <w:r>
              <w:rPr>
                <w:sz w:val="17"/>
              </w:rPr>
              <w:t xml:space="preserve">HSM, PKI provinciale</w:t>
            </w:r>
          </w:p>
        </w:tc>
      </w:tr>
      <w:tr>
        <w:tc>
          <w:tcPr/>
          <w:p>
            <w:pPr>
              <w:pStyle w:val="Compact"/>
            </w:pPr>
            <w:r>
              <w:rPr>
                <w:sz w:val="17"/>
              </w:rPr>
              <w:t xml:space="preserve">IA</w:t>
            </w:r>
          </w:p>
        </w:tc>
        <w:tc>
          <w:tcPr/>
          <w:p>
            <w:pPr>
              <w:pStyle w:val="Compact"/>
            </w:pPr>
            <w:r>
              <w:rPr>
                <w:sz w:val="17"/>
              </w:rPr>
              <w:t xml:space="preserve">Générateur déterministe à base de règles derrière une interface de fournisseur</w:t>
            </w:r>
          </w:p>
        </w:tc>
        <w:tc>
          <w:tcPr/>
          <w:p>
            <w:pPr>
              <w:pStyle w:val="Compact"/>
            </w:pPr>
            <w:r>
              <w:rPr>
                <w:sz w:val="17"/>
              </w:rPr>
              <w:t xml:space="preserve">Modèles hébergés sous contrôle, passerelle IA, comité des modèles</w:t>
            </w:r>
          </w:p>
        </w:tc>
      </w:tr>
      <w:tr>
        <w:tc>
          <w:tcPr>
            <w:shd w:val="clear" w:color="auto" w:fill="F5F7FB"/>
          </w:tcPr>
          <w:p>
            <w:pPr>
              <w:pStyle w:val="Compact"/>
            </w:pPr>
            <w:r>
              <w:rPr>
                <w:sz w:val="17"/>
              </w:rPr>
              <w:t xml:space="preserve">Canaux de communication</w:t>
            </w:r>
          </w:p>
        </w:tc>
        <w:tc>
          <w:tcPr>
            <w:shd w:val="clear" w:color="auto" w:fill="F5F7FB"/>
          </w:tcPr>
          <w:p>
            <w:pPr>
              <w:pStyle w:val="Compact"/>
            </w:pPr>
            <w:r>
              <w:rPr>
                <w:sz w:val="17"/>
              </w:rPr>
              <w:t xml:space="preserve">Adaptateurs en bac à sable</w:t>
            </w:r>
          </w:p>
        </w:tc>
        <w:tc>
          <w:tcPr>
            <w:shd w:val="clear" w:color="auto" w:fill="F5F7FB"/>
          </w:tcPr>
          <w:p>
            <w:pPr>
              <w:pStyle w:val="Compact"/>
            </w:pPr>
            <w:r>
              <w:rPr>
                <w:sz w:val="17"/>
              </w:rPr>
              <w:t xml:space="preserve">Contrats opérateurs SMS, USSD, SVI, courriel, push</w:t>
            </w:r>
          </w:p>
        </w:tc>
      </w:tr>
      <w:tr>
        <w:tc>
          <w:tcPr/>
          <w:p>
            <w:pPr>
              <w:pStyle w:val="Compact"/>
            </w:pPr>
            <w:r>
              <w:rPr>
                <w:sz w:val="17"/>
              </w:rPr>
              <w:t xml:space="preserve">Paiements</w:t>
            </w:r>
          </w:p>
        </w:tc>
        <w:tc>
          <w:tcPr/>
          <w:p>
            <w:pPr>
              <w:pStyle w:val="Compact"/>
            </w:pPr>
            <w:r>
              <w:rPr>
                <w:sz w:val="17"/>
              </w:rPr>
              <w:t xml:space="preserve">Prestataire simulé signé HMAC</w:t>
            </w:r>
          </w:p>
        </w:tc>
        <w:tc>
          <w:tcPr/>
          <w:p>
            <w:pPr>
              <w:pStyle w:val="Compact"/>
            </w:pPr>
            <w:r>
              <w:rPr>
                <w:sz w:val="17"/>
              </w:rPr>
              <w:t xml:space="preserve">Banques et émetteurs agréés BCC, mTLS + signatures</w:t>
            </w:r>
          </w:p>
        </w:tc>
      </w:tr>
      <w:tr>
        <w:tc>
          <w:tcPr>
            <w:shd w:val="clear" w:color="auto" w:fill="F5F7FB"/>
          </w:tcPr>
          <w:p>
            <w:pPr>
              <w:pStyle w:val="Compact"/>
            </w:pPr>
            <w:r>
              <w:rPr>
                <w:sz w:val="17"/>
              </w:rPr>
              <w:t xml:space="preserve">Données du tableau de bord</w:t>
            </w:r>
          </w:p>
        </w:tc>
        <w:tc>
          <w:tcPr>
            <w:shd w:val="clear" w:color="auto" w:fill="F5F7FB"/>
          </w:tcPr>
          <w:p>
            <w:pPr>
              <w:pStyle w:val="Compact"/>
            </w:pPr>
            <w:r>
              <w:rPr>
                <w:sz w:val="17"/>
              </w:rPr>
              <w:t xml:space="preserve">Données d’exemple marquées « EXEMPLE »</w:t>
            </w:r>
          </w:p>
        </w:tc>
        <w:tc>
          <w:tcPr>
            <w:shd w:val="clear" w:color="auto" w:fill="F5F7FB"/>
          </w:tcPr>
          <w:p>
            <w:pPr>
              <w:pStyle w:val="Compact"/>
            </w:pPr>
            <w:r>
              <w:rPr>
                <w:sz w:val="17"/>
              </w:rPr>
              <w:t xml:space="preserve">Entrepôt analytique alimenté par CQRS</w:t>
            </w:r>
          </w:p>
        </w:tc>
      </w:tr>
      <w:tr>
        <w:tc>
          <w:tcPr/>
          <w:p>
            <w:pPr>
              <w:pStyle w:val="Compact"/>
            </w:pPr>
            <w:r>
              <w:rPr>
                <w:sz w:val="17"/>
              </w:rPr>
              <w:t xml:space="preserve">Application terrain</w:t>
            </w:r>
          </w:p>
        </w:tc>
        <w:tc>
          <w:tcPr/>
          <w:p>
            <w:pPr>
              <w:pStyle w:val="Compact"/>
            </w:pPr>
            <w:r>
              <w:rPr>
                <w:sz w:val="17"/>
              </w:rPr>
              <w:t xml:space="preserve">Parcours hors ligne dans la PWA</w:t>
            </w:r>
          </w:p>
        </w:tc>
        <w:tc>
          <w:tcPr/>
          <w:p>
            <w:pPr>
              <w:pStyle w:val="Compact"/>
            </w:pPr>
            <w:r>
              <w:rPr>
                <w:sz w:val="17"/>
              </w:rPr>
              <w:t xml:space="preserve">Application Android native (Kotlin), MDM, stockage chiffré</w:t>
            </w:r>
          </w:p>
        </w:tc>
      </w:tr>
    </w:tbl>
    <w:bookmarkEnd w:id="385"/>
    <w:bookmarkStart w:id="386" w:name="e.4-écrans-de-lapplication-pwa"/>
    <w:p>
      <w:pPr>
        <w:pStyle w:val="Heading2"/>
      </w:pPr>
      <w:r>
        <w:t xml:space="preserve">E.4 Écrans de l’application (PWA)</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Route</w:t>
            </w:r>
          </w:p>
        </w:tc>
        <w:tc>
          <w:tcPr>
            <w:shd w:val="clear" w:color="auto" w:fill="232C6B"/>
          </w:tcPr>
          <w:p>
            <w:pPr>
              <w:pStyle w:val="Compact"/>
            </w:pPr>
            <w:r>
              <w:rPr>
                <w:b/>
                <w:color w:val="FFFFFF"/>
                <w:sz w:val="17"/>
              </w:rPr>
              <w:t xml:space="preserve">Écran</w:t>
            </w:r>
          </w:p>
        </w:tc>
        <w:tc>
          <w:tcPr>
            <w:shd w:val="clear" w:color="auto" w:fill="232C6B"/>
          </w:tcPr>
          <w:p>
            <w:pPr>
              <w:pStyle w:val="Compact"/>
            </w:pPr>
            <w:r>
              <w:rPr>
                <w:b/>
                <w:color w:val="FFFFFF"/>
                <w:sz w:val="17"/>
              </w:rPr>
              <w:t xml:space="preserve">Points clés</w:t>
            </w:r>
          </w:p>
        </w:tc>
      </w:tr>
      <w:tr>
        <w:tc>
          <w:tcPr/>
          <w:p>
            <w:pPr>
              <w:pStyle w:val="Compact"/>
            </w:pPr>
            <w:r>
              <w:rPr>
                <w:rStyle w:val="VerbatimChar"/>
                <w:sz w:val="17"/>
              </w:rPr>
              <w:t xml:space="preserve">/</w:t>
            </w:r>
          </w:p>
        </w:tc>
        <w:tc>
          <w:tcPr/>
          <w:p>
            <w:pPr>
              <w:pStyle w:val="Compact"/>
            </w:pPr>
            <w:r>
              <w:rPr>
                <w:sz w:val="17"/>
              </w:rPr>
              <w:t xml:space="preserve">Accueil</w:t>
            </w:r>
          </w:p>
        </w:tc>
        <w:tc>
          <w:tcPr/>
          <w:p>
            <w:pPr>
              <w:pStyle w:val="Compact"/>
            </w:pPr>
            <w:r>
              <w:rPr>
                <w:sz w:val="17"/>
              </w:rPr>
              <w:t xml:space="preserve">Visuel de couverture officiel de la Ville, scène nocturne de la ville, frise des 13 maillons, chiffres sourcés, principes</w:t>
            </w:r>
          </w:p>
        </w:tc>
      </w:tr>
      <w:tr>
        <w:tc>
          <w:tcPr>
            <w:shd w:val="clear" w:color="auto" w:fill="F5F7FB"/>
          </w:tcPr>
          <w:p>
            <w:pPr>
              <w:pStyle w:val="Compact"/>
            </w:pPr>
            <w:r>
              <w:rPr>
                <w:rStyle w:val="VerbatimChar"/>
                <w:sz w:val="17"/>
              </w:rPr>
              <w:t xml:space="preserve">/inscription</w:t>
            </w:r>
          </w:p>
        </w:tc>
        <w:tc>
          <w:tcPr>
            <w:shd w:val="clear" w:color="auto" w:fill="F5F7FB"/>
          </w:tcPr>
          <w:p>
            <w:pPr>
              <w:pStyle w:val="Compact"/>
            </w:pPr>
            <w:r>
              <w:rPr>
                <w:sz w:val="17"/>
              </w:rPr>
              <w:t xml:space="preserve">Inscription</w:t>
            </w:r>
          </w:p>
        </w:tc>
        <w:tc>
          <w:tcPr>
            <w:shd w:val="clear" w:color="auto" w:fill="F5F7FB"/>
          </w:tcPr>
          <w:p>
            <w:pPr>
              <w:pStyle w:val="Compact"/>
            </w:pPr>
            <w:r>
              <w:rPr>
                <w:sz w:val="17"/>
              </w:rPr>
              <w:t xml:space="preserve">Question de situation à l’adresse (8 réponses), autosauvegarde, rappel « déclarer n’est pas prouver »</w:t>
            </w:r>
          </w:p>
        </w:tc>
      </w:tr>
      <w:tr>
        <w:tc>
          <w:tcPr/>
          <w:p>
            <w:pPr>
              <w:pStyle w:val="Compact"/>
            </w:pPr>
            <w:r>
              <w:rPr>
                <w:rStyle w:val="VerbatimChar"/>
                <w:sz w:val="17"/>
              </w:rPr>
              <w:t xml:space="preserve">/espace</w:t>
            </w:r>
          </w:p>
        </w:tc>
        <w:tc>
          <w:tcPr/>
          <w:p>
            <w:pPr>
              <w:pStyle w:val="Compact"/>
            </w:pPr>
            <w:r>
              <w:rPr>
                <w:sz w:val="17"/>
              </w:rPr>
              <w:t xml:space="preserve">Espace contribuable</w:t>
            </w:r>
          </w:p>
        </w:tc>
        <w:tc>
          <w:tcPr/>
          <w:p>
            <w:pPr>
              <w:pStyle w:val="Compact"/>
            </w:pPr>
            <w:r>
              <w:rPr>
                <w:sz w:val="17"/>
              </w:rPr>
              <w:t xml:space="preserve">Objets et statuts cartographiques, obligations et explication du calcul, paiement par référence, quittances, réclamation</w:t>
            </w:r>
          </w:p>
        </w:tc>
      </w:tr>
      <w:tr>
        <w:tc>
          <w:tcPr>
            <w:shd w:val="clear" w:color="auto" w:fill="F5F7FB"/>
          </w:tcPr>
          <w:p>
            <w:pPr>
              <w:pStyle w:val="Compact"/>
            </w:pPr>
            <w:r>
              <w:rPr>
                <w:rStyle w:val="VerbatimChar"/>
                <w:sz w:val="17"/>
              </w:rPr>
              <w:t xml:space="preserve">/verifier</w:t>
            </w:r>
          </w:p>
        </w:tc>
        <w:tc>
          <w:tcPr>
            <w:shd w:val="clear" w:color="auto" w:fill="F5F7FB"/>
          </w:tcPr>
          <w:p>
            <w:pPr>
              <w:pStyle w:val="Compact"/>
            </w:pPr>
            <w:r>
              <w:rPr>
                <w:sz w:val="17"/>
              </w:rPr>
              <w:t xml:space="preserve">Vérification publique de quittance</w:t>
            </w:r>
          </w:p>
        </w:tc>
        <w:tc>
          <w:tcPr>
            <w:shd w:val="clear" w:color="auto" w:fill="F5F7FB"/>
          </w:tcPr>
          <w:p>
            <w:pPr>
              <w:pStyle w:val="Compact"/>
            </w:pPr>
            <w:r>
              <w:rPr>
                <w:sz w:val="17"/>
              </w:rPr>
              <w:t xml:space="preserve">Résultat minimal, lecture QR si l’appareil le permet</w:t>
            </w:r>
          </w:p>
        </w:tc>
      </w:tr>
      <w:tr>
        <w:tc>
          <w:tcPr/>
          <w:p>
            <w:pPr>
              <w:pStyle w:val="Compact"/>
            </w:pPr>
            <w:r>
              <w:rPr>
                <w:rStyle w:val="VerbatimChar"/>
                <w:sz w:val="17"/>
              </w:rPr>
              <w:t xml:space="preserve">/gouverneur</w:t>
            </w:r>
          </w:p>
        </w:tc>
        <w:tc>
          <w:tcPr/>
          <w:p>
            <w:pPr>
              <w:pStyle w:val="Compact"/>
            </w:pPr>
            <w:r>
              <w:rPr>
                <w:sz w:val="17"/>
              </w:rPr>
              <w:t xml:space="preserve">Centre de commandement</w:t>
            </w:r>
          </w:p>
        </w:tc>
        <w:tc>
          <w:tcPr/>
          <w:p>
            <w:pPr>
              <w:pStyle w:val="Compact"/>
            </w:pPr>
            <w:r>
              <w:rPr>
                <w:sz w:val="17"/>
              </w:rPr>
              <w:t xml:space="preserve">Tuiles, communes, catégories, échelle de la recette, campagne, scénarios, alertes, recommandations</w:t>
            </w:r>
          </w:p>
        </w:tc>
      </w:tr>
      <w:tr>
        <w:tc>
          <w:tcPr>
            <w:shd w:val="clear" w:color="auto" w:fill="F5F7FB"/>
          </w:tcPr>
          <w:p>
            <w:pPr>
              <w:pStyle w:val="Compact"/>
            </w:pPr>
            <w:r>
              <w:rPr>
                <w:rStyle w:val="VerbatimChar"/>
                <w:sz w:val="17"/>
              </w:rPr>
              <w:t xml:space="preserve">/communications</w:t>
            </w:r>
          </w:p>
        </w:tc>
        <w:tc>
          <w:tcPr>
            <w:shd w:val="clear" w:color="auto" w:fill="F5F7FB"/>
          </w:tcPr>
          <w:p>
            <w:pPr>
              <w:pStyle w:val="Compact"/>
            </w:pPr>
            <w:r>
              <w:rPr>
                <w:sz w:val="17"/>
              </w:rPr>
              <w:t xml:space="preserve">Console des communications</w:t>
            </w:r>
          </w:p>
        </w:tc>
        <w:tc>
          <w:tcPr>
            <w:shd w:val="clear" w:color="auto" w:fill="F5F7FB"/>
          </w:tcPr>
          <w:p>
            <w:pPr>
              <w:pStyle w:val="Compact"/>
            </w:pPr>
            <w:r>
              <w:rPr>
                <w:sz w:val="17"/>
              </w:rPr>
              <w:t xml:space="preserve">Catalogue de 255 événements, couverture par canal, aperçu de courriel à la charte, envoi de test, délivrances</w:t>
            </w:r>
          </w:p>
        </w:tc>
      </w:tr>
      <w:tr>
        <w:tc>
          <w:tcPr/>
          <w:p>
            <w:pPr>
              <w:pStyle w:val="Compact"/>
            </w:pPr>
            <w:r>
              <w:rPr>
                <w:rStyle w:val="VerbatimChar"/>
                <w:sz w:val="17"/>
              </w:rPr>
              <w:t xml:space="preserve">/registre</w:t>
            </w:r>
          </w:p>
        </w:tc>
        <w:tc>
          <w:tcPr/>
          <w:p>
            <w:pPr>
              <w:pStyle w:val="Compact"/>
            </w:pPr>
            <w:r>
              <w:rPr>
                <w:sz w:val="17"/>
              </w:rPr>
              <w:t xml:space="preserve">Registre juridique</w:t>
            </w:r>
          </w:p>
        </w:tc>
        <w:tc>
          <w:tcPr/>
          <w:p>
            <w:pPr>
              <w:pStyle w:val="Compact"/>
            </w:pPr>
            <w:r>
              <w:rPr>
                <w:sz w:val="17"/>
              </w:rPr>
              <w:t xml:space="preserve">Fiches de règles, statuts, circuit des quatre approbations</w:t>
            </w:r>
          </w:p>
        </w:tc>
      </w:tr>
      <w:tr>
        <w:tc>
          <w:tcPr>
            <w:shd w:val="clear" w:color="auto" w:fill="F5F7FB"/>
          </w:tcPr>
          <w:p>
            <w:pPr>
              <w:pStyle w:val="Compact"/>
            </w:pPr>
            <w:r>
              <w:rPr>
                <w:rStyle w:val="VerbatimChar"/>
                <w:sz w:val="17"/>
              </w:rPr>
              <w:t xml:space="preserve">/tresor</w:t>
            </w:r>
          </w:p>
        </w:tc>
        <w:tc>
          <w:tcPr>
            <w:shd w:val="clear" w:color="auto" w:fill="F5F7FB"/>
          </w:tcPr>
          <w:p>
            <w:pPr>
              <w:pStyle w:val="Compact"/>
            </w:pPr>
            <w:r>
              <w:rPr>
                <w:sz w:val="17"/>
              </w:rPr>
              <w:t xml:space="preserve">Trésor et rapprochement</w:t>
            </w:r>
          </w:p>
        </w:tc>
        <w:tc>
          <w:tcPr>
            <w:shd w:val="clear" w:color="auto" w:fill="F5F7FB"/>
          </w:tcPr>
          <w:p>
            <w:pPr>
              <w:pStyle w:val="Compact"/>
            </w:pPr>
            <w:r>
              <w:rPr>
                <w:sz w:val="17"/>
              </w:rPr>
              <w:t xml:space="preserve">Exceptions, équilibre du grand livre, relevés, coffre des bénéficiaires</w:t>
            </w:r>
          </w:p>
        </w:tc>
      </w:tr>
      <w:tr>
        <w:tc>
          <w:tcPr/>
          <w:p>
            <w:pPr>
              <w:pStyle w:val="Compact"/>
            </w:pPr>
            <w:r>
              <w:rPr>
                <w:rStyle w:val="VerbatimChar"/>
                <w:sz w:val="17"/>
              </w:rPr>
              <w:t xml:space="preserve">/terrain</w:t>
            </w:r>
          </w:p>
        </w:tc>
        <w:tc>
          <w:tcPr/>
          <w:p>
            <w:pPr>
              <w:pStyle w:val="Compact"/>
            </w:pPr>
            <w:r>
              <w:rPr>
                <w:sz w:val="17"/>
              </w:rPr>
              <w:t xml:space="preserve">Agent de terrain</w:t>
            </w:r>
          </w:p>
        </w:tc>
        <w:tc>
          <w:tcPr/>
          <w:p>
            <w:pPr>
              <w:pStyle w:val="Compact"/>
            </w:pPr>
            <w:r>
              <w:rPr>
                <w:sz w:val="17"/>
              </w:rPr>
              <w:t xml:space="preserve">Missions, capture hors ligne (GPS, photo hachée), synchronisation signée</w:t>
            </w:r>
          </w:p>
        </w:tc>
      </w:tr>
      <w:tr>
        <w:tc>
          <w:tcPr>
            <w:shd w:val="clear" w:color="auto" w:fill="F5F7FB"/>
          </w:tcPr>
          <w:p>
            <w:pPr>
              <w:pStyle w:val="Compact"/>
            </w:pPr>
            <w:r>
              <w:rPr>
                <w:rStyle w:val="VerbatimChar"/>
                <w:sz w:val="17"/>
              </w:rPr>
              <w:t xml:space="preserve">/audit</w:t>
            </w:r>
          </w:p>
        </w:tc>
        <w:tc>
          <w:tcPr>
            <w:shd w:val="clear" w:color="auto" w:fill="F5F7FB"/>
          </w:tcPr>
          <w:p>
            <w:pPr>
              <w:pStyle w:val="Compact"/>
            </w:pPr>
            <w:r>
              <w:rPr>
                <w:sz w:val="17"/>
              </w:rPr>
              <w:t xml:space="preserve">Audit</w:t>
            </w:r>
          </w:p>
        </w:tc>
        <w:tc>
          <w:tcPr>
            <w:shd w:val="clear" w:color="auto" w:fill="F5F7FB"/>
          </w:tcPr>
          <w:p>
            <w:pPr>
              <w:pStyle w:val="Compact"/>
            </w:pPr>
            <w:r>
              <w:rPr>
                <w:sz w:val="17"/>
              </w:rPr>
              <w:t xml:space="preserve">Vérification de la chaîne, journal</w:t>
            </w:r>
          </w:p>
        </w:tc>
      </w:tr>
      <w:tr>
        <w:tc>
          <w:tcPr/>
          <w:p>
            <w:pPr>
              <w:pStyle w:val="Compact"/>
            </w:pPr>
            <w:r>
              <w:rPr>
                <w:rStyle w:val="VerbatimChar"/>
                <w:sz w:val="17"/>
              </w:rPr>
              <w:t xml:space="preserve">/ia</w:t>
            </w:r>
          </w:p>
        </w:tc>
        <w:tc>
          <w:tcPr/>
          <w:p>
            <w:pPr>
              <w:pStyle w:val="Compact"/>
            </w:pPr>
            <w:r>
              <w:rPr>
                <w:sz w:val="17"/>
              </w:rPr>
              <w:t xml:space="preserve">Recommandations</w:t>
            </w:r>
          </w:p>
        </w:tc>
        <w:tc>
          <w:tcPr/>
          <w:p>
            <w:pPr>
              <w:pStyle w:val="Compact"/>
            </w:pPr>
            <w:r>
              <w:rPr>
                <w:sz w:val="17"/>
              </w:rPr>
              <w:t xml:space="preserve">Boîte de décision humaine</w:t>
            </w:r>
          </w:p>
        </w:tc>
      </w:tr>
    </w:tbl>
    <w:p>
      <w:pPr>
        <w:pStyle w:val="BodyText"/>
      </w:pPr>
      <w:r>
        <w:t xml:space="preserve">Toutes les pages s’adaptent au téléphone (390 px), à la tablette et au poste de travail, en mode clair et sombre ; l’application est installable et fonctionne hors ligne pour son enveloppe et les vérifications publiques récentes.</w:t>
      </w:r>
    </w:p>
    <w:bookmarkEnd w:id="386"/>
    <w:bookmarkEnd w:id="387"/>
    <w:bookmarkStart w:id="584" w:name="X1c13dd7153c70185866ac0f2302a64fd7b1629b"/>
    <w:p>
      <w:pPr>
        <w:pStyle w:val="Heading1"/>
      </w:pPr>
      <w:r>
        <w:t xml:space="preserve">Annexe H — Intégration exhaustive des exigences des documents sources</w:t>
      </w:r>
    </w:p>
    <w:p>
      <w:pPr>
        <w:pStyle w:val="FirstParagraph"/>
      </w:pPr>
      <w:r>
        <w:t xml:space="preserve">Cette annexe garantit qu’aucune exigence des quatre documents sources du programme n’est perdue dans le passage au document maître v3.0. Elle reprend, élément par élément, ce que les chapitres 1 à 47 ne couvraient pas ou ne couvraient que superficiellement, et consigne dans un tableau d’arbitrage chaque point sur lequel la version 3.0 a délibérément changé de position.</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Rubrique</w:t>
            </w:r>
          </w:p>
        </w:tc>
        <w:tc>
          <w:tcPr>
            <w:shd w:val="clear" w:color="auto" w:fill="232C6B"/>
          </w:tcPr>
          <w:p>
            <w:pPr>
              <w:pStyle w:val="Compact"/>
            </w:pPr>
            <w:r>
              <w:rPr>
                <w:b/>
                <w:color w:val="FFFFFF"/>
                <w:sz w:val="17"/>
              </w:rPr>
              <w:t xml:space="preserve">Contenu</w:t>
            </w:r>
          </w:p>
        </w:tc>
      </w:tr>
      <w:tr>
        <w:tc>
          <w:tcPr/>
          <w:p>
            <w:pPr>
              <w:pStyle w:val="Compact"/>
            </w:pPr>
            <w:r>
              <w:rPr>
                <w:sz w:val="17"/>
              </w:rPr>
              <w:t xml:space="preserve">Documents sources</w:t>
            </w:r>
          </w:p>
        </w:tc>
        <w:tc>
          <w:tcPr/>
          <w:p>
            <w:pPr>
              <w:pStyle w:val="Compact"/>
            </w:pPr>
            <w:r>
              <w:rPr>
                <w:b/>
                <w:bCs/>
                <w:sz w:val="17"/>
              </w:rPr>
              <w:t xml:space="preserve">C</w:t>
            </w:r>
            <w:r>
              <w:rPr>
                <w:sz w:val="17"/>
              </w:rPr>
              <w:t xml:space="preserve"> </w:t>
            </w:r>
            <w:r>
              <w:rPr>
                <w:sz w:val="17"/>
              </w:rPr>
              <w:t xml:space="preserve">— Cahier des exigences consolidé v2.9 (24 septembre 2026) ;</w:t>
            </w:r>
            <w:r>
              <w:rPr>
                <w:sz w:val="17"/>
              </w:rPr>
              <w:t xml:space="preserve"> </w:t>
            </w:r>
            <w:r>
              <w:rPr>
                <w:b/>
                <w:bCs/>
                <w:sz w:val="17"/>
              </w:rPr>
              <w:t xml:space="preserve">SF</w:t>
            </w:r>
            <w:r>
              <w:rPr>
                <w:sz w:val="17"/>
              </w:rPr>
              <w:t xml:space="preserve"> </w:t>
            </w:r>
            <w:r>
              <w:rPr>
                <w:sz w:val="17"/>
              </w:rPr>
              <w:t xml:space="preserve">— Spécification fonctionnelle des 81 modules et 16 verticales v1.2 ;</w:t>
            </w:r>
            <w:r>
              <w:rPr>
                <w:sz w:val="17"/>
              </w:rPr>
              <w:t xml:space="preserve"> </w:t>
            </w:r>
            <w:r>
              <w:rPr>
                <w:b/>
                <w:bCs/>
                <w:sz w:val="17"/>
              </w:rPr>
              <w:t xml:space="preserve">DG</w:t>
            </w:r>
            <w:r>
              <w:rPr>
                <w:sz w:val="17"/>
              </w:rPr>
              <w:t xml:space="preserve"> </w:t>
            </w:r>
            <w:r>
              <w:rPr>
                <w:sz w:val="17"/>
              </w:rPr>
              <w:t xml:space="preserve">— Dossier Gouverneur et spécification directrice v1.0 ;</w:t>
            </w:r>
            <w:r>
              <w:rPr>
                <w:sz w:val="17"/>
              </w:rPr>
              <w:t xml:space="preserve"> </w:t>
            </w:r>
            <w:r>
              <w:rPr>
                <w:b/>
                <w:bCs/>
                <w:sz w:val="17"/>
              </w:rPr>
              <w:t xml:space="preserve">NE</w:t>
            </w:r>
            <w:r>
              <w:rPr>
                <w:sz w:val="17"/>
              </w:rPr>
              <w:t xml:space="preserve"> </w:t>
            </w:r>
            <w:r>
              <w:rPr>
                <w:sz w:val="17"/>
              </w:rPr>
              <w:t xml:space="preserve">— Note exécutive au Gouverneur (24 septembre 2026)</w:t>
            </w:r>
          </w:p>
        </w:tc>
      </w:tr>
      <w:tr>
        <w:tc>
          <w:tcPr>
            <w:shd w:val="clear" w:color="auto" w:fill="F5F7FB"/>
          </w:tcPr>
          <w:p>
            <w:pPr>
              <w:pStyle w:val="Compact"/>
            </w:pPr>
            <w:r>
              <w:rPr>
                <w:sz w:val="17"/>
              </w:rPr>
              <w:t xml:space="preserve">Rang normatif</w:t>
            </w:r>
          </w:p>
        </w:tc>
        <w:tc>
          <w:tcPr>
            <w:shd w:val="clear" w:color="auto" w:fill="F5F7FB"/>
          </w:tcPr>
          <w:p>
            <w:pPr>
              <w:pStyle w:val="Compact"/>
            </w:pPr>
            <w:r>
              <w:rPr>
                <w:b/>
                <w:bCs/>
                <w:sz w:val="17"/>
              </w:rPr>
              <w:t xml:space="preserve">Chapitres 1 à 47 du document maître &gt; Annexe H &gt; documents sources.</w:t>
            </w:r>
            <w:r>
              <w:rPr>
                <w:sz w:val="17"/>
              </w:rPr>
              <w:t xml:space="preserve"> </w:t>
            </w:r>
            <w:r>
              <w:rPr>
                <w:sz w:val="17"/>
              </w:rPr>
              <w:t xml:space="preserve">L’Annexe H complète les chapitres ; elle ne les modifie pas. Un élément de l’Annexe H qui contredirait un chapitre est réputé non écrit et doit être signalé au Bureau du programme</w:t>
            </w:r>
          </w:p>
        </w:tc>
      </w:tr>
      <w:tr>
        <w:tc>
          <w:tcPr/>
          <w:p>
            <w:pPr>
              <w:pStyle w:val="Compact"/>
            </w:pPr>
            <w:r>
              <w:rPr>
                <w:sz w:val="17"/>
              </w:rPr>
              <w:t xml:space="preserve">Portée</w:t>
            </w:r>
          </w:p>
        </w:tc>
        <w:tc>
          <w:tcPr/>
          <w:p>
            <w:pPr>
              <w:pStyle w:val="Compact"/>
            </w:pPr>
            <w:r>
              <w:rPr>
                <w:sz w:val="17"/>
              </w:rPr>
              <w:t xml:space="preserve">Les éléments intégrés ici sont des</w:t>
            </w:r>
            <w:r>
              <w:rPr>
                <w:sz w:val="17"/>
              </w:rPr>
              <w:t xml:space="preserve"> </w:t>
            </w:r>
            <w:r>
              <w:rPr>
                <w:b/>
                <w:bCs/>
                <w:sz w:val="17"/>
              </w:rPr>
              <w:t xml:space="preserve">exigences opposables aux équipes de réalisation</w:t>
            </w:r>
            <w:r>
              <w:rPr>
                <w:sz w:val="17"/>
              </w:rPr>
              <w:t xml:space="preserve">, soumises aux mêmes marqueurs de statut, aux mêmes principes constitutionnels (P1 à P14, § 3.4) et à la même Constitution financière (§ 12.6) que le reste du document</w:t>
            </w:r>
          </w:p>
        </w:tc>
      </w:tr>
      <w:tr>
        <w:tc>
          <w:tcPr>
            <w:shd w:val="clear" w:color="auto" w:fill="F5F7FB"/>
          </w:tcPr>
          <w:p>
            <w:pPr>
              <w:pStyle w:val="Compact"/>
            </w:pPr>
            <w:r>
              <w:rPr>
                <w:sz w:val="17"/>
              </w:rPr>
              <w:t xml:space="preserve">Ce que l’annexe ne fait pas</w:t>
            </w:r>
          </w:p>
        </w:tc>
        <w:tc>
          <w:tcPr>
            <w:shd w:val="clear" w:color="auto" w:fill="F5F7FB"/>
          </w:tcPr>
          <w:p>
            <w:pPr>
              <w:pStyle w:val="Compact"/>
            </w:pPr>
            <w:r>
              <w:rPr>
                <w:sz w:val="17"/>
              </w:rPr>
              <w:t xml:space="preserve">Elle ne réintroduit</w:t>
            </w:r>
            <w:r>
              <w:rPr>
                <w:sz w:val="17"/>
              </w:rPr>
              <w:t xml:space="preserve"> </w:t>
            </w:r>
            <w:r>
              <w:rPr>
                <w:b/>
                <w:bCs/>
                <w:sz w:val="17"/>
              </w:rPr>
              <w:t xml:space="preserve">aucune</w:t>
            </w:r>
            <w:r>
              <w:rPr>
                <w:sz w:val="17"/>
              </w:rPr>
              <w:t xml:space="preserve"> </w:t>
            </w:r>
            <w:r>
              <w:rPr>
                <w:sz w:val="17"/>
              </w:rPr>
              <w:t xml:space="preserve">position écartée par la version 3.0 : partage automatique 10/10/10/70 des recettes pendant 30 ans ; IRL à taux unique de 22 % ; sanctions, pénalités ou immobilisations déclenchées par un algorithme ; calendrier de pilote complet dès février 2027 ; prestataires techniques nommés (agrégateurs, vérificateurs) prescrits sans mise en concurrence ; pile Java/.NET ou Next.js/NestJS imposée. Ces points figurent au tableau d’arbitrage (§ H.29)</w:t>
            </w:r>
          </w:p>
        </w:tc>
      </w:tr>
    </w:tbl>
    <w:p>
      <w:pPr>
        <w:pStyle w:val="BodyText"/>
      </w:pPr>
      <w:r>
        <w:rPr>
          <w:b/>
          <w:bCs/>
        </w:rPr>
        <w:t xml:space="preserve">Marqueurs.</w:t>
      </w:r>
      <w:r>
        <w:t xml:space="preserve"> </w:t>
      </w:r>
      <w:r>
        <w:t xml:space="preserve">Les conventions de lecture du document s’appliquent sans exception :</w:t>
      </w:r>
      <w:r>
        <w:t xml:space="preserve"> </w:t>
      </w:r>
      <w:r>
        <w:rPr>
          <w:b/>
          <w:bCs/>
        </w:rPr>
        <w:t xml:space="preserve">[CONFIRMÉ]</w:t>
      </w:r>
      <w:r>
        <w:t xml:space="preserve">,</w:t>
      </w:r>
      <w:r>
        <w:t xml:space="preserve"> </w:t>
      </w:r>
      <w:r>
        <w:rPr>
          <w:b/>
          <w:bCs/>
        </w:rPr>
        <w:t xml:space="preserve">[À VÉRIFIER]</w:t>
      </w:r>
      <w:r>
        <w:t xml:space="preserve">,</w:t>
      </w:r>
      <w:r>
        <w:t xml:space="preserve"> </w:t>
      </w:r>
      <w:r>
        <w:rPr>
          <w:b/>
          <w:bCs/>
        </w:rPr>
        <w:t xml:space="preserve">[ACTE REQUIS]</w:t>
      </w:r>
      <w:r>
        <w:t xml:space="preserve">,</w:t>
      </w:r>
      <w:r>
        <w:t xml:space="preserve"> </w:t>
      </w:r>
      <w:r>
        <w:rPr>
          <w:b/>
          <w:bCs/>
        </w:rPr>
        <w:t xml:space="preserve">[EXEMPLE]</w:t>
      </w:r>
      <w:r>
        <w:t xml:space="preserve">. Tout chiffre repris des sources et non vérifié sur une source publique ou un texte officiel porte</w:t>
      </w:r>
      <w:r>
        <w:t xml:space="preserve"> </w:t>
      </w:r>
      <w:r>
        <w:rPr>
          <w:b/>
          <w:bCs/>
        </w:rPr>
        <w:t xml:space="preserve">[À VÉRIFIER]</w:t>
      </w:r>
      <w:r>
        <w:t xml:space="preserve"> </w:t>
      </w:r>
      <w:r>
        <w:t xml:space="preserve">; toute valeur illustrative porte</w:t>
      </w:r>
      <w:r>
        <w:t xml:space="preserve"> </w:t>
      </w:r>
      <w:r>
        <w:rPr>
          <w:b/>
          <w:bCs/>
        </w:rPr>
        <w:t xml:space="preserve">[EXEMPLE]</w:t>
      </w:r>
      <w:r>
        <w:t xml:space="preserve"> </w:t>
      </w:r>
      <w:r>
        <w:t xml:space="preserve">et reste interdite en production (tests d’acceptation du chapitre 41).</w:t>
      </w:r>
    </w:p>
    <w:bookmarkStart w:id="399" w:name="X85d547152aac5cc5fd3d053fc13d69aa923fb0e"/>
    <w:p>
      <w:pPr>
        <w:pStyle w:val="Heading2"/>
      </w:pPr>
      <w:r>
        <w:t xml:space="preserve">H.1 Méthode et statistiques de couverture</w:t>
      </w:r>
    </w:p>
    <w:bookmarkStart w:id="388" w:name="h.1.1-méthode"/>
    <w:p>
      <w:pPr>
        <w:pStyle w:val="Heading3"/>
      </w:pPr>
      <w:r>
        <w:t xml:space="preserve">H.1.1 Méthode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Étape</w:t>
            </w:r>
          </w:p>
        </w:tc>
        <w:tc>
          <w:tcPr>
            <w:shd w:val="clear" w:color="auto" w:fill="232C6B"/>
          </w:tcPr>
          <w:p>
            <w:pPr>
              <w:pStyle w:val="Compact"/>
            </w:pPr>
            <w:r>
              <w:rPr>
                <w:b/>
                <w:color w:val="FFFFFF"/>
                <w:sz w:val="17"/>
              </w:rPr>
              <w:t xml:space="preserve">Travail réalisé</w:t>
            </w:r>
          </w:p>
        </w:tc>
        <w:tc>
          <w:tcPr>
            <w:shd w:val="clear" w:color="auto" w:fill="232C6B"/>
          </w:tcPr>
          <w:p>
            <w:pPr>
              <w:pStyle w:val="Compact"/>
            </w:pPr>
            <w:r>
              <w:rPr>
                <w:b/>
                <w:color w:val="FFFFFF"/>
                <w:sz w:val="17"/>
              </w:rPr>
              <w:t xml:space="preserve">Produit</w:t>
            </w:r>
          </w:p>
        </w:tc>
      </w:tr>
      <w:tr>
        <w:tc>
          <w:tcPr/>
          <w:p>
            <w:pPr>
              <w:pStyle w:val="Compact"/>
            </w:pPr>
            <w:r>
              <w:rPr>
                <w:sz w:val="17"/>
              </w:rPr>
              <w:t xml:space="preserve">1. Extraction</w:t>
            </w:r>
          </w:p>
        </w:tc>
        <w:tc>
          <w:tcPr/>
          <w:p>
            <w:pPr>
              <w:pStyle w:val="Compact"/>
            </w:pPr>
            <w:r>
              <w:rPr>
                <w:sz w:val="17"/>
              </w:rPr>
              <w:t xml:space="preserve">Lecture intégrale des quatre sources ; découpage en</w:t>
            </w:r>
            <w:r>
              <w:rPr>
                <w:sz w:val="17"/>
              </w:rPr>
              <w:t xml:space="preserve"> </w:t>
            </w:r>
            <w:r>
              <w:rPr>
                <w:b/>
                <w:bCs/>
                <w:sz w:val="17"/>
              </w:rPr>
              <w:t xml:space="preserve">éléments élémentaires d’exigence</w:t>
            </w:r>
            <w:r>
              <w:rPr>
                <w:sz w:val="17"/>
              </w:rPr>
              <w:t xml:space="preserve"> </w:t>
            </w:r>
            <w:r>
              <w:rPr>
                <w:sz w:val="17"/>
              </w:rPr>
              <w:t xml:space="preserve">(une règle, une donnée, un contrôle, un chiffre, un critère par ligne)</w:t>
            </w:r>
          </w:p>
        </w:tc>
        <w:tc>
          <w:tcPr/>
          <w:p>
            <w:pPr>
              <w:pStyle w:val="Compact"/>
            </w:pPr>
            <w:r>
              <w:rPr>
                <w:sz w:val="17"/>
              </w:rPr>
              <w:t xml:space="preserve">1 792 éléments sources (+ 55 contradictions identifiées + 112 lignes de consolidation technique servant au contrôle croisé)</w:t>
            </w:r>
          </w:p>
        </w:tc>
      </w:tr>
      <w:tr>
        <w:tc>
          <w:tcPr>
            <w:shd w:val="clear" w:color="auto" w:fill="F5F7FB"/>
          </w:tcPr>
          <w:p>
            <w:pPr>
              <w:pStyle w:val="Compact"/>
            </w:pPr>
            <w:r>
              <w:rPr>
                <w:sz w:val="17"/>
              </w:rPr>
              <w:t xml:space="preserve">2. Rapprochement</w:t>
            </w:r>
          </w:p>
        </w:tc>
        <w:tc>
          <w:tcPr>
            <w:shd w:val="clear" w:color="auto" w:fill="F5F7FB"/>
          </w:tcPr>
          <w:p>
            <w:pPr>
              <w:pStyle w:val="Compact"/>
            </w:pPr>
            <w:r>
              <w:rPr>
                <w:sz w:val="17"/>
              </w:rPr>
              <w:t xml:space="preserve">Recherche de chaque élément dans les chapitres 1 à 47 et les annexes A à G de la version 3.0</w:t>
            </w:r>
          </w:p>
        </w:tc>
        <w:tc>
          <w:tcPr>
            <w:shd w:val="clear" w:color="auto" w:fill="F5F7FB"/>
          </w:tcPr>
          <w:p>
            <w:pPr>
              <w:pStyle w:val="Compact"/>
            </w:pPr>
            <w:r>
              <w:rPr>
                <w:sz w:val="17"/>
              </w:rPr>
              <w:t xml:space="preserve">Statut par élément</w:t>
            </w:r>
          </w:p>
        </w:tc>
      </w:tr>
      <w:tr>
        <w:tc>
          <w:tcPr/>
          <w:p>
            <w:pPr>
              <w:pStyle w:val="Compact"/>
            </w:pPr>
            <w:r>
              <w:rPr>
                <w:sz w:val="17"/>
              </w:rPr>
              <w:t xml:space="preserve">3. Classement</w:t>
            </w:r>
          </w:p>
        </w:tc>
        <w:tc>
          <w:tcPr/>
          <w:p>
            <w:pPr>
              <w:pStyle w:val="Compact"/>
            </w:pPr>
            <w:r>
              <w:rPr>
                <w:b/>
                <w:bCs/>
                <w:sz w:val="17"/>
              </w:rPr>
              <w:t xml:space="preserve">C</w:t>
            </w:r>
            <w:r>
              <w:rPr>
                <w:sz w:val="17"/>
              </w:rPr>
              <w:t xml:space="preserve"> </w:t>
            </w:r>
            <w:r>
              <w:rPr>
                <w:sz w:val="17"/>
              </w:rPr>
              <w:t xml:space="preserve">— couvert dans un chapitre (substance reprise, éventuellement reformulée) ;</w:t>
            </w:r>
            <w:r>
              <w:rPr>
                <w:sz w:val="17"/>
              </w:rPr>
              <w:t xml:space="preserve"> </w:t>
            </w:r>
            <w:r>
              <w:rPr>
                <w:b/>
                <w:bCs/>
                <w:sz w:val="17"/>
              </w:rPr>
              <w:t xml:space="preserve">I</w:t>
            </w:r>
            <w:r>
              <w:rPr>
                <w:sz w:val="17"/>
              </w:rPr>
              <w:t xml:space="preserve"> </w:t>
            </w:r>
            <w:r>
              <w:rPr>
                <w:sz w:val="17"/>
              </w:rPr>
              <w:t xml:space="preserve">— absent ou superficiel,</w:t>
            </w:r>
            <w:r>
              <w:rPr>
                <w:sz w:val="17"/>
              </w:rPr>
              <w:t xml:space="preserve"> </w:t>
            </w:r>
            <w:r>
              <w:rPr>
                <w:b/>
                <w:bCs/>
                <w:sz w:val="17"/>
              </w:rPr>
              <w:t xml:space="preserve">intégré dans la présente annexe</w:t>
            </w:r>
            <w:r>
              <w:rPr>
                <w:sz w:val="17"/>
              </w:rPr>
              <w:t xml:space="preserve"> </w:t>
            </w:r>
            <w:r>
              <w:rPr>
                <w:sz w:val="17"/>
              </w:rPr>
              <w:t xml:space="preserve">;</w:t>
            </w:r>
            <w:r>
              <w:rPr>
                <w:sz w:val="17"/>
              </w:rPr>
              <w:t xml:space="preserve"> </w:t>
            </w:r>
            <w:r>
              <w:rPr>
                <w:b/>
                <w:bCs/>
                <w:sz w:val="17"/>
              </w:rPr>
              <w:t xml:space="preserve">A</w:t>
            </w:r>
            <w:r>
              <w:rPr>
                <w:sz w:val="17"/>
              </w:rPr>
              <w:t xml:space="preserve"> </w:t>
            </w:r>
            <w:r>
              <w:rPr>
                <w:sz w:val="17"/>
              </w:rPr>
              <w:t xml:space="preserve">— en conflit avec une position de la v3.0,</w:t>
            </w:r>
            <w:r>
              <w:rPr>
                <w:sz w:val="17"/>
              </w:rPr>
              <w:t xml:space="preserve"> </w:t>
            </w:r>
            <w:r>
              <w:rPr>
                <w:b/>
                <w:bCs/>
                <w:sz w:val="17"/>
              </w:rPr>
              <w:t xml:space="preserve">arbitré</w:t>
            </w:r>
            <w:r>
              <w:rPr>
                <w:sz w:val="17"/>
              </w:rPr>
              <w:t xml:space="preserve"> </w:t>
            </w:r>
            <w:r>
              <w:rPr>
                <w:sz w:val="17"/>
              </w:rPr>
              <w:t xml:space="preserve">(§ H.29)</w:t>
            </w:r>
          </w:p>
        </w:tc>
        <w:tc>
          <w:tcPr/>
          <w:p>
            <w:pPr>
              <w:pStyle w:val="Compact"/>
            </w:pPr>
            <w:r>
              <w:rPr>
                <w:sz w:val="17"/>
              </w:rPr>
              <w:t xml:space="preserve">Tableau H.1.3</w:t>
            </w:r>
          </w:p>
        </w:tc>
      </w:tr>
      <w:tr>
        <w:tc>
          <w:tcPr>
            <w:shd w:val="clear" w:color="auto" w:fill="F5F7FB"/>
          </w:tcPr>
          <w:p>
            <w:pPr>
              <w:pStyle w:val="Compact"/>
            </w:pPr>
            <w:r>
              <w:rPr>
                <w:sz w:val="17"/>
              </w:rPr>
              <w:t xml:space="preserve">4. Mise en conformité doctrinale</w:t>
            </w:r>
          </w:p>
        </w:tc>
        <w:tc>
          <w:tcPr>
            <w:shd w:val="clear" w:color="auto" w:fill="F5F7FB"/>
          </w:tcPr>
          <w:p>
            <w:pPr>
              <w:pStyle w:val="Compact"/>
            </w:pPr>
            <w:r>
              <w:rPr>
                <w:sz w:val="17"/>
              </w:rPr>
              <w:t xml:space="preserve">Réécriture de chaque élément intégré selon la doctrine v3.0 : l’agent constate, l’autorité décide ; zéro espèce entre les mains des agents ; aucune activation sans certification juridique ; chiffres sources marqués</w:t>
            </w:r>
          </w:p>
        </w:tc>
        <w:tc>
          <w:tcPr>
            <w:shd w:val="clear" w:color="auto" w:fill="F5F7FB"/>
          </w:tcPr>
          <w:p>
            <w:pPr>
              <w:pStyle w:val="Compact"/>
            </w:pPr>
            <w:r>
              <w:rPr>
                <w:sz w:val="17"/>
              </w:rPr>
              <w:t xml:space="preserve">Sections H.2 à H.28</w:t>
            </w:r>
          </w:p>
        </w:tc>
      </w:tr>
      <w:tr>
        <w:tc>
          <w:tcPr/>
          <w:p>
            <w:pPr>
              <w:pStyle w:val="Compact"/>
            </w:pPr>
            <w:r>
              <w:rPr>
                <w:sz w:val="17"/>
              </w:rPr>
              <w:t xml:space="preserve">5. Traçabilité</w:t>
            </w:r>
          </w:p>
        </w:tc>
        <w:tc>
          <w:tcPr/>
          <w:p>
            <w:pPr>
              <w:pStyle w:val="Compact"/>
            </w:pPr>
            <w:r>
              <w:rPr>
                <w:sz w:val="17"/>
              </w:rPr>
              <w:t xml:space="preserve">Rattachement de chaque section source à sa destination (chapitre v3.0 ou section H)</w:t>
            </w:r>
          </w:p>
        </w:tc>
        <w:tc>
          <w:tcPr/>
          <w:p>
            <w:pPr>
              <w:pStyle w:val="Compact"/>
            </w:pPr>
            <w:r>
              <w:rPr>
                <w:sz w:val="17"/>
              </w:rPr>
              <w:t xml:space="preserve">Matrice § H.30</w:t>
            </w:r>
          </w:p>
        </w:tc>
      </w:tr>
    </w:tbl>
    <w:bookmarkEnd w:id="388"/>
    <w:bookmarkStart w:id="392" w:name="h.1.2-statistiques-globales"/>
    <w:p>
      <w:pPr>
        <w:pStyle w:val="Heading3"/>
      </w:pPr>
      <w:r>
        <w:t xml:space="preserve">H.1.2 Statistiques globales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584"/>
        <w:gridCol w:w="1584"/>
        <w:gridCol w:w="1584"/>
        <w:gridCol w:w="1584"/>
        <w:gridCol w:w="1584"/>
      </w:tblGrid>
      <w:tr>
        <w:trPr>
          <w:tblHeader w:val="on"/>
        </w:trPr>
        <w:tc>
          <w:tcPr>
            <w:shd w:val="clear" w:color="auto" w:fill="232C6B"/>
          </w:tcPr>
          <w:p>
            <w:pPr>
              <w:pStyle w:val="Compact"/>
            </w:pPr>
            <w:r>
              <w:rPr>
                <w:b/>
                <w:color w:val="FFFFFF"/>
                <w:sz w:val="17"/>
              </w:rPr>
              <w:t xml:space="preserve">Source</w:t>
            </w:r>
          </w:p>
        </w:tc>
        <w:tc>
          <w:tcPr>
            <w:shd w:val="clear" w:color="auto" w:fill="232C6B"/>
          </w:tcPr>
          <w:p>
            <w:pPr>
              <w:pStyle w:val="Compact"/>
            </w:pPr>
            <w:r>
              <w:rPr>
                <w:b/>
                <w:color w:val="FFFFFF"/>
                <w:sz w:val="17"/>
              </w:rPr>
              <w:t xml:space="preserve">Éléments</w:t>
            </w:r>
          </w:p>
        </w:tc>
        <w:tc>
          <w:tcPr>
            <w:shd w:val="clear" w:color="auto" w:fill="232C6B"/>
          </w:tcPr>
          <w:p>
            <w:pPr>
              <w:pStyle w:val="Compact"/>
            </w:pPr>
            <w:r>
              <w:rPr>
                <w:b/>
                <w:color w:val="FFFFFF"/>
                <w:sz w:val="17"/>
              </w:rPr>
              <w:t xml:space="preserve">Couverts dans les chapitres (C)</w:t>
            </w:r>
          </w:p>
        </w:tc>
        <w:tc>
          <w:tcPr>
            <w:shd w:val="clear" w:color="auto" w:fill="232C6B"/>
          </w:tcPr>
          <w:p>
            <w:pPr>
              <w:pStyle w:val="Compact"/>
            </w:pPr>
            <w:r>
              <w:rPr>
                <w:b/>
                <w:color w:val="FFFFFF"/>
                <w:sz w:val="17"/>
              </w:rPr>
              <w:t xml:space="preserve">Intégrés dans l’Annexe H (I)</w:t>
            </w:r>
          </w:p>
        </w:tc>
        <w:tc>
          <w:tcPr>
            <w:shd w:val="clear" w:color="auto" w:fill="232C6B"/>
          </w:tcPr>
          <w:p>
            <w:pPr>
              <w:pStyle w:val="Compact"/>
            </w:pPr>
            <w:r>
              <w:rPr>
                <w:b/>
                <w:color w:val="FFFFFF"/>
                <w:sz w:val="17"/>
              </w:rPr>
              <w:t xml:space="preserve">Arbitrés (A)</w:t>
            </w:r>
          </w:p>
        </w:tc>
      </w:tr>
      <w:tr>
        <w:tc>
          <w:tcPr/>
          <w:p>
            <w:pPr>
              <w:pStyle w:val="Compact"/>
            </w:pPr>
            <w:r>
              <w:rPr>
                <w:sz w:val="17"/>
              </w:rPr>
              <w:t xml:space="preserve">Cahier des exigences v2.9 (C)</w:t>
            </w:r>
          </w:p>
        </w:tc>
        <w:tc>
          <w:tcPr/>
          <w:p>
            <w:pPr>
              <w:pStyle w:val="Compact"/>
            </w:pPr>
            <w:r>
              <w:rPr>
                <w:sz w:val="17"/>
              </w:rPr>
              <w:t xml:space="preserve">1 334</w:t>
            </w:r>
          </w:p>
        </w:tc>
        <w:tc>
          <w:tcPr/>
          <w:p>
            <w:pPr>
              <w:pStyle w:val="Compact"/>
            </w:pPr>
            <w:r>
              <w:rPr>
                <w:sz w:val="17"/>
              </w:rPr>
              <w:t xml:space="preserve">677</w:t>
            </w:r>
          </w:p>
        </w:tc>
        <w:tc>
          <w:tcPr/>
          <w:p>
            <w:pPr>
              <w:pStyle w:val="Compact"/>
            </w:pPr>
            <w:r>
              <w:rPr>
                <w:sz w:val="17"/>
              </w:rPr>
              <w:t xml:space="preserve">529</w:t>
            </w:r>
          </w:p>
        </w:tc>
        <w:tc>
          <w:tcPr/>
          <w:p>
            <w:pPr>
              <w:pStyle w:val="Compact"/>
            </w:pPr>
            <w:r>
              <w:rPr>
                <w:sz w:val="17"/>
              </w:rPr>
              <w:t xml:space="preserve">128</w:t>
            </w:r>
          </w:p>
        </w:tc>
      </w:tr>
      <w:tr>
        <w:tc>
          <w:tcPr>
            <w:shd w:val="clear" w:color="auto" w:fill="F5F7FB"/>
          </w:tcPr>
          <w:p>
            <w:pPr>
              <w:pStyle w:val="Compact"/>
            </w:pPr>
            <w:r>
              <w:rPr>
                <w:sz w:val="17"/>
              </w:rPr>
              <w:t xml:space="preserve">Spécification fonctionnelle v1.2 (SF)</w:t>
            </w:r>
          </w:p>
        </w:tc>
        <w:tc>
          <w:tcPr>
            <w:shd w:val="clear" w:color="auto" w:fill="F5F7FB"/>
          </w:tcPr>
          <w:p>
            <w:pPr>
              <w:pStyle w:val="Compact"/>
            </w:pPr>
            <w:r>
              <w:rPr>
                <w:sz w:val="17"/>
              </w:rPr>
              <w:t xml:space="preserve">435</w:t>
            </w:r>
          </w:p>
        </w:tc>
        <w:tc>
          <w:tcPr>
            <w:shd w:val="clear" w:color="auto" w:fill="F5F7FB"/>
          </w:tcPr>
          <w:p>
            <w:pPr>
              <w:pStyle w:val="Compact"/>
            </w:pPr>
            <w:r>
              <w:rPr>
                <w:sz w:val="17"/>
              </w:rPr>
              <w:t xml:space="preserve">198</w:t>
            </w:r>
          </w:p>
        </w:tc>
        <w:tc>
          <w:tcPr>
            <w:shd w:val="clear" w:color="auto" w:fill="F5F7FB"/>
          </w:tcPr>
          <w:p>
            <w:pPr>
              <w:pStyle w:val="Compact"/>
            </w:pPr>
            <w:r>
              <w:rPr>
                <w:sz w:val="17"/>
              </w:rPr>
              <w:t xml:space="preserve">209</w:t>
            </w:r>
          </w:p>
        </w:tc>
        <w:tc>
          <w:tcPr>
            <w:shd w:val="clear" w:color="auto" w:fill="F5F7FB"/>
          </w:tcPr>
          <w:p>
            <w:pPr>
              <w:pStyle w:val="Compact"/>
            </w:pPr>
            <w:r>
              <w:rPr>
                <w:sz w:val="17"/>
              </w:rPr>
              <w:t xml:space="preserve">28</w:t>
            </w:r>
          </w:p>
        </w:tc>
      </w:tr>
      <w:tr>
        <w:tc>
          <w:tcPr/>
          <w:p>
            <w:pPr>
              <w:pStyle w:val="Compact"/>
            </w:pPr>
            <w:r>
              <w:rPr>
                <w:sz w:val="17"/>
              </w:rPr>
              <w:t xml:space="preserve">Dossier Gouverneur (DG) et Note exécutive (NE)</w:t>
            </w:r>
          </w:p>
        </w:tc>
        <w:tc>
          <w:tcPr/>
          <w:p>
            <w:pPr>
              <w:pStyle w:val="Compact"/>
            </w:pPr>
            <w:r>
              <w:rPr>
                <w:sz w:val="17"/>
              </w:rPr>
              <w:t xml:space="preserve">23</w:t>
            </w:r>
          </w:p>
        </w:tc>
        <w:tc>
          <w:tcPr/>
          <w:p>
            <w:pPr>
              <w:pStyle w:val="Compact"/>
            </w:pPr>
            <w:r>
              <w:rPr>
                <w:sz w:val="17"/>
              </w:rPr>
              <w:t xml:space="preserve">17</w:t>
            </w:r>
          </w:p>
        </w:tc>
        <w:tc>
          <w:tcPr/>
          <w:p>
            <w:pPr>
              <w:pStyle w:val="Compact"/>
            </w:pPr>
            <w:r>
              <w:rPr>
                <w:sz w:val="17"/>
              </w:rPr>
              <w:t xml:space="preserve">1</w:t>
            </w:r>
          </w:p>
        </w:tc>
        <w:tc>
          <w:tcPr/>
          <w:p>
            <w:pPr>
              <w:pStyle w:val="Compact"/>
            </w:pPr>
            <w:r>
              <w:rPr>
                <w:sz w:val="17"/>
              </w:rPr>
              <w:t xml:space="preserve">5</w:t>
            </w:r>
          </w:p>
        </w:tc>
      </w:tr>
      <w:tr>
        <w:tc>
          <w:tcPr>
            <w:shd w:val="clear" w:color="auto" w:fill="F5F7FB"/>
          </w:tcPr>
          <w:p>
            <w:pPr>
              <w:pStyle w:val="Compact"/>
            </w:pPr>
            <w:r>
              <w:rPr>
                <w:b/>
                <w:bCs/>
                <w:sz w:val="17"/>
              </w:rPr>
              <w:t xml:space="preserve">Total</w:t>
            </w:r>
          </w:p>
        </w:tc>
        <w:tc>
          <w:tcPr>
            <w:shd w:val="clear" w:color="auto" w:fill="F5F7FB"/>
          </w:tcPr>
          <w:p>
            <w:pPr>
              <w:pStyle w:val="Compact"/>
            </w:pPr>
            <w:r>
              <w:rPr>
                <w:b/>
                <w:bCs/>
                <w:sz w:val="17"/>
              </w:rPr>
              <w:t xml:space="preserve">1 792</w:t>
            </w:r>
          </w:p>
        </w:tc>
        <w:tc>
          <w:tcPr>
            <w:shd w:val="clear" w:color="auto" w:fill="F5F7FB"/>
          </w:tcPr>
          <w:p>
            <w:pPr>
              <w:pStyle w:val="Compact"/>
            </w:pPr>
            <w:r>
              <w:rPr>
                <w:b/>
                <w:bCs/>
                <w:sz w:val="17"/>
              </w:rPr>
              <w:t xml:space="preserve">892 (49,8 %)</w:t>
            </w:r>
          </w:p>
        </w:tc>
        <w:tc>
          <w:tcPr>
            <w:shd w:val="clear" w:color="auto" w:fill="F5F7FB"/>
          </w:tcPr>
          <w:p>
            <w:pPr>
              <w:pStyle w:val="Compact"/>
            </w:pPr>
            <w:r>
              <w:rPr>
                <w:b/>
                <w:bCs/>
                <w:sz w:val="17"/>
              </w:rPr>
              <w:t xml:space="preserve">739 (41,2 %)</w:t>
            </w:r>
          </w:p>
        </w:tc>
        <w:tc>
          <w:tcPr>
            <w:shd w:val="clear" w:color="auto" w:fill="F5F7FB"/>
          </w:tcPr>
          <w:p>
            <w:pPr>
              <w:pStyle w:val="Compact"/>
            </w:pPr>
            <w:r>
              <w:rPr>
                <w:b/>
                <w:bCs/>
                <w:sz w:val="17"/>
              </w:rPr>
              <w:t xml:space="preserve">161 (9,0 %)</w:t>
            </w:r>
          </w:p>
        </w:tc>
      </w:tr>
    </w:tbl>
    <w:p>
      <w:pPr>
        <w:pStyle w:val="BodyText"/>
      </w:pPr>
      <w:r>
        <w:t xml:space="preserve">Après intégration,</w:t>
      </w:r>
      <w:r>
        <w:t xml:space="preserve"> </w:t>
      </w:r>
      <w:r>
        <w:rPr>
          <w:b/>
          <w:bCs/>
        </w:rPr>
        <w:t xml:space="preserve">100 % des éléments sources ont une destination</w:t>
      </w:r>
      <w:r>
        <w:t xml:space="preserve"> </w:t>
      </w:r>
      <w:r>
        <w:t xml:space="preserve">: 1 631 éléments (91,0 %) sont couverts par les chapitres ou par la présente annexe, et 161 éléments (9,0 %) font l’objet d’une position explicite motivée. Les 55 contradictions internes relevées dans les sources sont toutes traitées au § H.29 (ARB-01 à ARB-55), complétées par 22 arbitrages propres à la v3.0 (ARB-56 à ARB-77).</w:t>
      </w:r>
    </w:p>
    <w:p>
      <w:pPr>
        <w:pStyle w:val="BodyText"/>
      </w:pPr>
      <w:r>
        <w:drawing>
          <wp:inline>
            <wp:extent cx="6108700" cy="3171225"/>
            <wp:effectExtent b="0" l="0" r="0" t="0"/>
            <wp:docPr descr="" title="" id="390" name="Picture"/>
            <a:graphic>
              <a:graphicData uri="http://schemas.openxmlformats.org/drawingml/2006/picture">
                <pic:pic>
                  <pic:nvPicPr>
                    <pic:cNvPr descr="figures/mermaid/mmd-93dbe4fbec8d.png" id="391" name="Picture"/>
                    <pic:cNvPicPr>
                      <a:picLocks noChangeArrowheads="1" noChangeAspect="1"/>
                    </pic:cNvPicPr>
                  </pic:nvPicPr>
                  <pic:blipFill>
                    <a:blip r:embed="rId389"/>
                    <a:stretch>
                      <a:fillRect/>
                    </a:stretch>
                  </pic:blipFill>
                  <pic:spPr bwMode="auto">
                    <a:xfrm>
                      <a:off x="0" y="0"/>
                      <a:ext cx="6108700" cy="3171225"/>
                    </a:xfrm>
                    <a:prstGeom prst="rect">
                      <a:avLst/>
                    </a:prstGeom>
                    <a:noFill/>
                    <a:ln w="9525">
                      <a:noFill/>
                      <a:headEnd/>
                      <a:tailEnd/>
                    </a:ln>
                  </pic:spPr>
                </pic:pic>
              </a:graphicData>
            </a:graphic>
          </wp:inline>
        </w:drawing>
      </w:r>
    </w:p>
    <w:bookmarkEnd w:id="392"/>
    <w:bookmarkStart w:id="393" w:name="X162fbff18fc4aa4a055fcfa9d1afc3b7d395f16"/>
    <w:p>
      <w:pPr>
        <w:pStyle w:val="Heading3"/>
      </w:pPr>
      <w:r>
        <w:t xml:space="preserve">H.1.3 Couverture par section du Cahier v2.9</w:t>
      </w:r>
    </w:p>
    <w:p>
      <w:pPr>
        <w:pStyle w:val="FirstParagraph"/>
      </w:pPr>
      <w:r>
        <w:t xml:space="preserve">Les sections à fort taux « I » sont celles que la v3.0 avait renvoyées au Cahier comme « référence détaillée » (Annexe D.1) : verticales, titres, paiement assisté, sous-traitance, invitations, multi-entités, CALCU.</w:t>
      </w:r>
    </w:p>
    <w:tbl>
      <w:tblPr>
        <w:tblStyle w:val="Table"/>
        <w:tblW w:type="auto" w:w="0"/>
        <w:tblBorders>
          <w:top w:val="single" w:sz="4" w:color="CFE9E4"/>
          <w:left w:val="single" w:sz="4" w:color="CFE9E4"/>
          <w:bottom w:val="single" w:sz="4" w:color="CFE9E4"/>
          <w:right w:val="single" w:sz="4" w:color="CFE9E4"/>
          <w:insideH w:val="single" w:sz="4" w:color="CFE9E4"/>
          <w:insideV w:val="single" w:sz="4" w:color="CFE9E4"/>
        </w:tblBorders>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shd w:val="clear" w:color="auto" w:fill="232C6B"/>
          </w:tcPr>
          <w:p>
            <w:pPr>
              <w:pStyle w:val="Compact"/>
            </w:pPr>
            <w:r>
              <w:rPr>
                <w:b/>
                <w:color w:val="FFFFFF"/>
                <w:sz w:val="17"/>
              </w:rPr>
              <w:t xml:space="preserve">Section C</w:t>
            </w:r>
          </w:p>
        </w:tc>
        <w:tc>
          <w:tcPr>
            <w:shd w:val="clear" w:color="auto" w:fill="232C6B"/>
          </w:tcPr>
          <w:p>
            <w:pPr>
              <w:pStyle w:val="Compact"/>
            </w:pPr>
            <w:r>
              <w:rPr>
                <w:b/>
                <w:color w:val="FFFFFF"/>
                <w:sz w:val="17"/>
              </w:rPr>
              <w:t xml:space="preserve">Élém.</w:t>
            </w:r>
          </w:p>
        </w:tc>
        <w:tc>
          <w:tcPr>
            <w:shd w:val="clear" w:color="auto" w:fill="232C6B"/>
          </w:tcPr>
          <w:p>
            <w:pPr>
              <w:pStyle w:val="Compact"/>
            </w:pPr>
            <w:r>
              <w:rPr>
                <w:b/>
                <w:color w:val="FFFFFF"/>
                <w:sz w:val="17"/>
              </w:rPr>
              <w:t xml:space="preserve">C</w:t>
            </w:r>
          </w:p>
        </w:tc>
        <w:tc>
          <w:tcPr>
            <w:shd w:val="clear" w:color="auto" w:fill="232C6B"/>
          </w:tcPr>
          <w:p>
            <w:pPr>
              <w:pStyle w:val="Compact"/>
            </w:pPr>
            <w:r>
              <w:rPr>
                <w:b/>
                <w:color w:val="FFFFFF"/>
                <w:sz w:val="17"/>
              </w:rPr>
              <w:t xml:space="preserve">I</w:t>
            </w:r>
          </w:p>
        </w:tc>
        <w:tc>
          <w:tcPr>
            <w:shd w:val="clear" w:color="auto" w:fill="232C6B"/>
          </w:tcPr>
          <w:p>
            <w:pPr>
              <w:pStyle w:val="Compact"/>
            </w:pPr>
            <w:r>
              <w:rPr>
                <w:b/>
                <w:color w:val="FFFFFF"/>
                <w:sz w:val="17"/>
              </w:rPr>
              <w:t xml:space="preserve">A</w:t>
            </w:r>
          </w:p>
        </w:tc>
        <w:tc>
          <w:tcPr>
            <w:shd w:val="clear" w:color="auto" w:fill="232C6B"/>
          </w:tcPr>
          <w:p>
            <w:pPr>
              <w:pStyle w:val="Compact"/>
            </w:pPr>
            <w:r>
              <w:rPr>
                <w:b/>
                <w:color w:val="FFFFFF"/>
                <w:sz w:val="17"/>
              </w:rPr>
              <w:t xml:space="preserve">Section C</w:t>
            </w:r>
          </w:p>
        </w:tc>
        <w:tc>
          <w:tcPr>
            <w:shd w:val="clear" w:color="auto" w:fill="232C6B"/>
          </w:tcPr>
          <w:p>
            <w:pPr>
              <w:pStyle w:val="Compact"/>
            </w:pPr>
            <w:r>
              <w:rPr>
                <w:b/>
                <w:color w:val="FFFFFF"/>
                <w:sz w:val="17"/>
              </w:rPr>
              <w:t xml:space="preserve">Élém.</w:t>
            </w:r>
          </w:p>
        </w:tc>
        <w:tc>
          <w:tcPr>
            <w:shd w:val="clear" w:color="auto" w:fill="232C6B"/>
          </w:tcPr>
          <w:p>
            <w:pPr>
              <w:pStyle w:val="Compact"/>
            </w:pPr>
            <w:r>
              <w:rPr>
                <w:b/>
                <w:color w:val="FFFFFF"/>
                <w:sz w:val="17"/>
              </w:rPr>
              <w:t xml:space="preserve">C</w:t>
            </w:r>
          </w:p>
        </w:tc>
        <w:tc>
          <w:tcPr>
            <w:shd w:val="clear" w:color="auto" w:fill="232C6B"/>
          </w:tcPr>
          <w:p>
            <w:pPr>
              <w:pStyle w:val="Compact"/>
            </w:pPr>
            <w:r>
              <w:rPr>
                <w:b/>
                <w:color w:val="FFFFFF"/>
                <w:sz w:val="17"/>
              </w:rPr>
              <w:t xml:space="preserve">I</w:t>
            </w:r>
          </w:p>
        </w:tc>
        <w:tc>
          <w:tcPr>
            <w:shd w:val="clear" w:color="auto" w:fill="232C6B"/>
          </w:tcPr>
          <w:p>
            <w:pPr>
              <w:pStyle w:val="Compact"/>
            </w:pPr>
            <w:r>
              <w:rPr>
                <w:b/>
                <w:color w:val="FFFFFF"/>
                <w:sz w:val="17"/>
              </w:rPr>
              <w:t xml:space="preserve">A</w:t>
            </w:r>
          </w:p>
        </w:tc>
      </w:tr>
      <w:tr>
        <w:tc>
          <w:tcPr/>
          <w:p>
            <w:pPr>
              <w:pStyle w:val="Compact"/>
            </w:pPr>
            <w:r>
              <w:rPr>
                <w:sz w:val="17"/>
              </w:rPr>
              <w:t xml:space="preserve">En-tête</w:t>
            </w:r>
          </w:p>
        </w:tc>
        <w:tc>
          <w:tcPr/>
          <w:p>
            <w:pPr>
              <w:pStyle w:val="Compact"/>
            </w:pPr>
            <w:r>
              <w:rPr>
                <w:sz w:val="17"/>
              </w:rPr>
              <w:t xml:space="preserve">9</w:t>
            </w:r>
          </w:p>
        </w:tc>
        <w:tc>
          <w:tcPr/>
          <w:p>
            <w:pPr>
              <w:pStyle w:val="Compact"/>
            </w:pPr>
            <w:r>
              <w:rPr>
                <w:sz w:val="17"/>
              </w:rPr>
              <w:t xml:space="preserve">9</w:t>
            </w:r>
          </w:p>
        </w:tc>
        <w:tc>
          <w:tcPr/>
          <w:p>
            <w:pPr>
              <w:pStyle w:val="Compact"/>
            </w:pPr>
            <w:r>
              <w:rPr>
                <w:sz w:val="17"/>
              </w:rPr>
              <w:t xml:space="preserve">0</w:t>
            </w:r>
          </w:p>
        </w:tc>
        <w:tc>
          <w:tcPr/>
          <w:p>
            <w:pPr>
              <w:pStyle w:val="Compact"/>
            </w:pPr>
            <w:r>
              <w:rPr>
                <w:sz w:val="17"/>
              </w:rPr>
              <w:t xml:space="preserve">0</w:t>
            </w:r>
          </w:p>
        </w:tc>
        <w:tc>
          <w:tcPr/>
          <w:p>
            <w:pPr>
              <w:pStyle w:val="Compact"/>
            </w:pPr>
            <w:r>
              <w:rPr>
                <w:sz w:val="17"/>
              </w:rPr>
              <w:t xml:space="preserve">§ 19</w:t>
            </w:r>
          </w:p>
        </w:tc>
        <w:tc>
          <w:tcPr/>
          <w:p>
            <w:pPr>
              <w:pStyle w:val="Compact"/>
            </w:pPr>
            <w:r>
              <w:rPr>
                <w:sz w:val="17"/>
              </w:rPr>
              <w:t xml:space="preserve">5</w:t>
            </w:r>
          </w:p>
        </w:tc>
        <w:tc>
          <w:tcPr/>
          <w:p>
            <w:pPr>
              <w:pStyle w:val="Compact"/>
            </w:pPr>
            <w:r>
              <w:rPr>
                <w:sz w:val="17"/>
              </w:rPr>
              <w:t xml:space="preserve">5</w:t>
            </w:r>
          </w:p>
        </w:tc>
        <w:tc>
          <w:tcPr/>
          <w:p>
            <w:pPr>
              <w:pStyle w:val="Compact"/>
            </w:pPr>
            <w:r>
              <w:rPr>
                <w:sz w:val="17"/>
              </w:rPr>
              <w:t xml:space="preserve">0</w:t>
            </w:r>
          </w:p>
        </w:tc>
        <w:tc>
          <w:tcPr/>
          <w:p>
            <w:pPr>
              <w:pStyle w:val="Compact"/>
            </w:pPr>
            <w:r>
              <w:rPr>
                <w:sz w:val="17"/>
              </w:rPr>
              <w:t xml:space="preserve">0</w:t>
            </w:r>
          </w:p>
        </w:tc>
      </w:tr>
      <w:tr>
        <w:tc>
          <w:tcPr>
            <w:shd w:val="clear" w:color="auto" w:fill="F5F7FB"/>
          </w:tcPr>
          <w:p>
            <w:pPr>
              <w:pStyle w:val="Compact"/>
            </w:pPr>
            <w:r>
              <w:rPr>
                <w:sz w:val="17"/>
              </w:rPr>
              <w:t xml:space="preserve">Note de consolidation</w:t>
            </w:r>
          </w:p>
        </w:tc>
        <w:tc>
          <w:tcPr>
            <w:shd w:val="clear" w:color="auto" w:fill="F5F7FB"/>
          </w:tcPr>
          <w:p>
            <w:pPr>
              <w:pStyle w:val="Compact"/>
            </w:pPr>
            <w:r>
              <w:rPr>
                <w:sz w:val="17"/>
              </w:rPr>
              <w:t xml:space="preserve">27</w:t>
            </w:r>
          </w:p>
        </w:tc>
        <w:tc>
          <w:tcPr>
            <w:shd w:val="clear" w:color="auto" w:fill="F5F7FB"/>
          </w:tcPr>
          <w:p>
            <w:pPr>
              <w:pStyle w:val="Compact"/>
            </w:pPr>
            <w:r>
              <w:rPr>
                <w:sz w:val="17"/>
              </w:rPr>
              <w:t xml:space="preserve">12</w:t>
            </w:r>
          </w:p>
        </w:tc>
        <w:tc>
          <w:tcPr>
            <w:shd w:val="clear" w:color="auto" w:fill="F5F7FB"/>
          </w:tcPr>
          <w:p>
            <w:pPr>
              <w:pStyle w:val="Compact"/>
            </w:pPr>
            <w:r>
              <w:rPr>
                <w:sz w:val="17"/>
              </w:rPr>
              <w:t xml:space="preserve">9</w:t>
            </w:r>
          </w:p>
        </w:tc>
        <w:tc>
          <w:tcPr>
            <w:shd w:val="clear" w:color="auto" w:fill="F5F7FB"/>
          </w:tcPr>
          <w:p>
            <w:pPr>
              <w:pStyle w:val="Compact"/>
            </w:pPr>
            <w:r>
              <w:rPr>
                <w:sz w:val="17"/>
              </w:rPr>
              <w:t xml:space="preserve">6</w:t>
            </w:r>
          </w:p>
        </w:tc>
        <w:tc>
          <w:tcPr>
            <w:shd w:val="clear" w:color="auto" w:fill="F5F7FB"/>
          </w:tcPr>
          <w:p>
            <w:pPr>
              <w:pStyle w:val="Compact"/>
            </w:pPr>
            <w:r>
              <w:rPr>
                <w:sz w:val="17"/>
              </w:rPr>
              <w:t xml:space="preserve">§ 19A</w:t>
            </w:r>
          </w:p>
        </w:tc>
        <w:tc>
          <w:tcPr>
            <w:shd w:val="clear" w:color="auto" w:fill="F5F7FB"/>
          </w:tcPr>
          <w:p>
            <w:pPr>
              <w:pStyle w:val="Compact"/>
            </w:pPr>
            <w:r>
              <w:rPr>
                <w:sz w:val="17"/>
              </w:rPr>
              <w:t xml:space="preserve">51</w:t>
            </w:r>
          </w:p>
        </w:tc>
        <w:tc>
          <w:tcPr>
            <w:shd w:val="clear" w:color="auto" w:fill="F5F7FB"/>
          </w:tcPr>
          <w:p>
            <w:pPr>
              <w:pStyle w:val="Compact"/>
            </w:pPr>
            <w:r>
              <w:rPr>
                <w:sz w:val="17"/>
              </w:rPr>
              <w:t xml:space="preserve">4</w:t>
            </w:r>
          </w:p>
        </w:tc>
        <w:tc>
          <w:tcPr>
            <w:shd w:val="clear" w:color="auto" w:fill="F5F7FB"/>
          </w:tcPr>
          <w:p>
            <w:pPr>
              <w:pStyle w:val="Compact"/>
            </w:pPr>
            <w:r>
              <w:rPr>
                <w:sz w:val="17"/>
              </w:rPr>
              <w:t xml:space="preserve">46</w:t>
            </w:r>
          </w:p>
        </w:tc>
        <w:tc>
          <w:tcPr>
            <w:shd w:val="clear" w:color="auto" w:fill="F5F7FB"/>
          </w:tcPr>
          <w:p>
            <w:pPr>
              <w:pStyle w:val="Compact"/>
            </w:pPr>
            <w:r>
              <w:rPr>
                <w:sz w:val="17"/>
              </w:rPr>
              <w:t xml:space="preserve">1</w:t>
            </w:r>
          </w:p>
        </w:tc>
      </w:tr>
      <w:tr>
        <w:tc>
          <w:tcPr/>
          <w:p>
            <w:pPr>
              <w:pStyle w:val="Compact"/>
            </w:pPr>
            <w:r>
              <w:rPr>
                <w:sz w:val="17"/>
              </w:rPr>
              <w:t xml:space="preserve">Note exécutive intégrée</w:t>
            </w:r>
          </w:p>
        </w:tc>
        <w:tc>
          <w:tcPr/>
          <w:p>
            <w:pPr>
              <w:pStyle w:val="Compact"/>
            </w:pPr>
            <w:r>
              <w:rPr>
                <w:sz w:val="17"/>
              </w:rPr>
              <w:t xml:space="preserve">28</w:t>
            </w:r>
          </w:p>
        </w:tc>
        <w:tc>
          <w:tcPr/>
          <w:p>
            <w:pPr>
              <w:pStyle w:val="Compact"/>
            </w:pPr>
            <w:r>
              <w:rPr>
                <w:sz w:val="17"/>
              </w:rPr>
              <w:t xml:space="preserve">19</w:t>
            </w:r>
          </w:p>
        </w:tc>
        <w:tc>
          <w:tcPr/>
          <w:p>
            <w:pPr>
              <w:pStyle w:val="Compact"/>
            </w:pPr>
            <w:r>
              <w:rPr>
                <w:sz w:val="17"/>
              </w:rPr>
              <w:t xml:space="preserve">4</w:t>
            </w:r>
          </w:p>
        </w:tc>
        <w:tc>
          <w:tcPr/>
          <w:p>
            <w:pPr>
              <w:pStyle w:val="Compact"/>
            </w:pPr>
            <w:r>
              <w:rPr>
                <w:sz w:val="17"/>
              </w:rPr>
              <w:t xml:space="preserve">5</w:t>
            </w:r>
          </w:p>
        </w:tc>
        <w:tc>
          <w:tcPr/>
          <w:p>
            <w:pPr>
              <w:pStyle w:val="Compact"/>
            </w:pPr>
            <w:r>
              <w:rPr>
                <w:sz w:val="17"/>
              </w:rPr>
              <w:t xml:space="preserve">§ 20</w:t>
            </w:r>
          </w:p>
        </w:tc>
        <w:tc>
          <w:tcPr/>
          <w:p>
            <w:pPr>
              <w:pStyle w:val="Compact"/>
            </w:pPr>
            <w:r>
              <w:rPr>
                <w:sz w:val="17"/>
              </w:rPr>
              <w:t xml:space="preserve">13</w:t>
            </w:r>
          </w:p>
        </w:tc>
        <w:tc>
          <w:tcPr/>
          <w:p>
            <w:pPr>
              <w:pStyle w:val="Compact"/>
            </w:pPr>
            <w:r>
              <w:rPr>
                <w:sz w:val="17"/>
              </w:rPr>
              <w:t xml:space="preserve">9</w:t>
            </w:r>
          </w:p>
        </w:tc>
        <w:tc>
          <w:tcPr/>
          <w:p>
            <w:pPr>
              <w:pStyle w:val="Compact"/>
            </w:pPr>
            <w:r>
              <w:rPr>
                <w:sz w:val="17"/>
              </w:rPr>
              <w:t xml:space="preserve">4</w:t>
            </w:r>
          </w:p>
        </w:tc>
        <w:tc>
          <w:tcPr/>
          <w:p>
            <w:pPr>
              <w:pStyle w:val="Compact"/>
            </w:pPr>
            <w:r>
              <w:rPr>
                <w:sz w:val="17"/>
              </w:rPr>
              <w:t xml:space="preserve">0</w:t>
            </w:r>
          </w:p>
        </w:tc>
      </w:tr>
      <w:tr>
        <w:tc>
          <w:tcPr>
            <w:shd w:val="clear" w:color="auto" w:fill="F5F7FB"/>
          </w:tcPr>
          <w:p>
            <w:pPr>
              <w:pStyle w:val="Compact"/>
            </w:pPr>
            <w:r>
              <w:rPr>
                <w:sz w:val="17"/>
              </w:rPr>
              <w:t xml:space="preserve">§ 1</w:t>
            </w:r>
          </w:p>
        </w:tc>
        <w:tc>
          <w:tcPr>
            <w:shd w:val="clear" w:color="auto" w:fill="F5F7FB"/>
          </w:tcPr>
          <w:p>
            <w:pPr>
              <w:pStyle w:val="Compact"/>
            </w:pPr>
            <w:r>
              <w:rPr>
                <w:sz w:val="17"/>
              </w:rPr>
              <w:t xml:space="preserve">17</w:t>
            </w:r>
          </w:p>
        </w:tc>
        <w:tc>
          <w:tcPr>
            <w:shd w:val="clear" w:color="auto" w:fill="F5F7FB"/>
          </w:tcPr>
          <w:p>
            <w:pPr>
              <w:pStyle w:val="Compact"/>
            </w:pPr>
            <w:r>
              <w:rPr>
                <w:sz w:val="17"/>
              </w:rPr>
              <w:t xml:space="preserve">14</w:t>
            </w:r>
          </w:p>
        </w:tc>
        <w:tc>
          <w:tcPr>
            <w:shd w:val="clear" w:color="auto" w:fill="F5F7FB"/>
          </w:tcPr>
          <w:p>
            <w:pPr>
              <w:pStyle w:val="Compact"/>
            </w:pPr>
            <w:r>
              <w:rPr>
                <w:sz w:val="17"/>
              </w:rPr>
              <w:t xml:space="preserve">2</w:t>
            </w:r>
          </w:p>
        </w:tc>
        <w:tc>
          <w:tcPr>
            <w:shd w:val="clear" w:color="auto" w:fill="F5F7FB"/>
          </w:tcPr>
          <w:p>
            <w:pPr>
              <w:pStyle w:val="Compact"/>
            </w:pPr>
            <w:r>
              <w:rPr>
                <w:sz w:val="17"/>
              </w:rPr>
              <w:t xml:space="preserve">1</w:t>
            </w:r>
          </w:p>
        </w:tc>
        <w:tc>
          <w:tcPr>
            <w:shd w:val="clear" w:color="auto" w:fill="F5F7FB"/>
          </w:tcPr>
          <w:p>
            <w:pPr>
              <w:pStyle w:val="Compact"/>
            </w:pPr>
            <w:r>
              <w:rPr>
                <w:sz w:val="17"/>
              </w:rPr>
              <w:t xml:space="preserve">§ 21</w:t>
            </w:r>
          </w:p>
        </w:tc>
        <w:tc>
          <w:tcPr>
            <w:shd w:val="clear" w:color="auto" w:fill="F5F7FB"/>
          </w:tcPr>
          <w:p>
            <w:pPr>
              <w:pStyle w:val="Compact"/>
            </w:pPr>
            <w:r>
              <w:rPr>
                <w:sz w:val="17"/>
              </w:rPr>
              <w:t xml:space="preserve">11</w:t>
            </w:r>
          </w:p>
        </w:tc>
        <w:tc>
          <w:tcPr>
            <w:shd w:val="clear" w:color="auto" w:fill="F5F7FB"/>
          </w:tcPr>
          <w:p>
            <w:pPr>
              <w:pStyle w:val="Compact"/>
            </w:pPr>
            <w:r>
              <w:rPr>
                <w:sz w:val="17"/>
              </w:rPr>
              <w:t xml:space="preserve">8</w:t>
            </w:r>
          </w:p>
        </w:tc>
        <w:tc>
          <w:tcPr>
            <w:shd w:val="clear" w:color="auto" w:fill="F5F7FB"/>
          </w:tcPr>
          <w:p>
            <w:pPr>
              <w:pStyle w:val="Compact"/>
            </w:pPr>
            <w:r>
              <w:rPr>
                <w:sz w:val="17"/>
              </w:rPr>
              <w:t xml:space="preserve">2</w:t>
            </w:r>
          </w:p>
        </w:tc>
        <w:tc>
          <w:tcPr>
            <w:shd w:val="clear" w:color="auto" w:fill="F5F7FB"/>
          </w:tcPr>
          <w:p>
            <w:pPr>
              <w:pStyle w:val="Compact"/>
            </w:pPr>
            <w:r>
              <w:rPr>
                <w:sz w:val="17"/>
              </w:rPr>
              <w:t xml:space="preserve">1</w:t>
            </w:r>
          </w:p>
        </w:tc>
      </w:tr>
      <w:tr>
        <w:tc>
          <w:tcPr/>
          <w:p>
            <w:pPr>
              <w:pStyle w:val="Compact"/>
            </w:pPr>
            <w:r>
              <w:rPr>
                <w:sz w:val="17"/>
              </w:rPr>
              <w:t xml:space="preserve">§ 2</w:t>
            </w:r>
          </w:p>
        </w:tc>
        <w:tc>
          <w:tcPr/>
          <w:p>
            <w:pPr>
              <w:pStyle w:val="Compact"/>
            </w:pPr>
            <w:r>
              <w:rPr>
                <w:sz w:val="17"/>
              </w:rPr>
              <w:t xml:space="preserve">7</w:t>
            </w:r>
          </w:p>
        </w:tc>
        <w:tc>
          <w:tcPr/>
          <w:p>
            <w:pPr>
              <w:pStyle w:val="Compact"/>
            </w:pPr>
            <w:r>
              <w:rPr>
                <w:sz w:val="17"/>
              </w:rPr>
              <w:t xml:space="preserve">6</w:t>
            </w:r>
          </w:p>
        </w:tc>
        <w:tc>
          <w:tcPr/>
          <w:p>
            <w:pPr>
              <w:pStyle w:val="Compact"/>
            </w:pPr>
            <w:r>
              <w:rPr>
                <w:sz w:val="17"/>
              </w:rPr>
              <w:t xml:space="preserve">1</w:t>
            </w:r>
          </w:p>
        </w:tc>
        <w:tc>
          <w:tcPr/>
          <w:p>
            <w:pPr>
              <w:pStyle w:val="Compact"/>
            </w:pPr>
            <w:r>
              <w:rPr>
                <w:sz w:val="17"/>
              </w:rPr>
              <w:t xml:space="preserve">0</w:t>
            </w:r>
          </w:p>
        </w:tc>
        <w:tc>
          <w:tcPr/>
          <w:p>
            <w:pPr>
              <w:pStyle w:val="Compact"/>
            </w:pPr>
            <w:r>
              <w:rPr>
                <w:sz w:val="17"/>
              </w:rPr>
              <w:t xml:space="preserve">§ 22</w:t>
            </w:r>
          </w:p>
        </w:tc>
        <w:tc>
          <w:tcPr/>
          <w:p>
            <w:pPr>
              <w:pStyle w:val="Compact"/>
            </w:pPr>
            <w:r>
              <w:rPr>
                <w:sz w:val="17"/>
              </w:rPr>
              <w:t xml:space="preserve">3</w:t>
            </w:r>
          </w:p>
        </w:tc>
        <w:tc>
          <w:tcPr/>
          <w:p>
            <w:pPr>
              <w:pStyle w:val="Compact"/>
            </w:pPr>
            <w:r>
              <w:rPr>
                <w:sz w:val="17"/>
              </w:rPr>
              <w:t xml:space="preserve">3</w:t>
            </w:r>
          </w:p>
        </w:tc>
        <w:tc>
          <w:tcPr/>
          <w:p>
            <w:pPr>
              <w:pStyle w:val="Compact"/>
            </w:pPr>
            <w:r>
              <w:rPr>
                <w:sz w:val="17"/>
              </w:rPr>
              <w:t xml:space="preserve">0</w:t>
            </w:r>
          </w:p>
        </w:tc>
        <w:tc>
          <w:tcPr/>
          <w:p>
            <w:pPr>
              <w:pStyle w:val="Compact"/>
            </w:pPr>
            <w:r>
              <w:rPr>
                <w:sz w:val="17"/>
              </w:rPr>
              <w:t xml:space="preserve">0</w:t>
            </w:r>
          </w:p>
        </w:tc>
      </w:tr>
      <w:tr>
        <w:tc>
          <w:tcPr>
            <w:shd w:val="clear" w:color="auto" w:fill="F5F7FB"/>
          </w:tcPr>
          <w:p>
            <w:pPr>
              <w:pStyle w:val="Compact"/>
            </w:pPr>
            <w:r>
              <w:rPr>
                <w:sz w:val="17"/>
              </w:rPr>
              <w:t xml:space="preserve">§ 3</w:t>
            </w:r>
          </w:p>
        </w:tc>
        <w:tc>
          <w:tcPr>
            <w:shd w:val="clear" w:color="auto" w:fill="F5F7FB"/>
          </w:tcPr>
          <w:p>
            <w:pPr>
              <w:pStyle w:val="Compact"/>
            </w:pPr>
            <w:r>
              <w:rPr>
                <w:sz w:val="17"/>
              </w:rPr>
              <w:t xml:space="preserve">13</w:t>
            </w:r>
          </w:p>
        </w:tc>
        <w:tc>
          <w:tcPr>
            <w:shd w:val="clear" w:color="auto" w:fill="F5F7FB"/>
          </w:tcPr>
          <w:p>
            <w:pPr>
              <w:pStyle w:val="Compact"/>
            </w:pPr>
            <w:r>
              <w:rPr>
                <w:sz w:val="17"/>
              </w:rPr>
              <w:t xml:space="preserve">13</w:t>
            </w:r>
          </w:p>
        </w:tc>
        <w:tc>
          <w:tcPr>
            <w:shd w:val="clear" w:color="auto" w:fill="F5F7FB"/>
          </w:tcPr>
          <w:p>
            <w:pPr>
              <w:pStyle w:val="Compact"/>
            </w:pPr>
            <w:r>
              <w:rPr>
                <w:sz w:val="17"/>
              </w:rPr>
              <w:t xml:space="preserve">0</w:t>
            </w:r>
          </w:p>
        </w:tc>
        <w:tc>
          <w:tcPr>
            <w:shd w:val="clear" w:color="auto" w:fill="F5F7FB"/>
          </w:tcPr>
          <w:p>
            <w:pPr>
              <w:pStyle w:val="Compact"/>
            </w:pPr>
            <w:r>
              <w:rPr>
                <w:sz w:val="17"/>
              </w:rPr>
              <w:t xml:space="preserve">0</w:t>
            </w:r>
          </w:p>
        </w:tc>
        <w:tc>
          <w:tcPr>
            <w:shd w:val="clear" w:color="auto" w:fill="F5F7FB"/>
          </w:tcPr>
          <w:p>
            <w:pPr>
              <w:pStyle w:val="Compact"/>
            </w:pPr>
            <w:r>
              <w:rPr>
                <w:sz w:val="17"/>
              </w:rPr>
              <w:t xml:space="preserve">§ 23</w:t>
            </w:r>
          </w:p>
        </w:tc>
        <w:tc>
          <w:tcPr>
            <w:shd w:val="clear" w:color="auto" w:fill="F5F7FB"/>
          </w:tcPr>
          <w:p>
            <w:pPr>
              <w:pStyle w:val="Compact"/>
            </w:pPr>
            <w:r>
              <w:rPr>
                <w:sz w:val="17"/>
              </w:rPr>
              <w:t xml:space="preserve">22</w:t>
            </w:r>
          </w:p>
        </w:tc>
        <w:tc>
          <w:tcPr>
            <w:shd w:val="clear" w:color="auto" w:fill="F5F7FB"/>
          </w:tcPr>
          <w:p>
            <w:pPr>
              <w:pStyle w:val="Compact"/>
            </w:pPr>
            <w:r>
              <w:rPr>
                <w:sz w:val="17"/>
              </w:rPr>
              <w:t xml:space="preserve">20</w:t>
            </w:r>
          </w:p>
        </w:tc>
        <w:tc>
          <w:tcPr>
            <w:shd w:val="clear" w:color="auto" w:fill="F5F7FB"/>
          </w:tcPr>
          <w:p>
            <w:pPr>
              <w:pStyle w:val="Compact"/>
            </w:pPr>
            <w:r>
              <w:rPr>
                <w:sz w:val="17"/>
              </w:rPr>
              <w:t xml:space="preserve">2</w:t>
            </w:r>
          </w:p>
        </w:tc>
        <w:tc>
          <w:tcPr>
            <w:shd w:val="clear" w:color="auto" w:fill="F5F7FB"/>
          </w:tcPr>
          <w:p>
            <w:pPr>
              <w:pStyle w:val="Compact"/>
            </w:pPr>
            <w:r>
              <w:rPr>
                <w:sz w:val="17"/>
              </w:rPr>
              <w:t xml:space="preserve">0</w:t>
            </w:r>
          </w:p>
        </w:tc>
      </w:tr>
      <w:tr>
        <w:tc>
          <w:tcPr/>
          <w:p>
            <w:pPr>
              <w:pStyle w:val="Compact"/>
            </w:pPr>
            <w:r>
              <w:rPr>
                <w:sz w:val="17"/>
              </w:rPr>
              <w:t xml:space="preserve">§ 4</w:t>
            </w:r>
          </w:p>
        </w:tc>
        <w:tc>
          <w:tcPr/>
          <w:p>
            <w:pPr>
              <w:pStyle w:val="Compact"/>
            </w:pPr>
            <w:r>
              <w:rPr>
                <w:sz w:val="17"/>
              </w:rPr>
              <w:t xml:space="preserve">8</w:t>
            </w:r>
          </w:p>
        </w:tc>
        <w:tc>
          <w:tcPr/>
          <w:p>
            <w:pPr>
              <w:pStyle w:val="Compact"/>
            </w:pPr>
            <w:r>
              <w:rPr>
                <w:sz w:val="17"/>
              </w:rPr>
              <w:t xml:space="preserve">8</w:t>
            </w:r>
          </w:p>
        </w:tc>
        <w:tc>
          <w:tcPr/>
          <w:p>
            <w:pPr>
              <w:pStyle w:val="Compact"/>
            </w:pPr>
            <w:r>
              <w:rPr>
                <w:sz w:val="17"/>
              </w:rPr>
              <w:t xml:space="preserve">0</w:t>
            </w:r>
          </w:p>
        </w:tc>
        <w:tc>
          <w:tcPr/>
          <w:p>
            <w:pPr>
              <w:pStyle w:val="Compact"/>
            </w:pPr>
            <w:r>
              <w:rPr>
                <w:sz w:val="17"/>
              </w:rPr>
              <w:t xml:space="preserve">0</w:t>
            </w:r>
          </w:p>
        </w:tc>
        <w:tc>
          <w:tcPr/>
          <w:p>
            <w:pPr>
              <w:pStyle w:val="Compact"/>
            </w:pPr>
            <w:r>
              <w:rPr>
                <w:sz w:val="17"/>
              </w:rPr>
              <w:t xml:space="preserve">§ 24</w:t>
            </w:r>
          </w:p>
        </w:tc>
        <w:tc>
          <w:tcPr/>
          <w:p>
            <w:pPr>
              <w:pStyle w:val="Compact"/>
            </w:pPr>
            <w:r>
              <w:rPr>
                <w:sz w:val="17"/>
              </w:rPr>
              <w:t xml:space="preserve">8</w:t>
            </w:r>
          </w:p>
        </w:tc>
        <w:tc>
          <w:tcPr/>
          <w:p>
            <w:pPr>
              <w:pStyle w:val="Compact"/>
            </w:pPr>
            <w:r>
              <w:rPr>
                <w:sz w:val="17"/>
              </w:rPr>
              <w:t xml:space="preserve">6</w:t>
            </w:r>
          </w:p>
        </w:tc>
        <w:tc>
          <w:tcPr/>
          <w:p>
            <w:pPr>
              <w:pStyle w:val="Compact"/>
            </w:pPr>
            <w:r>
              <w:rPr>
                <w:sz w:val="17"/>
              </w:rPr>
              <w:t xml:space="preserve">2</w:t>
            </w:r>
          </w:p>
        </w:tc>
        <w:tc>
          <w:tcPr/>
          <w:p>
            <w:pPr>
              <w:pStyle w:val="Compact"/>
            </w:pPr>
            <w:r>
              <w:rPr>
                <w:sz w:val="17"/>
              </w:rPr>
              <w:t xml:space="preserve">0</w:t>
            </w:r>
          </w:p>
        </w:tc>
      </w:tr>
      <w:tr>
        <w:tc>
          <w:tcPr>
            <w:shd w:val="clear" w:color="auto" w:fill="F5F7FB"/>
          </w:tcPr>
          <w:p>
            <w:pPr>
              <w:pStyle w:val="Compact"/>
            </w:pPr>
            <w:r>
              <w:rPr>
                <w:sz w:val="17"/>
              </w:rPr>
              <w:t xml:space="preserve">§ 5</w:t>
            </w:r>
          </w:p>
        </w:tc>
        <w:tc>
          <w:tcPr>
            <w:shd w:val="clear" w:color="auto" w:fill="F5F7FB"/>
          </w:tcPr>
          <w:p>
            <w:pPr>
              <w:pStyle w:val="Compact"/>
            </w:pPr>
            <w:r>
              <w:rPr>
                <w:sz w:val="17"/>
              </w:rPr>
              <w:t xml:space="preserve">10</w:t>
            </w:r>
          </w:p>
        </w:tc>
        <w:tc>
          <w:tcPr>
            <w:shd w:val="clear" w:color="auto" w:fill="F5F7FB"/>
          </w:tcPr>
          <w:p>
            <w:pPr>
              <w:pStyle w:val="Compact"/>
            </w:pPr>
            <w:r>
              <w:rPr>
                <w:sz w:val="17"/>
              </w:rPr>
              <w:t xml:space="preserve">8</w:t>
            </w:r>
          </w:p>
        </w:tc>
        <w:tc>
          <w:tcPr>
            <w:shd w:val="clear" w:color="auto" w:fill="F5F7FB"/>
          </w:tcPr>
          <w:p>
            <w:pPr>
              <w:pStyle w:val="Compact"/>
            </w:pPr>
            <w:r>
              <w:rPr>
                <w:sz w:val="17"/>
              </w:rPr>
              <w:t xml:space="preserve">0</w:t>
            </w:r>
          </w:p>
        </w:tc>
        <w:tc>
          <w:tcPr>
            <w:shd w:val="clear" w:color="auto" w:fill="F5F7FB"/>
          </w:tcPr>
          <w:p>
            <w:pPr>
              <w:pStyle w:val="Compact"/>
            </w:pPr>
            <w:r>
              <w:rPr>
                <w:sz w:val="17"/>
              </w:rPr>
              <w:t xml:space="preserve">2</w:t>
            </w:r>
          </w:p>
        </w:tc>
        <w:tc>
          <w:tcPr>
            <w:shd w:val="clear" w:color="auto" w:fill="F5F7FB"/>
          </w:tcPr>
          <w:p>
            <w:pPr>
              <w:pStyle w:val="Compact"/>
            </w:pPr>
            <w:r>
              <w:rPr>
                <w:sz w:val="17"/>
              </w:rPr>
              <w:t xml:space="preserve">§ 25</w:t>
            </w:r>
          </w:p>
        </w:tc>
        <w:tc>
          <w:tcPr>
            <w:shd w:val="clear" w:color="auto" w:fill="F5F7FB"/>
          </w:tcPr>
          <w:p>
            <w:pPr>
              <w:pStyle w:val="Compact"/>
            </w:pPr>
            <w:r>
              <w:rPr>
                <w:sz w:val="17"/>
              </w:rPr>
              <w:t xml:space="preserve">5</w:t>
            </w:r>
          </w:p>
        </w:tc>
        <w:tc>
          <w:tcPr>
            <w:shd w:val="clear" w:color="auto" w:fill="F5F7FB"/>
          </w:tcPr>
          <w:p>
            <w:pPr>
              <w:pStyle w:val="Compact"/>
            </w:pPr>
            <w:r>
              <w:rPr>
                <w:sz w:val="17"/>
              </w:rPr>
              <w:t xml:space="preserve">4</w:t>
            </w:r>
          </w:p>
        </w:tc>
        <w:tc>
          <w:tcPr>
            <w:shd w:val="clear" w:color="auto" w:fill="F5F7FB"/>
          </w:tcPr>
          <w:p>
            <w:pPr>
              <w:pStyle w:val="Compact"/>
            </w:pPr>
            <w:r>
              <w:rPr>
                <w:sz w:val="17"/>
              </w:rPr>
              <w:t xml:space="preserve">1</w:t>
            </w:r>
          </w:p>
        </w:tc>
        <w:tc>
          <w:tcPr>
            <w:shd w:val="clear" w:color="auto" w:fill="F5F7FB"/>
          </w:tcPr>
          <w:p>
            <w:pPr>
              <w:pStyle w:val="Compact"/>
            </w:pPr>
            <w:r>
              <w:rPr>
                <w:sz w:val="17"/>
              </w:rPr>
              <w:t xml:space="preserve">0</w:t>
            </w:r>
          </w:p>
        </w:tc>
      </w:tr>
      <w:tr>
        <w:tc>
          <w:tcPr/>
          <w:p>
            <w:pPr>
              <w:pStyle w:val="Compact"/>
            </w:pPr>
            <w:r>
              <w:rPr>
                <w:sz w:val="17"/>
              </w:rPr>
              <w:t xml:space="preserve">§ 6</w:t>
            </w:r>
          </w:p>
        </w:tc>
        <w:tc>
          <w:tcPr/>
          <w:p>
            <w:pPr>
              <w:pStyle w:val="Compact"/>
            </w:pPr>
            <w:r>
              <w:rPr>
                <w:sz w:val="17"/>
              </w:rPr>
              <w:t xml:space="preserve">32</w:t>
            </w:r>
          </w:p>
        </w:tc>
        <w:tc>
          <w:tcPr/>
          <w:p>
            <w:pPr>
              <w:pStyle w:val="Compact"/>
            </w:pPr>
            <w:r>
              <w:rPr>
                <w:sz w:val="17"/>
              </w:rPr>
              <w:t xml:space="preserve">24</w:t>
            </w:r>
          </w:p>
        </w:tc>
        <w:tc>
          <w:tcPr/>
          <w:p>
            <w:pPr>
              <w:pStyle w:val="Compact"/>
            </w:pPr>
            <w:r>
              <w:rPr>
                <w:sz w:val="17"/>
              </w:rPr>
              <w:t xml:space="preserve">4</w:t>
            </w:r>
          </w:p>
        </w:tc>
        <w:tc>
          <w:tcPr/>
          <w:p>
            <w:pPr>
              <w:pStyle w:val="Compact"/>
            </w:pPr>
            <w:r>
              <w:rPr>
                <w:sz w:val="17"/>
              </w:rPr>
              <w:t xml:space="preserve">4</w:t>
            </w:r>
          </w:p>
        </w:tc>
        <w:tc>
          <w:tcPr/>
          <w:p>
            <w:pPr>
              <w:pStyle w:val="Compact"/>
            </w:pPr>
            <w:r>
              <w:rPr>
                <w:sz w:val="17"/>
              </w:rPr>
              <w:t xml:space="preserve">§ 26</w:t>
            </w:r>
          </w:p>
        </w:tc>
        <w:tc>
          <w:tcPr/>
          <w:p>
            <w:pPr>
              <w:pStyle w:val="Compact"/>
            </w:pPr>
            <w:r>
              <w:rPr>
                <w:sz w:val="17"/>
              </w:rPr>
              <w:t xml:space="preserve">19</w:t>
            </w:r>
          </w:p>
        </w:tc>
        <w:tc>
          <w:tcPr/>
          <w:p>
            <w:pPr>
              <w:pStyle w:val="Compact"/>
            </w:pPr>
            <w:r>
              <w:rPr>
                <w:sz w:val="17"/>
              </w:rPr>
              <w:t xml:space="preserve">14</w:t>
            </w:r>
          </w:p>
        </w:tc>
        <w:tc>
          <w:tcPr/>
          <w:p>
            <w:pPr>
              <w:pStyle w:val="Compact"/>
            </w:pPr>
            <w:r>
              <w:rPr>
                <w:sz w:val="17"/>
              </w:rPr>
              <w:t xml:space="preserve">3</w:t>
            </w:r>
          </w:p>
        </w:tc>
        <w:tc>
          <w:tcPr/>
          <w:p>
            <w:pPr>
              <w:pStyle w:val="Compact"/>
            </w:pPr>
            <w:r>
              <w:rPr>
                <w:sz w:val="17"/>
              </w:rPr>
              <w:t xml:space="preserve">2</w:t>
            </w:r>
          </w:p>
        </w:tc>
      </w:tr>
      <w:tr>
        <w:tc>
          <w:tcPr>
            <w:shd w:val="clear" w:color="auto" w:fill="F5F7FB"/>
          </w:tcPr>
          <w:p>
            <w:pPr>
              <w:pStyle w:val="Compact"/>
            </w:pPr>
            <w:r>
              <w:rPr>
                <w:sz w:val="17"/>
              </w:rPr>
              <w:t xml:space="preserve">§ 7</w:t>
            </w:r>
          </w:p>
        </w:tc>
        <w:tc>
          <w:tcPr>
            <w:shd w:val="clear" w:color="auto" w:fill="F5F7FB"/>
          </w:tcPr>
          <w:p>
            <w:pPr>
              <w:pStyle w:val="Compact"/>
            </w:pPr>
            <w:r>
              <w:rPr>
                <w:sz w:val="17"/>
              </w:rPr>
              <w:t xml:space="preserve">23</w:t>
            </w:r>
          </w:p>
        </w:tc>
        <w:tc>
          <w:tcPr>
            <w:shd w:val="clear" w:color="auto" w:fill="F5F7FB"/>
          </w:tcPr>
          <w:p>
            <w:pPr>
              <w:pStyle w:val="Compact"/>
            </w:pPr>
            <w:r>
              <w:rPr>
                <w:sz w:val="17"/>
              </w:rPr>
              <w:t xml:space="preserve">20</w:t>
            </w:r>
          </w:p>
        </w:tc>
        <w:tc>
          <w:tcPr>
            <w:shd w:val="clear" w:color="auto" w:fill="F5F7FB"/>
          </w:tcPr>
          <w:p>
            <w:pPr>
              <w:pStyle w:val="Compact"/>
            </w:pPr>
            <w:r>
              <w:rPr>
                <w:sz w:val="17"/>
              </w:rPr>
              <w:t xml:space="preserve">1</w:t>
            </w:r>
          </w:p>
        </w:tc>
        <w:tc>
          <w:tcPr>
            <w:shd w:val="clear" w:color="auto" w:fill="F5F7FB"/>
          </w:tcPr>
          <w:p>
            <w:pPr>
              <w:pStyle w:val="Compact"/>
            </w:pPr>
            <w:r>
              <w:rPr>
                <w:sz w:val="17"/>
              </w:rPr>
              <w:t xml:space="preserve">2</w:t>
            </w:r>
          </w:p>
        </w:tc>
        <w:tc>
          <w:tcPr>
            <w:shd w:val="clear" w:color="auto" w:fill="F5F7FB"/>
          </w:tcPr>
          <w:p>
            <w:pPr>
              <w:pStyle w:val="Compact"/>
            </w:pPr>
            <w:r>
              <w:rPr>
                <w:sz w:val="17"/>
              </w:rPr>
              <w:t xml:space="preserve">§ 27</w:t>
            </w:r>
          </w:p>
        </w:tc>
        <w:tc>
          <w:tcPr>
            <w:shd w:val="clear" w:color="auto" w:fill="F5F7FB"/>
          </w:tcPr>
          <w:p>
            <w:pPr>
              <w:pStyle w:val="Compact"/>
            </w:pPr>
            <w:r>
              <w:rPr>
                <w:sz w:val="17"/>
              </w:rPr>
              <w:t xml:space="preserve">12</w:t>
            </w:r>
          </w:p>
        </w:tc>
        <w:tc>
          <w:tcPr>
            <w:shd w:val="clear" w:color="auto" w:fill="F5F7FB"/>
          </w:tcPr>
          <w:p>
            <w:pPr>
              <w:pStyle w:val="Compact"/>
            </w:pPr>
            <w:r>
              <w:rPr>
                <w:sz w:val="17"/>
              </w:rPr>
              <w:t xml:space="preserve">8</w:t>
            </w:r>
          </w:p>
        </w:tc>
        <w:tc>
          <w:tcPr>
            <w:shd w:val="clear" w:color="auto" w:fill="F5F7FB"/>
          </w:tcPr>
          <w:p>
            <w:pPr>
              <w:pStyle w:val="Compact"/>
            </w:pPr>
            <w:r>
              <w:rPr>
                <w:sz w:val="17"/>
              </w:rPr>
              <w:t xml:space="preserve">1</w:t>
            </w:r>
          </w:p>
        </w:tc>
        <w:tc>
          <w:tcPr>
            <w:shd w:val="clear" w:color="auto" w:fill="F5F7FB"/>
          </w:tcPr>
          <w:p>
            <w:pPr>
              <w:pStyle w:val="Compact"/>
            </w:pPr>
            <w:r>
              <w:rPr>
                <w:sz w:val="17"/>
              </w:rPr>
              <w:t xml:space="preserve">3</w:t>
            </w:r>
          </w:p>
        </w:tc>
      </w:tr>
      <w:tr>
        <w:tc>
          <w:tcPr/>
          <w:p>
            <w:pPr>
              <w:pStyle w:val="Compact"/>
            </w:pPr>
            <w:r>
              <w:rPr>
                <w:sz w:val="17"/>
              </w:rPr>
              <w:t xml:space="preserve">§ 8</w:t>
            </w:r>
          </w:p>
        </w:tc>
        <w:tc>
          <w:tcPr/>
          <w:p>
            <w:pPr>
              <w:pStyle w:val="Compact"/>
            </w:pPr>
            <w:r>
              <w:rPr>
                <w:sz w:val="17"/>
              </w:rPr>
              <w:t xml:space="preserve">31</w:t>
            </w:r>
          </w:p>
        </w:tc>
        <w:tc>
          <w:tcPr/>
          <w:p>
            <w:pPr>
              <w:pStyle w:val="Compact"/>
            </w:pPr>
            <w:r>
              <w:rPr>
                <w:sz w:val="17"/>
              </w:rPr>
              <w:t xml:space="preserve">29</w:t>
            </w:r>
          </w:p>
        </w:tc>
        <w:tc>
          <w:tcPr/>
          <w:p>
            <w:pPr>
              <w:pStyle w:val="Compact"/>
            </w:pPr>
            <w:r>
              <w:rPr>
                <w:sz w:val="17"/>
              </w:rPr>
              <w:t xml:space="preserve">2</w:t>
            </w:r>
          </w:p>
        </w:tc>
        <w:tc>
          <w:tcPr/>
          <w:p>
            <w:pPr>
              <w:pStyle w:val="Compact"/>
            </w:pPr>
            <w:r>
              <w:rPr>
                <w:sz w:val="17"/>
              </w:rPr>
              <w:t xml:space="preserve">0</w:t>
            </w:r>
          </w:p>
        </w:tc>
        <w:tc>
          <w:tcPr/>
          <w:p>
            <w:pPr>
              <w:pStyle w:val="Compact"/>
            </w:pPr>
            <w:r>
              <w:rPr>
                <w:sz w:val="17"/>
              </w:rPr>
              <w:t xml:space="preserve">§ 27A</w:t>
            </w:r>
          </w:p>
        </w:tc>
        <w:tc>
          <w:tcPr/>
          <w:p>
            <w:pPr>
              <w:pStyle w:val="Compact"/>
            </w:pPr>
            <w:r>
              <w:rPr>
                <w:sz w:val="17"/>
              </w:rPr>
              <w:t xml:space="preserve">19</w:t>
            </w:r>
          </w:p>
        </w:tc>
        <w:tc>
          <w:tcPr/>
          <w:p>
            <w:pPr>
              <w:pStyle w:val="Compact"/>
            </w:pPr>
            <w:r>
              <w:rPr>
                <w:sz w:val="17"/>
              </w:rPr>
              <w:t xml:space="preserve">1</w:t>
            </w:r>
          </w:p>
        </w:tc>
        <w:tc>
          <w:tcPr/>
          <w:p>
            <w:pPr>
              <w:pStyle w:val="Compact"/>
            </w:pPr>
            <w:r>
              <w:rPr>
                <w:sz w:val="17"/>
              </w:rPr>
              <w:t xml:space="preserve">17</w:t>
            </w:r>
          </w:p>
        </w:tc>
        <w:tc>
          <w:tcPr/>
          <w:p>
            <w:pPr>
              <w:pStyle w:val="Compact"/>
            </w:pPr>
            <w:r>
              <w:rPr>
                <w:sz w:val="17"/>
              </w:rPr>
              <w:t xml:space="preserve">1</w:t>
            </w:r>
          </w:p>
        </w:tc>
      </w:tr>
      <w:tr>
        <w:tc>
          <w:tcPr>
            <w:shd w:val="clear" w:color="auto" w:fill="F5F7FB"/>
          </w:tcPr>
          <w:p>
            <w:pPr>
              <w:pStyle w:val="Compact"/>
            </w:pPr>
            <w:r>
              <w:rPr>
                <w:sz w:val="17"/>
              </w:rPr>
              <w:t xml:space="preserve">§ 9</w:t>
            </w:r>
          </w:p>
        </w:tc>
        <w:tc>
          <w:tcPr>
            <w:shd w:val="clear" w:color="auto" w:fill="F5F7FB"/>
          </w:tcPr>
          <w:p>
            <w:pPr>
              <w:pStyle w:val="Compact"/>
            </w:pPr>
            <w:r>
              <w:rPr>
                <w:sz w:val="17"/>
              </w:rPr>
              <w:t xml:space="preserve">24</w:t>
            </w:r>
          </w:p>
        </w:tc>
        <w:tc>
          <w:tcPr>
            <w:shd w:val="clear" w:color="auto" w:fill="F5F7FB"/>
          </w:tcPr>
          <w:p>
            <w:pPr>
              <w:pStyle w:val="Compact"/>
            </w:pPr>
            <w:r>
              <w:rPr>
                <w:sz w:val="17"/>
              </w:rPr>
              <w:t xml:space="preserve">21</w:t>
            </w:r>
          </w:p>
        </w:tc>
        <w:tc>
          <w:tcPr>
            <w:shd w:val="clear" w:color="auto" w:fill="F5F7FB"/>
          </w:tcPr>
          <w:p>
            <w:pPr>
              <w:pStyle w:val="Compact"/>
            </w:pPr>
            <w:r>
              <w:rPr>
                <w:sz w:val="17"/>
              </w:rPr>
              <w:t xml:space="preserve">2</w:t>
            </w:r>
          </w:p>
        </w:tc>
        <w:tc>
          <w:tcPr>
            <w:shd w:val="clear" w:color="auto" w:fill="F5F7FB"/>
          </w:tcPr>
          <w:p>
            <w:pPr>
              <w:pStyle w:val="Compact"/>
            </w:pPr>
            <w:r>
              <w:rPr>
                <w:sz w:val="17"/>
              </w:rPr>
              <w:t xml:space="preserve">1</w:t>
            </w:r>
          </w:p>
        </w:tc>
        <w:tc>
          <w:tcPr>
            <w:shd w:val="clear" w:color="auto" w:fill="F5F7FB"/>
          </w:tcPr>
          <w:p>
            <w:pPr>
              <w:pStyle w:val="Compact"/>
            </w:pPr>
            <w:r>
              <w:rPr>
                <w:sz w:val="17"/>
              </w:rPr>
              <w:t xml:space="preserve">§ 28</w:t>
            </w:r>
          </w:p>
        </w:tc>
        <w:tc>
          <w:tcPr>
            <w:shd w:val="clear" w:color="auto" w:fill="F5F7FB"/>
          </w:tcPr>
          <w:p>
            <w:pPr>
              <w:pStyle w:val="Compact"/>
            </w:pPr>
            <w:r>
              <w:rPr>
                <w:sz w:val="17"/>
              </w:rPr>
              <w:t xml:space="preserve">26</w:t>
            </w:r>
          </w:p>
        </w:tc>
        <w:tc>
          <w:tcPr>
            <w:shd w:val="clear" w:color="auto" w:fill="F5F7FB"/>
          </w:tcPr>
          <w:p>
            <w:pPr>
              <w:pStyle w:val="Compact"/>
            </w:pPr>
            <w:r>
              <w:rPr>
                <w:sz w:val="17"/>
              </w:rPr>
              <w:t xml:space="preserve">18</w:t>
            </w:r>
          </w:p>
        </w:tc>
        <w:tc>
          <w:tcPr>
            <w:shd w:val="clear" w:color="auto" w:fill="F5F7FB"/>
          </w:tcPr>
          <w:p>
            <w:pPr>
              <w:pStyle w:val="Compact"/>
            </w:pPr>
            <w:r>
              <w:rPr>
                <w:sz w:val="17"/>
              </w:rPr>
              <w:t xml:space="preserve">4</w:t>
            </w:r>
          </w:p>
        </w:tc>
        <w:tc>
          <w:tcPr>
            <w:shd w:val="clear" w:color="auto" w:fill="F5F7FB"/>
          </w:tcPr>
          <w:p>
            <w:pPr>
              <w:pStyle w:val="Compact"/>
            </w:pPr>
            <w:r>
              <w:rPr>
                <w:sz w:val="17"/>
              </w:rPr>
              <w:t xml:space="preserve">4</w:t>
            </w:r>
          </w:p>
        </w:tc>
      </w:tr>
      <w:tr>
        <w:tc>
          <w:tcPr/>
          <w:p>
            <w:pPr>
              <w:pStyle w:val="Compact"/>
            </w:pPr>
            <w:r>
              <w:rPr>
                <w:sz w:val="17"/>
              </w:rPr>
              <w:t xml:space="preserve">§ 10</w:t>
            </w:r>
          </w:p>
        </w:tc>
        <w:tc>
          <w:tcPr/>
          <w:p>
            <w:pPr>
              <w:pStyle w:val="Compact"/>
            </w:pPr>
            <w:r>
              <w:rPr>
                <w:sz w:val="17"/>
              </w:rPr>
              <w:t xml:space="preserve">8</w:t>
            </w:r>
          </w:p>
        </w:tc>
        <w:tc>
          <w:tcPr/>
          <w:p>
            <w:pPr>
              <w:pStyle w:val="Compact"/>
            </w:pPr>
            <w:r>
              <w:rPr>
                <w:sz w:val="17"/>
              </w:rPr>
              <w:t xml:space="preserve">8</w:t>
            </w:r>
          </w:p>
        </w:tc>
        <w:tc>
          <w:tcPr/>
          <w:p>
            <w:pPr>
              <w:pStyle w:val="Compact"/>
            </w:pPr>
            <w:r>
              <w:rPr>
                <w:sz w:val="17"/>
              </w:rPr>
              <w:t xml:space="preserve">0</w:t>
            </w:r>
          </w:p>
        </w:tc>
        <w:tc>
          <w:tcPr/>
          <w:p>
            <w:pPr>
              <w:pStyle w:val="Compact"/>
            </w:pPr>
            <w:r>
              <w:rPr>
                <w:sz w:val="17"/>
              </w:rPr>
              <w:t xml:space="preserve">0</w:t>
            </w:r>
          </w:p>
        </w:tc>
        <w:tc>
          <w:tcPr/>
          <w:p>
            <w:pPr>
              <w:pStyle w:val="Compact"/>
            </w:pPr>
            <w:r>
              <w:rPr>
                <w:sz w:val="17"/>
              </w:rPr>
              <w:t xml:space="preserve">§ 29</w:t>
            </w:r>
          </w:p>
        </w:tc>
        <w:tc>
          <w:tcPr/>
          <w:p>
            <w:pPr>
              <w:pStyle w:val="Compact"/>
            </w:pPr>
            <w:r>
              <w:rPr>
                <w:sz w:val="17"/>
              </w:rPr>
              <w:t xml:space="preserve">43</w:t>
            </w:r>
          </w:p>
        </w:tc>
        <w:tc>
          <w:tcPr/>
          <w:p>
            <w:pPr>
              <w:pStyle w:val="Compact"/>
            </w:pPr>
            <w:r>
              <w:rPr>
                <w:sz w:val="17"/>
              </w:rPr>
              <w:t xml:space="preserve">25</w:t>
            </w:r>
          </w:p>
        </w:tc>
        <w:tc>
          <w:tcPr/>
          <w:p>
            <w:pPr>
              <w:pStyle w:val="Compact"/>
            </w:pPr>
            <w:r>
              <w:rPr>
                <w:sz w:val="17"/>
              </w:rPr>
              <w:t xml:space="preserve">16</w:t>
            </w:r>
          </w:p>
        </w:tc>
        <w:tc>
          <w:tcPr/>
          <w:p>
            <w:pPr>
              <w:pStyle w:val="Compact"/>
            </w:pPr>
            <w:r>
              <w:rPr>
                <w:sz w:val="17"/>
              </w:rPr>
              <w:t xml:space="preserve">2</w:t>
            </w:r>
          </w:p>
        </w:tc>
      </w:tr>
      <w:tr>
        <w:tc>
          <w:tcPr>
            <w:shd w:val="clear" w:color="auto" w:fill="F5F7FB"/>
          </w:tcPr>
          <w:p>
            <w:pPr>
              <w:pStyle w:val="Compact"/>
            </w:pPr>
            <w:r>
              <w:rPr>
                <w:sz w:val="17"/>
              </w:rPr>
              <w:t xml:space="preserve">§ 10A</w:t>
            </w:r>
          </w:p>
        </w:tc>
        <w:tc>
          <w:tcPr>
            <w:shd w:val="clear" w:color="auto" w:fill="F5F7FB"/>
          </w:tcPr>
          <w:p>
            <w:pPr>
              <w:pStyle w:val="Compact"/>
            </w:pPr>
            <w:r>
              <w:rPr>
                <w:sz w:val="17"/>
              </w:rPr>
              <w:t xml:space="preserve">24</w:t>
            </w:r>
          </w:p>
        </w:tc>
        <w:tc>
          <w:tcPr>
            <w:shd w:val="clear" w:color="auto" w:fill="F5F7FB"/>
          </w:tcPr>
          <w:p>
            <w:pPr>
              <w:pStyle w:val="Compact"/>
            </w:pPr>
            <w:r>
              <w:rPr>
                <w:sz w:val="17"/>
              </w:rPr>
              <w:t xml:space="preserve">10</w:t>
            </w:r>
          </w:p>
        </w:tc>
        <w:tc>
          <w:tcPr>
            <w:shd w:val="clear" w:color="auto" w:fill="F5F7FB"/>
          </w:tcPr>
          <w:p>
            <w:pPr>
              <w:pStyle w:val="Compact"/>
            </w:pPr>
            <w:r>
              <w:rPr>
                <w:sz w:val="17"/>
              </w:rPr>
              <w:t xml:space="preserve">14</w:t>
            </w:r>
          </w:p>
        </w:tc>
        <w:tc>
          <w:tcPr>
            <w:shd w:val="clear" w:color="auto" w:fill="F5F7FB"/>
          </w:tcPr>
          <w:p>
            <w:pPr>
              <w:pStyle w:val="Compact"/>
            </w:pPr>
            <w:r>
              <w:rPr>
                <w:sz w:val="17"/>
              </w:rPr>
              <w:t xml:space="preserve">0</w:t>
            </w:r>
          </w:p>
        </w:tc>
        <w:tc>
          <w:tcPr>
            <w:shd w:val="clear" w:color="auto" w:fill="F5F7FB"/>
          </w:tcPr>
          <w:p>
            <w:pPr>
              <w:pStyle w:val="Compact"/>
            </w:pPr>
            <w:r>
              <w:rPr>
                <w:sz w:val="17"/>
              </w:rPr>
              <w:t xml:space="preserve">§ 30</w:t>
            </w:r>
          </w:p>
        </w:tc>
        <w:tc>
          <w:tcPr>
            <w:shd w:val="clear" w:color="auto" w:fill="F5F7FB"/>
          </w:tcPr>
          <w:p>
            <w:pPr>
              <w:pStyle w:val="Compact"/>
            </w:pPr>
            <w:r>
              <w:rPr>
                <w:sz w:val="17"/>
              </w:rPr>
              <w:t xml:space="preserve">79</w:t>
            </w:r>
          </w:p>
        </w:tc>
        <w:tc>
          <w:tcPr>
            <w:shd w:val="clear" w:color="auto" w:fill="F5F7FB"/>
          </w:tcPr>
          <w:p>
            <w:pPr>
              <w:pStyle w:val="Compact"/>
            </w:pPr>
            <w:r>
              <w:rPr>
                <w:sz w:val="17"/>
              </w:rPr>
              <w:t xml:space="preserve">20</w:t>
            </w:r>
          </w:p>
        </w:tc>
        <w:tc>
          <w:tcPr>
            <w:shd w:val="clear" w:color="auto" w:fill="F5F7FB"/>
          </w:tcPr>
          <w:p>
            <w:pPr>
              <w:pStyle w:val="Compact"/>
            </w:pPr>
            <w:r>
              <w:rPr>
                <w:sz w:val="17"/>
              </w:rPr>
              <w:t xml:space="preserve">57</w:t>
            </w:r>
          </w:p>
        </w:tc>
        <w:tc>
          <w:tcPr>
            <w:shd w:val="clear" w:color="auto" w:fill="F5F7FB"/>
          </w:tcPr>
          <w:p>
            <w:pPr>
              <w:pStyle w:val="Compact"/>
            </w:pPr>
            <w:r>
              <w:rPr>
                <w:sz w:val="17"/>
              </w:rPr>
              <w:t xml:space="preserve">2</w:t>
            </w:r>
          </w:p>
        </w:tc>
      </w:tr>
      <w:tr>
        <w:tc>
          <w:tcPr/>
          <w:p>
            <w:pPr>
              <w:pStyle w:val="Compact"/>
            </w:pPr>
            <w:r>
              <w:rPr>
                <w:sz w:val="17"/>
              </w:rPr>
              <w:t xml:space="preserve">§ 11</w:t>
            </w:r>
          </w:p>
        </w:tc>
        <w:tc>
          <w:tcPr/>
          <w:p>
            <w:pPr>
              <w:pStyle w:val="Compact"/>
            </w:pPr>
            <w:r>
              <w:rPr>
                <w:sz w:val="17"/>
              </w:rPr>
              <w:t xml:space="preserve">30</w:t>
            </w:r>
          </w:p>
        </w:tc>
        <w:tc>
          <w:tcPr/>
          <w:p>
            <w:pPr>
              <w:pStyle w:val="Compact"/>
            </w:pPr>
            <w:r>
              <w:rPr>
                <w:sz w:val="17"/>
              </w:rPr>
              <w:t xml:space="preserve">22</w:t>
            </w:r>
          </w:p>
        </w:tc>
        <w:tc>
          <w:tcPr/>
          <w:p>
            <w:pPr>
              <w:pStyle w:val="Compact"/>
            </w:pPr>
            <w:r>
              <w:rPr>
                <w:sz w:val="17"/>
              </w:rPr>
              <w:t xml:space="preserve">6</w:t>
            </w:r>
          </w:p>
        </w:tc>
        <w:tc>
          <w:tcPr/>
          <w:p>
            <w:pPr>
              <w:pStyle w:val="Compact"/>
            </w:pPr>
            <w:r>
              <w:rPr>
                <w:sz w:val="17"/>
              </w:rPr>
              <w:t xml:space="preserve">2</w:t>
            </w:r>
          </w:p>
        </w:tc>
        <w:tc>
          <w:tcPr/>
          <w:p>
            <w:pPr>
              <w:pStyle w:val="Compact"/>
            </w:pPr>
            <w:r>
              <w:rPr>
                <w:sz w:val="17"/>
              </w:rPr>
              <w:t xml:space="preserve">§ 31</w:t>
            </w:r>
          </w:p>
        </w:tc>
        <w:tc>
          <w:tcPr/>
          <w:p>
            <w:pPr>
              <w:pStyle w:val="Compact"/>
            </w:pPr>
            <w:r>
              <w:rPr>
                <w:sz w:val="17"/>
              </w:rPr>
              <w:t xml:space="preserve">14</w:t>
            </w:r>
          </w:p>
        </w:tc>
        <w:tc>
          <w:tcPr/>
          <w:p>
            <w:pPr>
              <w:pStyle w:val="Compact"/>
            </w:pPr>
            <w:r>
              <w:rPr>
                <w:sz w:val="17"/>
              </w:rPr>
              <w:t xml:space="preserve">13</w:t>
            </w:r>
          </w:p>
        </w:tc>
        <w:tc>
          <w:tcPr/>
          <w:p>
            <w:pPr>
              <w:pStyle w:val="Compact"/>
            </w:pPr>
            <w:r>
              <w:rPr>
                <w:sz w:val="17"/>
              </w:rPr>
              <w:t xml:space="preserve">1</w:t>
            </w:r>
          </w:p>
        </w:tc>
        <w:tc>
          <w:tcPr/>
          <w:p>
            <w:pPr>
              <w:pStyle w:val="Compact"/>
            </w:pPr>
            <w:r>
              <w:rPr>
                <w:sz w:val="17"/>
              </w:rPr>
              <w:t xml:space="preserve">0</w:t>
            </w:r>
          </w:p>
        </w:tc>
      </w:tr>
      <w:tr>
        <w:tc>
          <w:tcPr>
            <w:shd w:val="clear" w:color="auto" w:fill="F5F7FB"/>
          </w:tcPr>
          <w:p>
            <w:pPr>
              <w:pStyle w:val="Compact"/>
            </w:pPr>
            <w:r>
              <w:rPr>
                <w:sz w:val="17"/>
              </w:rPr>
              <w:t xml:space="preserve">§ 11A</w:t>
            </w:r>
          </w:p>
        </w:tc>
        <w:tc>
          <w:tcPr>
            <w:shd w:val="clear" w:color="auto" w:fill="F5F7FB"/>
          </w:tcPr>
          <w:p>
            <w:pPr>
              <w:pStyle w:val="Compact"/>
            </w:pPr>
            <w:r>
              <w:rPr>
                <w:sz w:val="17"/>
              </w:rPr>
              <w:t xml:space="preserve">28</w:t>
            </w:r>
          </w:p>
        </w:tc>
        <w:tc>
          <w:tcPr>
            <w:shd w:val="clear" w:color="auto" w:fill="F5F7FB"/>
          </w:tcPr>
          <w:p>
            <w:pPr>
              <w:pStyle w:val="Compact"/>
            </w:pPr>
            <w:r>
              <w:rPr>
                <w:sz w:val="17"/>
              </w:rPr>
              <w:t xml:space="preserve">3</w:t>
            </w:r>
          </w:p>
        </w:tc>
        <w:tc>
          <w:tcPr>
            <w:shd w:val="clear" w:color="auto" w:fill="F5F7FB"/>
          </w:tcPr>
          <w:p>
            <w:pPr>
              <w:pStyle w:val="Compact"/>
            </w:pPr>
            <w:r>
              <w:rPr>
                <w:sz w:val="17"/>
              </w:rPr>
              <w:t xml:space="preserve">23</w:t>
            </w:r>
          </w:p>
        </w:tc>
        <w:tc>
          <w:tcPr>
            <w:shd w:val="clear" w:color="auto" w:fill="F5F7FB"/>
          </w:tcPr>
          <w:p>
            <w:pPr>
              <w:pStyle w:val="Compact"/>
            </w:pPr>
            <w:r>
              <w:rPr>
                <w:sz w:val="17"/>
              </w:rPr>
              <w:t xml:space="preserve">2</w:t>
            </w:r>
          </w:p>
        </w:tc>
        <w:tc>
          <w:tcPr>
            <w:shd w:val="clear" w:color="auto" w:fill="F5F7FB"/>
          </w:tcPr>
          <w:p>
            <w:pPr>
              <w:pStyle w:val="Compact"/>
            </w:pPr>
            <w:r>
              <w:rPr>
                <w:sz w:val="17"/>
              </w:rPr>
              <w:t xml:space="preserve">§ 32</w:t>
            </w:r>
          </w:p>
        </w:tc>
        <w:tc>
          <w:tcPr>
            <w:shd w:val="clear" w:color="auto" w:fill="F5F7FB"/>
          </w:tcPr>
          <w:p>
            <w:pPr>
              <w:pStyle w:val="Compact"/>
            </w:pPr>
            <w:r>
              <w:rPr>
                <w:sz w:val="17"/>
              </w:rPr>
              <w:t xml:space="preserve">8</w:t>
            </w:r>
          </w:p>
        </w:tc>
        <w:tc>
          <w:tcPr>
            <w:shd w:val="clear" w:color="auto" w:fill="F5F7FB"/>
          </w:tcPr>
          <w:p>
            <w:pPr>
              <w:pStyle w:val="Compact"/>
            </w:pPr>
            <w:r>
              <w:rPr>
                <w:sz w:val="17"/>
              </w:rPr>
              <w:t xml:space="preserve">8</w:t>
            </w:r>
          </w:p>
        </w:tc>
        <w:tc>
          <w:tcPr>
            <w:shd w:val="clear" w:color="auto" w:fill="F5F7FB"/>
          </w:tcPr>
          <w:p>
            <w:pPr>
              <w:pStyle w:val="Compact"/>
            </w:pPr>
            <w:r>
              <w:rPr>
                <w:sz w:val="17"/>
              </w:rPr>
              <w:t xml:space="preserve">0</w:t>
            </w:r>
          </w:p>
        </w:tc>
        <w:tc>
          <w:tcPr>
            <w:shd w:val="clear" w:color="auto" w:fill="F5F7FB"/>
          </w:tcPr>
          <w:p>
            <w:pPr>
              <w:pStyle w:val="Compact"/>
            </w:pPr>
            <w:r>
              <w:rPr>
                <w:sz w:val="17"/>
              </w:rPr>
              <w:t xml:space="preserve">0</w:t>
            </w:r>
          </w:p>
        </w:tc>
      </w:tr>
      <w:tr>
        <w:tc>
          <w:tcPr/>
          <w:p>
            <w:pPr>
              <w:pStyle w:val="Compact"/>
            </w:pPr>
            <w:r>
              <w:rPr>
                <w:sz w:val="17"/>
              </w:rPr>
              <w:t xml:space="preserve">§ 11B</w:t>
            </w:r>
          </w:p>
        </w:tc>
        <w:tc>
          <w:tcPr/>
          <w:p>
            <w:pPr>
              <w:pStyle w:val="Compact"/>
            </w:pPr>
            <w:r>
              <w:rPr>
                <w:sz w:val="17"/>
              </w:rPr>
              <w:t xml:space="preserve">15</w:t>
            </w:r>
          </w:p>
        </w:tc>
        <w:tc>
          <w:tcPr/>
          <w:p>
            <w:pPr>
              <w:pStyle w:val="Compact"/>
            </w:pPr>
            <w:r>
              <w:rPr>
                <w:sz w:val="17"/>
              </w:rPr>
              <w:t xml:space="preserve">3</w:t>
            </w:r>
          </w:p>
        </w:tc>
        <w:tc>
          <w:tcPr/>
          <w:p>
            <w:pPr>
              <w:pStyle w:val="Compact"/>
            </w:pPr>
            <w:r>
              <w:rPr>
                <w:sz w:val="17"/>
              </w:rPr>
              <w:t xml:space="preserve">12</w:t>
            </w:r>
          </w:p>
        </w:tc>
        <w:tc>
          <w:tcPr/>
          <w:p>
            <w:pPr>
              <w:pStyle w:val="Compact"/>
            </w:pPr>
            <w:r>
              <w:rPr>
                <w:sz w:val="17"/>
              </w:rPr>
              <w:t xml:space="preserve">0</w:t>
            </w:r>
          </w:p>
        </w:tc>
        <w:tc>
          <w:tcPr/>
          <w:p>
            <w:pPr>
              <w:pStyle w:val="Compact"/>
            </w:pPr>
            <w:r>
              <w:rPr>
                <w:sz w:val="17"/>
              </w:rPr>
              <w:t xml:space="preserve">§ 33</w:t>
            </w:r>
          </w:p>
        </w:tc>
        <w:tc>
          <w:tcPr/>
          <w:p>
            <w:pPr>
              <w:pStyle w:val="Compact"/>
            </w:pPr>
            <w:r>
              <w:rPr>
                <w:sz w:val="17"/>
              </w:rPr>
              <w:t xml:space="preserve">7</w:t>
            </w:r>
          </w:p>
        </w:tc>
        <w:tc>
          <w:tcPr/>
          <w:p>
            <w:pPr>
              <w:pStyle w:val="Compact"/>
            </w:pPr>
            <w:r>
              <w:rPr>
                <w:sz w:val="17"/>
              </w:rPr>
              <w:t xml:space="preserve">6</w:t>
            </w:r>
          </w:p>
        </w:tc>
        <w:tc>
          <w:tcPr/>
          <w:p>
            <w:pPr>
              <w:pStyle w:val="Compact"/>
            </w:pPr>
            <w:r>
              <w:rPr>
                <w:sz w:val="17"/>
              </w:rPr>
              <w:t xml:space="preserve">0</w:t>
            </w:r>
          </w:p>
        </w:tc>
        <w:tc>
          <w:tcPr/>
          <w:p>
            <w:pPr>
              <w:pStyle w:val="Compact"/>
            </w:pPr>
            <w:r>
              <w:rPr>
                <w:sz w:val="17"/>
              </w:rPr>
              <w:t xml:space="preserve">1</w:t>
            </w:r>
          </w:p>
        </w:tc>
      </w:tr>
      <w:tr>
        <w:tc>
          <w:tcPr>
            <w:shd w:val="clear" w:color="auto" w:fill="F5F7FB"/>
          </w:tcPr>
          <w:p>
            <w:pPr>
              <w:pStyle w:val="Compact"/>
            </w:pPr>
            <w:r>
              <w:rPr>
                <w:sz w:val="17"/>
              </w:rPr>
              <w:t xml:space="preserve">§ 11C</w:t>
            </w:r>
          </w:p>
        </w:tc>
        <w:tc>
          <w:tcPr>
            <w:shd w:val="clear" w:color="auto" w:fill="F5F7FB"/>
          </w:tcPr>
          <w:p>
            <w:pPr>
              <w:pStyle w:val="Compact"/>
            </w:pPr>
            <w:r>
              <w:rPr>
                <w:sz w:val="17"/>
              </w:rPr>
              <w:t xml:space="preserve">13</w:t>
            </w:r>
          </w:p>
        </w:tc>
        <w:tc>
          <w:tcPr>
            <w:shd w:val="clear" w:color="auto" w:fill="F5F7FB"/>
          </w:tcPr>
          <w:p>
            <w:pPr>
              <w:pStyle w:val="Compact"/>
            </w:pPr>
            <w:r>
              <w:rPr>
                <w:sz w:val="17"/>
              </w:rPr>
              <w:t xml:space="preserve">2</w:t>
            </w:r>
          </w:p>
        </w:tc>
        <w:tc>
          <w:tcPr>
            <w:shd w:val="clear" w:color="auto" w:fill="F5F7FB"/>
          </w:tcPr>
          <w:p>
            <w:pPr>
              <w:pStyle w:val="Compact"/>
            </w:pPr>
            <w:r>
              <w:rPr>
                <w:sz w:val="17"/>
              </w:rPr>
              <w:t xml:space="preserve">8</w:t>
            </w:r>
          </w:p>
        </w:tc>
        <w:tc>
          <w:tcPr>
            <w:shd w:val="clear" w:color="auto" w:fill="F5F7FB"/>
          </w:tcPr>
          <w:p>
            <w:pPr>
              <w:pStyle w:val="Compact"/>
            </w:pPr>
            <w:r>
              <w:rPr>
                <w:sz w:val="17"/>
              </w:rPr>
              <w:t xml:space="preserve">3</w:t>
            </w:r>
          </w:p>
        </w:tc>
        <w:tc>
          <w:tcPr>
            <w:shd w:val="clear" w:color="auto" w:fill="F5F7FB"/>
          </w:tcPr>
          <w:p>
            <w:pPr>
              <w:pStyle w:val="Compact"/>
            </w:pPr>
            <w:r>
              <w:rPr>
                <w:sz w:val="17"/>
              </w:rPr>
              <w:t xml:space="preserve">§ 34</w:t>
            </w:r>
          </w:p>
        </w:tc>
        <w:tc>
          <w:tcPr>
            <w:shd w:val="clear" w:color="auto" w:fill="F5F7FB"/>
          </w:tcPr>
          <w:p>
            <w:pPr>
              <w:pStyle w:val="Compact"/>
            </w:pPr>
            <w:r>
              <w:rPr>
                <w:sz w:val="17"/>
              </w:rPr>
              <w:t xml:space="preserve">22</w:t>
            </w:r>
          </w:p>
        </w:tc>
        <w:tc>
          <w:tcPr>
            <w:shd w:val="clear" w:color="auto" w:fill="F5F7FB"/>
          </w:tcPr>
          <w:p>
            <w:pPr>
              <w:pStyle w:val="Compact"/>
            </w:pPr>
            <w:r>
              <w:rPr>
                <w:sz w:val="17"/>
              </w:rPr>
              <w:t xml:space="preserve">8</w:t>
            </w:r>
          </w:p>
        </w:tc>
        <w:tc>
          <w:tcPr>
            <w:shd w:val="clear" w:color="auto" w:fill="F5F7FB"/>
          </w:tcPr>
          <w:p>
            <w:pPr>
              <w:pStyle w:val="Compact"/>
            </w:pPr>
            <w:r>
              <w:rPr>
                <w:sz w:val="17"/>
              </w:rPr>
              <w:t xml:space="preserve">8</w:t>
            </w:r>
          </w:p>
        </w:tc>
        <w:tc>
          <w:tcPr>
            <w:shd w:val="clear" w:color="auto" w:fill="F5F7FB"/>
          </w:tcPr>
          <w:p>
            <w:pPr>
              <w:pStyle w:val="Compact"/>
            </w:pPr>
            <w:r>
              <w:rPr>
                <w:sz w:val="17"/>
              </w:rPr>
              <w:t xml:space="preserve">6</w:t>
            </w:r>
          </w:p>
        </w:tc>
      </w:tr>
      <w:tr>
        <w:tc>
          <w:tcPr/>
          <w:p>
            <w:pPr>
              <w:pStyle w:val="Compact"/>
            </w:pPr>
            <w:r>
              <w:rPr>
                <w:sz w:val="17"/>
              </w:rPr>
              <w:t xml:space="preserve">§ 11D</w:t>
            </w:r>
          </w:p>
        </w:tc>
        <w:tc>
          <w:tcPr/>
          <w:p>
            <w:pPr>
              <w:pStyle w:val="Compact"/>
            </w:pPr>
            <w:r>
              <w:rPr>
                <w:sz w:val="17"/>
              </w:rPr>
              <w:t xml:space="preserve">33</w:t>
            </w:r>
          </w:p>
        </w:tc>
        <w:tc>
          <w:tcPr/>
          <w:p>
            <w:pPr>
              <w:pStyle w:val="Compact"/>
            </w:pPr>
            <w:r>
              <w:rPr>
                <w:sz w:val="17"/>
              </w:rPr>
              <w:t xml:space="preserve">3</w:t>
            </w:r>
          </w:p>
        </w:tc>
        <w:tc>
          <w:tcPr/>
          <w:p>
            <w:pPr>
              <w:pStyle w:val="Compact"/>
            </w:pPr>
            <w:r>
              <w:rPr>
                <w:sz w:val="17"/>
              </w:rPr>
              <w:t xml:space="preserve">25</w:t>
            </w:r>
          </w:p>
        </w:tc>
        <w:tc>
          <w:tcPr/>
          <w:p>
            <w:pPr>
              <w:pStyle w:val="Compact"/>
            </w:pPr>
            <w:r>
              <w:rPr>
                <w:sz w:val="17"/>
              </w:rPr>
              <w:t xml:space="preserve">5</w:t>
            </w:r>
          </w:p>
        </w:tc>
        <w:tc>
          <w:tcPr/>
          <w:p>
            <w:pPr>
              <w:pStyle w:val="Compact"/>
            </w:pPr>
            <w:r>
              <w:rPr>
                <w:sz w:val="17"/>
              </w:rPr>
              <w:t xml:space="preserve">§ 35</w:t>
            </w:r>
          </w:p>
        </w:tc>
        <w:tc>
          <w:tcPr/>
          <w:p>
            <w:pPr>
              <w:pStyle w:val="Compact"/>
            </w:pPr>
            <w:r>
              <w:rPr>
                <w:sz w:val="17"/>
              </w:rPr>
              <w:t xml:space="preserve">9</w:t>
            </w:r>
          </w:p>
        </w:tc>
        <w:tc>
          <w:tcPr/>
          <w:p>
            <w:pPr>
              <w:pStyle w:val="Compact"/>
            </w:pPr>
            <w:r>
              <w:rPr>
                <w:sz w:val="17"/>
              </w:rPr>
              <w:t xml:space="preserve">2</w:t>
            </w:r>
          </w:p>
        </w:tc>
        <w:tc>
          <w:tcPr/>
          <w:p>
            <w:pPr>
              <w:pStyle w:val="Compact"/>
            </w:pPr>
            <w:r>
              <w:rPr>
                <w:sz w:val="17"/>
              </w:rPr>
              <w:t xml:space="preserve">7</w:t>
            </w:r>
          </w:p>
        </w:tc>
        <w:tc>
          <w:tcPr/>
          <w:p>
            <w:pPr>
              <w:pStyle w:val="Compact"/>
            </w:pPr>
            <w:r>
              <w:rPr>
                <w:sz w:val="17"/>
              </w:rPr>
              <w:t xml:space="preserve">0</w:t>
            </w:r>
          </w:p>
        </w:tc>
      </w:tr>
      <w:tr>
        <w:tc>
          <w:tcPr>
            <w:shd w:val="clear" w:color="auto" w:fill="F5F7FB"/>
          </w:tcPr>
          <w:p>
            <w:pPr>
              <w:pStyle w:val="Compact"/>
            </w:pPr>
            <w:r>
              <w:rPr>
                <w:sz w:val="17"/>
              </w:rPr>
              <w:t xml:space="preserve">§ 12</w:t>
            </w:r>
          </w:p>
        </w:tc>
        <w:tc>
          <w:tcPr>
            <w:shd w:val="clear" w:color="auto" w:fill="F5F7FB"/>
          </w:tcPr>
          <w:p>
            <w:pPr>
              <w:pStyle w:val="Compact"/>
            </w:pPr>
            <w:r>
              <w:rPr>
                <w:sz w:val="17"/>
              </w:rPr>
              <w:t xml:space="preserve">58</w:t>
            </w:r>
          </w:p>
        </w:tc>
        <w:tc>
          <w:tcPr>
            <w:shd w:val="clear" w:color="auto" w:fill="F5F7FB"/>
          </w:tcPr>
          <w:p>
            <w:pPr>
              <w:pStyle w:val="Compact"/>
            </w:pPr>
            <w:r>
              <w:rPr>
                <w:sz w:val="17"/>
              </w:rPr>
              <w:t xml:space="preserve">42</w:t>
            </w:r>
          </w:p>
        </w:tc>
        <w:tc>
          <w:tcPr>
            <w:shd w:val="clear" w:color="auto" w:fill="F5F7FB"/>
          </w:tcPr>
          <w:p>
            <w:pPr>
              <w:pStyle w:val="Compact"/>
            </w:pPr>
            <w:r>
              <w:rPr>
                <w:sz w:val="17"/>
              </w:rPr>
              <w:t xml:space="preserve">14</w:t>
            </w:r>
          </w:p>
        </w:tc>
        <w:tc>
          <w:tcPr>
            <w:shd w:val="clear" w:color="auto" w:fill="F5F7FB"/>
          </w:tcPr>
          <w:p>
            <w:pPr>
              <w:pStyle w:val="Compact"/>
            </w:pPr>
            <w:r>
              <w:rPr>
                <w:sz w:val="17"/>
              </w:rPr>
              <w:t xml:space="preserve">2</w:t>
            </w:r>
          </w:p>
        </w:tc>
        <w:tc>
          <w:tcPr>
            <w:shd w:val="clear" w:color="auto" w:fill="F5F7FB"/>
          </w:tcPr>
          <w:p>
            <w:pPr>
              <w:pStyle w:val="Compact"/>
            </w:pPr>
            <w:r>
              <w:rPr>
                <w:sz w:val="17"/>
              </w:rPr>
              <w:t xml:space="preserve">§ 36</w:t>
            </w:r>
          </w:p>
        </w:tc>
        <w:tc>
          <w:tcPr>
            <w:shd w:val="clear" w:color="auto" w:fill="F5F7FB"/>
          </w:tcPr>
          <w:p>
            <w:pPr>
              <w:pStyle w:val="Compact"/>
            </w:pPr>
            <w:r>
              <w:rPr>
                <w:sz w:val="17"/>
              </w:rPr>
              <w:t xml:space="preserve">15</w:t>
            </w:r>
          </w:p>
        </w:tc>
        <w:tc>
          <w:tcPr>
            <w:shd w:val="clear" w:color="auto" w:fill="F5F7FB"/>
          </w:tcPr>
          <w:p>
            <w:pPr>
              <w:pStyle w:val="Compact"/>
            </w:pPr>
            <w:r>
              <w:rPr>
                <w:sz w:val="17"/>
              </w:rPr>
              <w:t xml:space="preserve">9</w:t>
            </w:r>
          </w:p>
        </w:tc>
        <w:tc>
          <w:tcPr>
            <w:shd w:val="clear" w:color="auto" w:fill="F5F7FB"/>
          </w:tcPr>
          <w:p>
            <w:pPr>
              <w:pStyle w:val="Compact"/>
            </w:pPr>
            <w:r>
              <w:rPr>
                <w:sz w:val="17"/>
              </w:rPr>
              <w:t xml:space="preserve">5</w:t>
            </w:r>
          </w:p>
        </w:tc>
        <w:tc>
          <w:tcPr>
            <w:shd w:val="clear" w:color="auto" w:fill="F5F7FB"/>
          </w:tcPr>
          <w:p>
            <w:pPr>
              <w:pStyle w:val="Compact"/>
            </w:pPr>
            <w:r>
              <w:rPr>
                <w:sz w:val="17"/>
              </w:rPr>
              <w:t xml:space="preserve">1</w:t>
            </w:r>
          </w:p>
        </w:tc>
      </w:tr>
      <w:tr>
        <w:tc>
          <w:tcPr/>
          <w:p>
            <w:pPr>
              <w:pStyle w:val="Compact"/>
            </w:pPr>
            <w:r>
              <w:rPr>
                <w:sz w:val="17"/>
              </w:rPr>
              <w:t xml:space="preserve">§ 12A</w:t>
            </w:r>
          </w:p>
        </w:tc>
        <w:tc>
          <w:tcPr/>
          <w:p>
            <w:pPr>
              <w:pStyle w:val="Compact"/>
            </w:pPr>
            <w:r>
              <w:rPr>
                <w:sz w:val="17"/>
              </w:rPr>
              <w:t xml:space="preserve">43</w:t>
            </w:r>
          </w:p>
        </w:tc>
        <w:tc>
          <w:tcPr/>
          <w:p>
            <w:pPr>
              <w:pStyle w:val="Compact"/>
            </w:pPr>
            <w:r>
              <w:rPr>
                <w:sz w:val="17"/>
              </w:rPr>
              <w:t xml:space="preserve">6</w:t>
            </w:r>
          </w:p>
        </w:tc>
        <w:tc>
          <w:tcPr/>
          <w:p>
            <w:pPr>
              <w:pStyle w:val="Compact"/>
            </w:pPr>
            <w:r>
              <w:rPr>
                <w:sz w:val="17"/>
              </w:rPr>
              <w:t xml:space="preserve">35</w:t>
            </w:r>
          </w:p>
        </w:tc>
        <w:tc>
          <w:tcPr/>
          <w:p>
            <w:pPr>
              <w:pStyle w:val="Compact"/>
            </w:pPr>
            <w:r>
              <w:rPr>
                <w:sz w:val="17"/>
              </w:rPr>
              <w:t xml:space="preserve">2</w:t>
            </w:r>
          </w:p>
        </w:tc>
        <w:tc>
          <w:tcPr/>
          <w:p>
            <w:pPr>
              <w:pStyle w:val="Compact"/>
            </w:pPr>
            <w:r>
              <w:rPr>
                <w:sz w:val="17"/>
              </w:rPr>
              <w:t xml:space="preserve">§ 37</w:t>
            </w:r>
          </w:p>
        </w:tc>
        <w:tc>
          <w:tcPr/>
          <w:p>
            <w:pPr>
              <w:pStyle w:val="Compact"/>
            </w:pPr>
            <w:r>
              <w:rPr>
                <w:sz w:val="17"/>
              </w:rPr>
              <w:t xml:space="preserve">7</w:t>
            </w:r>
          </w:p>
        </w:tc>
        <w:tc>
          <w:tcPr/>
          <w:p>
            <w:pPr>
              <w:pStyle w:val="Compact"/>
            </w:pPr>
            <w:r>
              <w:rPr>
                <w:sz w:val="17"/>
              </w:rPr>
              <w:t xml:space="preserve">4</w:t>
            </w:r>
          </w:p>
        </w:tc>
        <w:tc>
          <w:tcPr/>
          <w:p>
            <w:pPr>
              <w:pStyle w:val="Compact"/>
            </w:pPr>
            <w:r>
              <w:rPr>
                <w:sz w:val="17"/>
              </w:rPr>
              <w:t xml:space="preserve">1</w:t>
            </w:r>
          </w:p>
        </w:tc>
        <w:tc>
          <w:tcPr/>
          <w:p>
            <w:pPr>
              <w:pStyle w:val="Compact"/>
            </w:pPr>
            <w:r>
              <w:rPr>
                <w:sz w:val="17"/>
              </w:rPr>
              <w:t xml:space="preserve">2</w:t>
            </w:r>
          </w:p>
        </w:tc>
      </w:tr>
      <w:tr>
        <w:tc>
          <w:tcPr>
            <w:shd w:val="clear" w:color="auto" w:fill="F5F7FB"/>
          </w:tcPr>
          <w:p>
            <w:pPr>
              <w:pStyle w:val="Compact"/>
            </w:pPr>
            <w:r>
              <w:rPr>
                <w:sz w:val="17"/>
              </w:rPr>
              <w:t xml:space="preserve">§ 13</w:t>
            </w:r>
          </w:p>
        </w:tc>
        <w:tc>
          <w:tcPr>
            <w:shd w:val="clear" w:color="auto" w:fill="F5F7FB"/>
          </w:tcPr>
          <w:p>
            <w:pPr>
              <w:pStyle w:val="Compact"/>
            </w:pPr>
            <w:r>
              <w:rPr>
                <w:sz w:val="17"/>
              </w:rPr>
              <w:t xml:space="preserve">8</w:t>
            </w:r>
          </w:p>
        </w:tc>
        <w:tc>
          <w:tcPr>
            <w:shd w:val="clear" w:color="auto" w:fill="F5F7FB"/>
          </w:tcPr>
          <w:p>
            <w:pPr>
              <w:pStyle w:val="Compact"/>
            </w:pPr>
            <w:r>
              <w:rPr>
                <w:sz w:val="17"/>
              </w:rPr>
              <w:t xml:space="preserve">6</w:t>
            </w:r>
          </w:p>
        </w:tc>
        <w:tc>
          <w:tcPr>
            <w:shd w:val="clear" w:color="auto" w:fill="F5F7FB"/>
          </w:tcPr>
          <w:p>
            <w:pPr>
              <w:pStyle w:val="Compact"/>
            </w:pPr>
            <w:r>
              <w:rPr>
                <w:sz w:val="17"/>
              </w:rPr>
              <w:t xml:space="preserve">1</w:t>
            </w:r>
          </w:p>
        </w:tc>
        <w:tc>
          <w:tcPr>
            <w:shd w:val="clear" w:color="auto" w:fill="F5F7FB"/>
          </w:tcPr>
          <w:p>
            <w:pPr>
              <w:pStyle w:val="Compact"/>
            </w:pPr>
            <w:r>
              <w:rPr>
                <w:sz w:val="17"/>
              </w:rPr>
              <w:t xml:space="preserve">1</w:t>
            </w:r>
          </w:p>
        </w:tc>
        <w:tc>
          <w:tcPr>
            <w:shd w:val="clear" w:color="auto" w:fill="F5F7FB"/>
          </w:tcPr>
          <w:p>
            <w:pPr>
              <w:pStyle w:val="Compact"/>
            </w:pPr>
            <w:r>
              <w:rPr>
                <w:sz w:val="17"/>
              </w:rPr>
              <w:t xml:space="preserve">§ 37A</w:t>
            </w:r>
          </w:p>
        </w:tc>
        <w:tc>
          <w:tcPr>
            <w:shd w:val="clear" w:color="auto" w:fill="F5F7FB"/>
          </w:tcPr>
          <w:p>
            <w:pPr>
              <w:pStyle w:val="Compact"/>
            </w:pPr>
            <w:r>
              <w:rPr>
                <w:sz w:val="17"/>
              </w:rPr>
              <w:t xml:space="preserve">38</w:t>
            </w:r>
          </w:p>
        </w:tc>
        <w:tc>
          <w:tcPr>
            <w:shd w:val="clear" w:color="auto" w:fill="F5F7FB"/>
          </w:tcPr>
          <w:p>
            <w:pPr>
              <w:pStyle w:val="Compact"/>
            </w:pPr>
            <w:r>
              <w:rPr>
                <w:sz w:val="17"/>
              </w:rPr>
              <w:t xml:space="preserve">2</w:t>
            </w:r>
          </w:p>
        </w:tc>
        <w:tc>
          <w:tcPr>
            <w:shd w:val="clear" w:color="auto" w:fill="F5F7FB"/>
          </w:tcPr>
          <w:p>
            <w:pPr>
              <w:pStyle w:val="Compact"/>
            </w:pPr>
            <w:r>
              <w:rPr>
                <w:sz w:val="17"/>
              </w:rPr>
              <w:t xml:space="preserve">6</w:t>
            </w:r>
          </w:p>
        </w:tc>
        <w:tc>
          <w:tcPr>
            <w:shd w:val="clear" w:color="auto" w:fill="F5F7FB"/>
          </w:tcPr>
          <w:p>
            <w:pPr>
              <w:pStyle w:val="Compact"/>
            </w:pPr>
            <w:r>
              <w:rPr>
                <w:sz w:val="17"/>
              </w:rPr>
              <w:t xml:space="preserve">30</w:t>
            </w:r>
          </w:p>
        </w:tc>
      </w:tr>
      <w:tr>
        <w:tc>
          <w:tcPr/>
          <w:p>
            <w:pPr>
              <w:pStyle w:val="Compact"/>
            </w:pPr>
            <w:r>
              <w:rPr>
                <w:sz w:val="17"/>
              </w:rPr>
              <w:t xml:space="preserve">§ 13A</w:t>
            </w:r>
          </w:p>
        </w:tc>
        <w:tc>
          <w:tcPr/>
          <w:p>
            <w:pPr>
              <w:pStyle w:val="Compact"/>
            </w:pPr>
            <w:r>
              <w:rPr>
                <w:sz w:val="17"/>
              </w:rPr>
              <w:t xml:space="preserve">27</w:t>
            </w:r>
          </w:p>
        </w:tc>
        <w:tc>
          <w:tcPr/>
          <w:p>
            <w:pPr>
              <w:pStyle w:val="Compact"/>
            </w:pPr>
            <w:r>
              <w:rPr>
                <w:sz w:val="17"/>
              </w:rPr>
              <w:t xml:space="preserve">8</w:t>
            </w:r>
          </w:p>
        </w:tc>
        <w:tc>
          <w:tcPr/>
          <w:p>
            <w:pPr>
              <w:pStyle w:val="Compact"/>
            </w:pPr>
            <w:r>
              <w:rPr>
                <w:sz w:val="17"/>
              </w:rPr>
              <w:t xml:space="preserve">18</w:t>
            </w:r>
          </w:p>
        </w:tc>
        <w:tc>
          <w:tcPr/>
          <w:p>
            <w:pPr>
              <w:pStyle w:val="Compact"/>
            </w:pPr>
            <w:r>
              <w:rPr>
                <w:sz w:val="17"/>
              </w:rPr>
              <w:t xml:space="preserve">1</w:t>
            </w:r>
          </w:p>
        </w:tc>
        <w:tc>
          <w:tcPr/>
          <w:p>
            <w:pPr>
              <w:pStyle w:val="Compact"/>
            </w:pPr>
            <w:r>
              <w:rPr>
                <w:sz w:val="17"/>
              </w:rPr>
              <w:t xml:space="preserve">§ 38</w:t>
            </w:r>
          </w:p>
        </w:tc>
        <w:tc>
          <w:tcPr/>
          <w:p>
            <w:pPr>
              <w:pStyle w:val="Compact"/>
            </w:pPr>
            <w:r>
              <w:rPr>
                <w:sz w:val="17"/>
              </w:rPr>
              <w:t xml:space="preserve">14</w:t>
            </w:r>
          </w:p>
        </w:tc>
        <w:tc>
          <w:tcPr/>
          <w:p>
            <w:pPr>
              <w:pStyle w:val="Compact"/>
            </w:pPr>
            <w:r>
              <w:rPr>
                <w:sz w:val="17"/>
              </w:rPr>
              <w:t xml:space="preserve">9</w:t>
            </w:r>
          </w:p>
        </w:tc>
        <w:tc>
          <w:tcPr/>
          <w:p>
            <w:pPr>
              <w:pStyle w:val="Compact"/>
            </w:pPr>
            <w:r>
              <w:rPr>
                <w:sz w:val="17"/>
              </w:rPr>
              <w:t xml:space="preserve">3</w:t>
            </w:r>
          </w:p>
        </w:tc>
        <w:tc>
          <w:tcPr/>
          <w:p>
            <w:pPr>
              <w:pStyle w:val="Compact"/>
            </w:pPr>
            <w:r>
              <w:rPr>
                <w:sz w:val="17"/>
              </w:rPr>
              <w:t xml:space="preserve">2</w:t>
            </w:r>
          </w:p>
        </w:tc>
      </w:tr>
      <w:tr>
        <w:tc>
          <w:tcPr>
            <w:shd w:val="clear" w:color="auto" w:fill="F5F7FB"/>
          </w:tcPr>
          <w:p>
            <w:pPr>
              <w:pStyle w:val="Compact"/>
            </w:pPr>
            <w:r>
              <w:rPr>
                <w:sz w:val="17"/>
              </w:rPr>
              <w:t xml:space="preserve">§ 14</w:t>
            </w:r>
          </w:p>
        </w:tc>
        <w:tc>
          <w:tcPr>
            <w:shd w:val="clear" w:color="auto" w:fill="F5F7FB"/>
          </w:tcPr>
          <w:p>
            <w:pPr>
              <w:pStyle w:val="Compact"/>
            </w:pPr>
            <w:r>
              <w:rPr>
                <w:sz w:val="17"/>
              </w:rPr>
              <w:t xml:space="preserve">8</w:t>
            </w:r>
          </w:p>
        </w:tc>
        <w:tc>
          <w:tcPr>
            <w:shd w:val="clear" w:color="auto" w:fill="F5F7FB"/>
          </w:tcPr>
          <w:p>
            <w:pPr>
              <w:pStyle w:val="Compact"/>
            </w:pPr>
            <w:r>
              <w:rPr>
                <w:sz w:val="17"/>
              </w:rPr>
              <w:t xml:space="preserve">8</w:t>
            </w:r>
          </w:p>
        </w:tc>
        <w:tc>
          <w:tcPr>
            <w:shd w:val="clear" w:color="auto" w:fill="F5F7FB"/>
          </w:tcPr>
          <w:p>
            <w:pPr>
              <w:pStyle w:val="Compact"/>
            </w:pPr>
            <w:r>
              <w:rPr>
                <w:sz w:val="17"/>
              </w:rPr>
              <w:t xml:space="preserve">0</w:t>
            </w:r>
          </w:p>
        </w:tc>
        <w:tc>
          <w:tcPr>
            <w:shd w:val="clear" w:color="auto" w:fill="F5F7FB"/>
          </w:tcPr>
          <w:p>
            <w:pPr>
              <w:pStyle w:val="Compact"/>
            </w:pPr>
            <w:r>
              <w:rPr>
                <w:sz w:val="17"/>
              </w:rPr>
              <w:t xml:space="preserve">0</w:t>
            </w:r>
          </w:p>
        </w:tc>
        <w:tc>
          <w:tcPr>
            <w:shd w:val="clear" w:color="auto" w:fill="F5F7FB"/>
          </w:tcPr>
          <w:p>
            <w:pPr>
              <w:pStyle w:val="Compact"/>
            </w:pPr>
            <w:r>
              <w:rPr>
                <w:sz w:val="17"/>
              </w:rPr>
              <w:t xml:space="preserve">§ 39</w:t>
            </w:r>
          </w:p>
        </w:tc>
        <w:tc>
          <w:tcPr>
            <w:shd w:val="clear" w:color="auto" w:fill="F5F7FB"/>
          </w:tcPr>
          <w:p>
            <w:pPr>
              <w:pStyle w:val="Compact"/>
            </w:pPr>
            <w:r>
              <w:rPr>
                <w:sz w:val="17"/>
              </w:rPr>
              <w:t xml:space="preserve">17</w:t>
            </w:r>
          </w:p>
        </w:tc>
        <w:tc>
          <w:tcPr>
            <w:shd w:val="clear" w:color="auto" w:fill="F5F7FB"/>
          </w:tcPr>
          <w:p>
            <w:pPr>
              <w:pStyle w:val="Compact"/>
            </w:pPr>
            <w:r>
              <w:rPr>
                <w:sz w:val="17"/>
              </w:rPr>
              <w:t xml:space="preserve">6</w:t>
            </w:r>
          </w:p>
        </w:tc>
        <w:tc>
          <w:tcPr>
            <w:shd w:val="clear" w:color="auto" w:fill="F5F7FB"/>
          </w:tcPr>
          <w:p>
            <w:pPr>
              <w:pStyle w:val="Compact"/>
            </w:pPr>
            <w:r>
              <w:rPr>
                <w:sz w:val="17"/>
              </w:rPr>
              <w:t xml:space="preserve">10</w:t>
            </w:r>
          </w:p>
        </w:tc>
        <w:tc>
          <w:tcPr>
            <w:shd w:val="clear" w:color="auto" w:fill="F5F7FB"/>
          </w:tcPr>
          <w:p>
            <w:pPr>
              <w:pStyle w:val="Compact"/>
            </w:pPr>
            <w:r>
              <w:rPr>
                <w:sz w:val="17"/>
              </w:rPr>
              <w:t xml:space="preserve">1</w:t>
            </w:r>
          </w:p>
        </w:tc>
      </w:tr>
      <w:tr>
        <w:tc>
          <w:tcPr/>
          <w:p>
            <w:pPr>
              <w:pStyle w:val="Compact"/>
            </w:pPr>
            <w:r>
              <w:rPr>
                <w:sz w:val="17"/>
              </w:rPr>
              <w:t xml:space="preserve">§ 15</w:t>
            </w:r>
          </w:p>
        </w:tc>
        <w:tc>
          <w:tcPr/>
          <w:p>
            <w:pPr>
              <w:pStyle w:val="Compact"/>
            </w:pPr>
            <w:r>
              <w:rPr>
                <w:sz w:val="17"/>
              </w:rPr>
              <w:t xml:space="preserve">17</w:t>
            </w:r>
          </w:p>
        </w:tc>
        <w:tc>
          <w:tcPr/>
          <w:p>
            <w:pPr>
              <w:pStyle w:val="Compact"/>
            </w:pPr>
            <w:r>
              <w:rPr>
                <w:sz w:val="17"/>
              </w:rPr>
              <w:t xml:space="preserve">11</w:t>
            </w:r>
          </w:p>
        </w:tc>
        <w:tc>
          <w:tcPr/>
          <w:p>
            <w:pPr>
              <w:pStyle w:val="Compact"/>
            </w:pPr>
            <w:r>
              <w:rPr>
                <w:sz w:val="17"/>
              </w:rPr>
              <w:t xml:space="preserve">5</w:t>
            </w:r>
          </w:p>
        </w:tc>
        <w:tc>
          <w:tcPr/>
          <w:p>
            <w:pPr>
              <w:pStyle w:val="Compact"/>
            </w:pPr>
            <w:r>
              <w:rPr>
                <w:sz w:val="17"/>
              </w:rPr>
              <w:t xml:space="preserve">1</w:t>
            </w:r>
          </w:p>
        </w:tc>
        <w:tc>
          <w:tcPr/>
          <w:p>
            <w:pPr>
              <w:pStyle w:val="Compact"/>
            </w:pPr>
            <w:r>
              <w:rPr>
                <w:sz w:val="17"/>
              </w:rPr>
              <w:t xml:space="preserve">§ 40</w:t>
            </w:r>
          </w:p>
        </w:tc>
        <w:tc>
          <w:tcPr/>
          <w:p>
            <w:pPr>
              <w:pStyle w:val="Compact"/>
            </w:pPr>
            <w:r>
              <w:rPr>
                <w:sz w:val="17"/>
              </w:rPr>
              <w:t xml:space="preserve">17</w:t>
            </w:r>
          </w:p>
        </w:tc>
        <w:tc>
          <w:tcPr/>
          <w:p>
            <w:pPr>
              <w:pStyle w:val="Compact"/>
            </w:pPr>
            <w:r>
              <w:rPr>
                <w:sz w:val="17"/>
              </w:rPr>
              <w:t xml:space="preserve">9</w:t>
            </w:r>
          </w:p>
        </w:tc>
        <w:tc>
          <w:tcPr/>
          <w:p>
            <w:pPr>
              <w:pStyle w:val="Compact"/>
            </w:pPr>
            <w:r>
              <w:rPr>
                <w:sz w:val="17"/>
              </w:rPr>
              <w:t xml:space="preserve">6</w:t>
            </w:r>
          </w:p>
        </w:tc>
        <w:tc>
          <w:tcPr/>
          <w:p>
            <w:pPr>
              <w:pStyle w:val="Compact"/>
            </w:pPr>
            <w:r>
              <w:rPr>
                <w:sz w:val="17"/>
              </w:rPr>
              <w:t xml:space="preserve">2</w:t>
            </w:r>
          </w:p>
        </w:tc>
      </w:tr>
      <w:tr>
        <w:tc>
          <w:tcPr>
            <w:shd w:val="clear" w:color="auto" w:fill="F5F7FB"/>
          </w:tcPr>
          <w:p>
            <w:pPr>
              <w:pStyle w:val="Compact"/>
            </w:pPr>
            <w:r>
              <w:rPr>
                <w:sz w:val="17"/>
              </w:rPr>
              <w:t xml:space="preserve">§ 15A</w:t>
            </w:r>
          </w:p>
        </w:tc>
        <w:tc>
          <w:tcPr>
            <w:shd w:val="clear" w:color="auto" w:fill="F5F7FB"/>
          </w:tcPr>
          <w:p>
            <w:pPr>
              <w:pStyle w:val="Compact"/>
            </w:pPr>
            <w:r>
              <w:rPr>
                <w:sz w:val="17"/>
              </w:rPr>
              <w:t xml:space="preserve">27</w:t>
            </w:r>
          </w:p>
        </w:tc>
        <w:tc>
          <w:tcPr>
            <w:shd w:val="clear" w:color="auto" w:fill="F5F7FB"/>
          </w:tcPr>
          <w:p>
            <w:pPr>
              <w:pStyle w:val="Compact"/>
            </w:pPr>
            <w:r>
              <w:rPr>
                <w:sz w:val="17"/>
              </w:rPr>
              <w:t xml:space="preserve">5</w:t>
            </w:r>
          </w:p>
        </w:tc>
        <w:tc>
          <w:tcPr>
            <w:shd w:val="clear" w:color="auto" w:fill="F5F7FB"/>
          </w:tcPr>
          <w:p>
            <w:pPr>
              <w:pStyle w:val="Compact"/>
            </w:pPr>
            <w:r>
              <w:rPr>
                <w:sz w:val="17"/>
              </w:rPr>
              <w:t xml:space="preserve">20</w:t>
            </w:r>
          </w:p>
        </w:tc>
        <w:tc>
          <w:tcPr>
            <w:shd w:val="clear" w:color="auto" w:fill="F5F7FB"/>
          </w:tcPr>
          <w:p>
            <w:pPr>
              <w:pStyle w:val="Compact"/>
            </w:pPr>
            <w:r>
              <w:rPr>
                <w:sz w:val="17"/>
              </w:rPr>
              <w:t xml:space="preserve">2</w:t>
            </w:r>
          </w:p>
        </w:tc>
        <w:tc>
          <w:tcPr>
            <w:shd w:val="clear" w:color="auto" w:fill="F5F7FB"/>
          </w:tcPr>
          <w:p>
            <w:pPr>
              <w:pStyle w:val="Compact"/>
            </w:pPr>
            <w:r>
              <w:rPr>
                <w:sz w:val="17"/>
              </w:rPr>
              <w:t xml:space="preserve">§ 41</w:t>
            </w:r>
          </w:p>
        </w:tc>
        <w:tc>
          <w:tcPr>
            <w:shd w:val="clear" w:color="auto" w:fill="F5F7FB"/>
          </w:tcPr>
          <w:p>
            <w:pPr>
              <w:pStyle w:val="Compact"/>
            </w:pPr>
            <w:r>
              <w:rPr>
                <w:sz w:val="17"/>
              </w:rPr>
              <w:t xml:space="preserve">48</w:t>
            </w:r>
          </w:p>
        </w:tc>
        <w:tc>
          <w:tcPr>
            <w:shd w:val="clear" w:color="auto" w:fill="F5F7FB"/>
          </w:tcPr>
          <w:p>
            <w:pPr>
              <w:pStyle w:val="Compact"/>
            </w:pPr>
            <w:r>
              <w:rPr>
                <w:sz w:val="17"/>
              </w:rPr>
              <w:t xml:space="preserve">14</w:t>
            </w:r>
          </w:p>
        </w:tc>
        <w:tc>
          <w:tcPr>
            <w:shd w:val="clear" w:color="auto" w:fill="F5F7FB"/>
          </w:tcPr>
          <w:p>
            <w:pPr>
              <w:pStyle w:val="Compact"/>
            </w:pPr>
            <w:r>
              <w:rPr>
                <w:sz w:val="17"/>
              </w:rPr>
              <w:t xml:space="preserve">30</w:t>
            </w:r>
          </w:p>
        </w:tc>
        <w:tc>
          <w:tcPr>
            <w:shd w:val="clear" w:color="auto" w:fill="F5F7FB"/>
          </w:tcPr>
          <w:p>
            <w:pPr>
              <w:pStyle w:val="Compact"/>
            </w:pPr>
            <w:r>
              <w:rPr>
                <w:sz w:val="17"/>
              </w:rPr>
              <w:t xml:space="preserve">4</w:t>
            </w:r>
          </w:p>
        </w:tc>
      </w:tr>
      <w:tr>
        <w:tc>
          <w:tcPr/>
          <w:p>
            <w:pPr>
              <w:pStyle w:val="Compact"/>
            </w:pPr>
            <w:r>
              <w:rPr>
                <w:sz w:val="17"/>
              </w:rPr>
              <w:t xml:space="preserve">§ 16</w:t>
            </w:r>
          </w:p>
        </w:tc>
        <w:tc>
          <w:tcPr/>
          <w:p>
            <w:pPr>
              <w:pStyle w:val="Compact"/>
            </w:pPr>
            <w:r>
              <w:rPr>
                <w:sz w:val="17"/>
              </w:rPr>
              <w:t xml:space="preserve">33</w:t>
            </w:r>
          </w:p>
        </w:tc>
        <w:tc>
          <w:tcPr/>
          <w:p>
            <w:pPr>
              <w:pStyle w:val="Compact"/>
            </w:pPr>
            <w:r>
              <w:rPr>
                <w:sz w:val="17"/>
              </w:rPr>
              <w:t xml:space="preserve">25</w:t>
            </w:r>
          </w:p>
        </w:tc>
        <w:tc>
          <w:tcPr/>
          <w:p>
            <w:pPr>
              <w:pStyle w:val="Compact"/>
            </w:pPr>
            <w:r>
              <w:rPr>
                <w:sz w:val="17"/>
              </w:rPr>
              <w:t xml:space="preserve">6</w:t>
            </w:r>
          </w:p>
        </w:tc>
        <w:tc>
          <w:tcPr/>
          <w:p>
            <w:pPr>
              <w:pStyle w:val="Compact"/>
            </w:pPr>
            <w:r>
              <w:rPr>
                <w:sz w:val="17"/>
              </w:rPr>
              <w:t xml:space="preserve">2</w:t>
            </w:r>
          </w:p>
        </w:tc>
        <w:tc>
          <w:tcPr/>
          <w:p>
            <w:pPr>
              <w:pStyle w:val="Compact"/>
            </w:pPr>
            <w:r>
              <w:rPr>
                <w:sz w:val="17"/>
              </w:rPr>
              <w:t xml:space="preserve">§ 42</w:t>
            </w:r>
          </w:p>
        </w:tc>
        <w:tc>
          <w:tcPr/>
          <w:p>
            <w:pPr>
              <w:pStyle w:val="Compact"/>
            </w:pPr>
            <w:r>
              <w:rPr>
                <w:sz w:val="17"/>
              </w:rPr>
              <w:t xml:space="preserve">20</w:t>
            </w:r>
          </w:p>
        </w:tc>
        <w:tc>
          <w:tcPr/>
          <w:p>
            <w:pPr>
              <w:pStyle w:val="Compact"/>
            </w:pPr>
            <w:r>
              <w:rPr>
                <w:sz w:val="17"/>
              </w:rPr>
              <w:t xml:space="preserve">4</w:t>
            </w:r>
          </w:p>
        </w:tc>
        <w:tc>
          <w:tcPr/>
          <w:p>
            <w:pPr>
              <w:pStyle w:val="Compact"/>
            </w:pPr>
            <w:r>
              <w:rPr>
                <w:sz w:val="17"/>
              </w:rPr>
              <w:t xml:space="preserve">14</w:t>
            </w:r>
          </w:p>
        </w:tc>
        <w:tc>
          <w:tcPr/>
          <w:p>
            <w:pPr>
              <w:pStyle w:val="Compact"/>
            </w:pPr>
            <w:r>
              <w:rPr>
                <w:sz w:val="17"/>
              </w:rPr>
              <w:t xml:space="preserve">2</w:t>
            </w:r>
          </w:p>
        </w:tc>
      </w:tr>
      <w:tr>
        <w:tc>
          <w:tcPr>
            <w:shd w:val="clear" w:color="auto" w:fill="F5F7FB"/>
          </w:tcPr>
          <w:p>
            <w:pPr>
              <w:pStyle w:val="Compact"/>
            </w:pPr>
            <w:r>
              <w:rPr>
                <w:sz w:val="17"/>
              </w:rPr>
              <w:t xml:space="preserve">§ 17</w:t>
            </w:r>
          </w:p>
        </w:tc>
        <w:tc>
          <w:tcPr>
            <w:shd w:val="clear" w:color="auto" w:fill="F5F7FB"/>
          </w:tcPr>
          <w:p>
            <w:pPr>
              <w:pStyle w:val="Compact"/>
            </w:pPr>
            <w:r>
              <w:rPr>
                <w:sz w:val="17"/>
              </w:rPr>
              <w:t xml:space="preserve">18</w:t>
            </w:r>
          </w:p>
        </w:tc>
        <w:tc>
          <w:tcPr>
            <w:shd w:val="clear" w:color="auto" w:fill="F5F7FB"/>
          </w:tcPr>
          <w:p>
            <w:pPr>
              <w:pStyle w:val="Compact"/>
            </w:pPr>
            <w:r>
              <w:rPr>
                <w:sz w:val="17"/>
              </w:rPr>
              <w:t xml:space="preserve">13</w:t>
            </w:r>
          </w:p>
        </w:tc>
        <w:tc>
          <w:tcPr>
            <w:shd w:val="clear" w:color="auto" w:fill="F5F7FB"/>
          </w:tcPr>
          <w:p>
            <w:pPr>
              <w:pStyle w:val="Compact"/>
            </w:pPr>
            <w:r>
              <w:rPr>
                <w:sz w:val="17"/>
              </w:rPr>
              <w:t xml:space="preserve">3</w:t>
            </w:r>
          </w:p>
        </w:tc>
        <w:tc>
          <w:tcPr>
            <w:shd w:val="clear" w:color="auto" w:fill="F5F7FB"/>
          </w:tcPr>
          <w:p>
            <w:pPr>
              <w:pStyle w:val="Compact"/>
            </w:pPr>
            <w:r>
              <w:rPr>
                <w:sz w:val="17"/>
              </w:rPr>
              <w:t xml:space="preserve">2</w:t>
            </w:r>
          </w:p>
        </w:tc>
        <w:tc>
          <w:tcPr>
            <w:shd w:val="clear" w:color="auto" w:fill="F5F7FB"/>
          </w:tcPr>
          <w:p>
            <w:pPr>
              <w:pStyle w:val="Compact"/>
            </w:pPr>
            <w:r>
              <w:rPr>
                <w:sz w:val="17"/>
              </w:rPr>
              <w:t xml:space="preserve">§ 43</w:t>
            </w:r>
          </w:p>
        </w:tc>
        <w:tc>
          <w:tcPr>
            <w:shd w:val="clear" w:color="auto" w:fill="F5F7FB"/>
          </w:tcPr>
          <w:p>
            <w:pPr>
              <w:pStyle w:val="Compact"/>
            </w:pPr>
            <w:r>
              <w:rPr>
                <w:sz w:val="17"/>
              </w:rPr>
              <w:t xml:space="preserve">8</w:t>
            </w:r>
          </w:p>
        </w:tc>
        <w:tc>
          <w:tcPr>
            <w:shd w:val="clear" w:color="auto" w:fill="F5F7FB"/>
          </w:tcPr>
          <w:p>
            <w:pPr>
              <w:pStyle w:val="Compact"/>
            </w:pPr>
            <w:r>
              <w:rPr>
                <w:sz w:val="17"/>
              </w:rPr>
              <w:t xml:space="preserve">1</w:t>
            </w:r>
          </w:p>
        </w:tc>
        <w:tc>
          <w:tcPr>
            <w:shd w:val="clear" w:color="auto" w:fill="F5F7FB"/>
          </w:tcPr>
          <w:p>
            <w:pPr>
              <w:pStyle w:val="Compact"/>
            </w:pPr>
            <w:r>
              <w:rPr>
                <w:sz w:val="17"/>
              </w:rPr>
              <w:t xml:space="preserve">6</w:t>
            </w:r>
          </w:p>
        </w:tc>
        <w:tc>
          <w:tcPr>
            <w:shd w:val="clear" w:color="auto" w:fill="F5F7FB"/>
          </w:tcPr>
          <w:p>
            <w:pPr>
              <w:pStyle w:val="Compact"/>
            </w:pPr>
            <w:r>
              <w:rPr>
                <w:sz w:val="17"/>
              </w:rPr>
              <w:t xml:space="preserve">1</w:t>
            </w:r>
          </w:p>
        </w:tc>
      </w:tr>
      <w:tr>
        <w:tc>
          <w:tcPr/>
          <w:p>
            <w:pPr>
              <w:pStyle w:val="Compact"/>
            </w:pPr>
            <w:r>
              <w:rPr>
                <w:sz w:val="17"/>
              </w:rPr>
              <w:t xml:space="preserve">§ 18</w:t>
            </w:r>
          </w:p>
        </w:tc>
        <w:tc>
          <w:tcPr/>
          <w:p>
            <w:pPr>
              <w:pStyle w:val="Compact"/>
            </w:pPr>
            <w:r>
              <w:rPr>
                <w:sz w:val="17"/>
              </w:rPr>
              <w:t xml:space="preserve">35</w:t>
            </w:r>
          </w:p>
        </w:tc>
        <w:tc>
          <w:tcPr/>
          <w:p>
            <w:pPr>
              <w:pStyle w:val="Compact"/>
            </w:pPr>
            <w:r>
              <w:rPr>
                <w:sz w:val="17"/>
              </w:rPr>
              <w:t xml:space="preserve">27</w:t>
            </w:r>
          </w:p>
        </w:tc>
        <w:tc>
          <w:tcPr/>
          <w:p>
            <w:pPr>
              <w:pStyle w:val="Compact"/>
            </w:pPr>
            <w:r>
              <w:rPr>
                <w:sz w:val="17"/>
              </w:rPr>
              <w:t xml:space="preserve">5</w:t>
            </w:r>
          </w:p>
        </w:tc>
        <w:tc>
          <w:tcPr/>
          <w:p>
            <w:pPr>
              <w:pStyle w:val="Compact"/>
            </w:pPr>
            <w:r>
              <w:rPr>
                <w:sz w:val="17"/>
              </w:rPr>
              <w:t xml:space="preserve">3</w:t>
            </w:r>
          </w:p>
        </w:tc>
        <w:tc>
          <w:tcPr/>
          <w:p>
            <w:pPr>
              <w:pStyle w:val="Compact"/>
            </w:pPr>
            <w:r>
              <w:rPr>
                <w:sz w:val="17"/>
              </w:rPr>
              <w:t xml:space="preserve">§ 44</w:t>
            </w:r>
          </w:p>
        </w:tc>
        <w:tc>
          <w:tcPr/>
          <w:p>
            <w:pPr>
              <w:pStyle w:val="Compact"/>
            </w:pPr>
            <w:r>
              <w:rPr>
                <w:sz w:val="17"/>
              </w:rPr>
              <w:t xml:space="preserve">15</w:t>
            </w:r>
          </w:p>
        </w:tc>
        <w:tc>
          <w:tcPr/>
          <w:p>
            <w:pPr>
              <w:pStyle w:val="Compact"/>
            </w:pPr>
            <w:r>
              <w:rPr>
                <w:sz w:val="17"/>
              </w:rPr>
              <w:t xml:space="preserve">9</w:t>
            </w:r>
          </w:p>
        </w:tc>
        <w:tc>
          <w:tcPr/>
          <w:p>
            <w:pPr>
              <w:pStyle w:val="Compact"/>
            </w:pPr>
            <w:r>
              <w:rPr>
                <w:sz w:val="17"/>
              </w:rPr>
              <w:t xml:space="preserve">6</w:t>
            </w:r>
          </w:p>
        </w:tc>
        <w:tc>
          <w:tcPr/>
          <w:p>
            <w:pPr>
              <w:pStyle w:val="Compact"/>
            </w:pPr>
            <w:r>
              <w:rPr>
                <w:sz w:val="17"/>
              </w:rPr>
              <w:t xml:space="preserve">0</w:t>
            </w:r>
          </w:p>
        </w:tc>
      </w:tr>
      <w:tr>
        <w:tc>
          <w:tcPr>
            <w:shd w:val="clear" w:color="auto" w:fill="F5F7FB"/>
          </w:tcPr>
          <w:p>
            <w:pPr>
              <w:pStyle w:val="Compact"/>
            </w:pPr>
            <w:r>
              <w:rPr>
                <w:sz w:val="17"/>
              </w:rPr>
              <w:t xml:space="preserve">§ 18A</w:t>
            </w:r>
          </w:p>
        </w:tc>
        <w:tc>
          <w:tcPr>
            <w:shd w:val="clear" w:color="auto" w:fill="F5F7FB"/>
          </w:tcPr>
          <w:p>
            <w:pPr>
              <w:pStyle w:val="Compact"/>
            </w:pPr>
            <w:r>
              <w:rPr>
                <w:sz w:val="17"/>
              </w:rPr>
              <w:t xml:space="preserve">37</w:t>
            </w:r>
          </w:p>
        </w:tc>
        <w:tc>
          <w:tcPr>
            <w:shd w:val="clear" w:color="auto" w:fill="F5F7FB"/>
          </w:tcPr>
          <w:p>
            <w:pPr>
              <w:pStyle w:val="Compact"/>
            </w:pPr>
            <w:r>
              <w:rPr>
                <w:sz w:val="17"/>
              </w:rPr>
              <w:t xml:space="preserve">8</w:t>
            </w:r>
          </w:p>
        </w:tc>
        <w:tc>
          <w:tcPr>
            <w:shd w:val="clear" w:color="auto" w:fill="F5F7FB"/>
          </w:tcPr>
          <w:p>
            <w:pPr>
              <w:pStyle w:val="Compact"/>
            </w:pPr>
            <w:r>
              <w:rPr>
                <w:sz w:val="17"/>
              </w:rPr>
              <w:t xml:space="preserve">28</w:t>
            </w:r>
          </w:p>
        </w:tc>
        <w:tc>
          <w:tcPr>
            <w:shd w:val="clear" w:color="auto" w:fill="F5F7FB"/>
          </w:tcPr>
          <w:p>
            <w:pPr>
              <w:pStyle w:val="Compact"/>
            </w:pPr>
            <w:r>
              <w:rPr>
                <w:sz w:val="17"/>
              </w:rPr>
              <w:t xml:space="preserve">1</w:t>
            </w:r>
          </w:p>
        </w:tc>
        <w:tc>
          <w:tcPr>
            <w:shd w:val="clear" w:color="auto" w:fill="F5F7FB"/>
          </w:tcPr>
          <w:p>
            <w:pPr>
              <w:pStyle w:val="Compact"/>
            </w:pPr>
            <w:r>
              <w:rPr>
                <w:sz w:val="17"/>
              </w:rPr>
              <w:t xml:space="preserve">§ 45</w:t>
            </w:r>
          </w:p>
        </w:tc>
        <w:tc>
          <w:tcPr>
            <w:shd w:val="clear" w:color="auto" w:fill="F5F7FB"/>
          </w:tcPr>
          <w:p>
            <w:pPr>
              <w:pStyle w:val="Compact"/>
            </w:pPr>
            <w:r>
              <w:rPr>
                <w:sz w:val="17"/>
              </w:rPr>
              <w:t xml:space="preserve">13</w:t>
            </w:r>
          </w:p>
        </w:tc>
        <w:tc>
          <w:tcPr>
            <w:shd w:val="clear" w:color="auto" w:fill="F5F7FB"/>
          </w:tcPr>
          <w:p>
            <w:pPr>
              <w:pStyle w:val="Compact"/>
            </w:pPr>
            <w:r>
              <w:rPr>
                <w:sz w:val="17"/>
              </w:rPr>
              <w:t xml:space="preserve">6</w:t>
            </w:r>
          </w:p>
        </w:tc>
        <w:tc>
          <w:tcPr>
            <w:shd w:val="clear" w:color="auto" w:fill="F5F7FB"/>
          </w:tcPr>
          <w:p>
            <w:pPr>
              <w:pStyle w:val="Compact"/>
            </w:pPr>
            <w:r>
              <w:rPr>
                <w:sz w:val="17"/>
              </w:rPr>
              <w:t xml:space="preserve">5</w:t>
            </w:r>
          </w:p>
        </w:tc>
        <w:tc>
          <w:tcPr>
            <w:shd w:val="clear" w:color="auto" w:fill="F5F7FB"/>
          </w:tcPr>
          <w:p>
            <w:pPr>
              <w:pStyle w:val="Compact"/>
            </w:pPr>
            <w:r>
              <w:rPr>
                <w:sz w:val="17"/>
              </w:rPr>
              <w:t xml:space="preserve">2</w:t>
            </w:r>
          </w:p>
        </w:tc>
      </w:tr>
      <w:tr>
        <w:tc>
          <w:tcPr/>
          <w:p>
            <w:pPr>
              <w:pStyle w:val="Compact"/>
            </w:pPr>
            <w:r>
              <w:rPr>
                <w:sz w:val="17"/>
              </w:rPr>
              <w:t xml:space="preserve">Annexe A</w:t>
            </w:r>
          </w:p>
        </w:tc>
        <w:tc>
          <w:tcPr/>
          <w:p>
            <w:pPr>
              <w:pStyle w:val="Compact"/>
            </w:pPr>
            <w:r>
              <w:rPr>
                <w:sz w:val="17"/>
              </w:rPr>
              <w:t xml:space="preserve">2</w:t>
            </w:r>
          </w:p>
        </w:tc>
        <w:tc>
          <w:tcPr/>
          <w:p>
            <w:pPr>
              <w:pStyle w:val="Compact"/>
            </w:pPr>
            <w:r>
              <w:rPr>
                <w:sz w:val="17"/>
              </w:rPr>
              <w:t xml:space="preserve">2</w:t>
            </w:r>
          </w:p>
        </w:tc>
        <w:tc>
          <w:tcPr/>
          <w:p>
            <w:pPr>
              <w:pStyle w:val="Compact"/>
            </w:pPr>
            <w:r>
              <w:rPr>
                <w:sz w:val="17"/>
              </w:rPr>
              <w:t xml:space="preserve">0</w:t>
            </w:r>
          </w:p>
        </w:tc>
        <w:tc>
          <w:tcPr/>
          <w:p>
            <w:pPr>
              <w:pStyle w:val="Compact"/>
            </w:pPr>
            <w:r>
              <w:rPr>
                <w:sz w:val="17"/>
              </w:rPr>
              <w:t xml:space="preserve">0</w:t>
            </w:r>
          </w:p>
        </w:tc>
        <w:tc>
          <w:tcPr/>
          <w:p>
            <w:pPr>
              <w:pStyle w:val="Compact"/>
            </w:pPr>
            <w:r>
              <w:rPr>
                <w:sz w:val="17"/>
              </w:rPr>
              <w:t xml:space="preserve">§ 46</w:t>
            </w:r>
          </w:p>
        </w:tc>
        <w:tc>
          <w:tcPr/>
          <w:p>
            <w:pPr>
              <w:pStyle w:val="Compact"/>
            </w:pPr>
            <w:r>
              <w:rPr>
                <w:sz w:val="17"/>
              </w:rPr>
              <w:t xml:space="preserve">8</w:t>
            </w:r>
          </w:p>
        </w:tc>
        <w:tc>
          <w:tcPr/>
          <w:p>
            <w:pPr>
              <w:pStyle w:val="Compact"/>
            </w:pPr>
            <w:r>
              <w:rPr>
                <w:sz w:val="17"/>
              </w:rPr>
              <w:t xml:space="preserve">5</w:t>
            </w:r>
          </w:p>
        </w:tc>
        <w:tc>
          <w:tcPr/>
          <w:p>
            <w:pPr>
              <w:pStyle w:val="Compact"/>
            </w:pPr>
            <w:r>
              <w:rPr>
                <w:sz w:val="17"/>
              </w:rPr>
              <w:t xml:space="preserve">3</w:t>
            </w:r>
          </w:p>
        </w:tc>
        <w:tc>
          <w:tcPr/>
          <w:p>
            <w:pPr>
              <w:pStyle w:val="Compact"/>
            </w:pPr>
            <w:r>
              <w:rPr>
                <w:sz w:val="17"/>
              </w:rPr>
              <w:t xml:space="preserve">0</w:t>
            </w:r>
          </w:p>
        </w:tc>
      </w:tr>
      <w:tr>
        <w:tc>
          <w:tcPr>
            <w:shd w:val="clear" w:color="auto" w:fill="F5F7FB"/>
          </w:tcPr>
          <w:p>
            <w:pPr>
              <w:pStyle w:val="Compact"/>
            </w:pPr>
            <w:r>
              <w:rPr>
                <w:sz w:val="17"/>
              </w:rPr>
              <w:t xml:space="preserve">Annexe B (29 points)</w:t>
            </w:r>
          </w:p>
        </w:tc>
        <w:tc>
          <w:tcPr>
            <w:shd w:val="clear" w:color="auto" w:fill="F5F7FB"/>
          </w:tcPr>
          <w:p>
            <w:pPr>
              <w:pStyle w:val="Compact"/>
            </w:pPr>
            <w:r>
              <w:rPr>
                <w:sz w:val="17"/>
              </w:rPr>
              <w:t xml:space="preserve">29</w:t>
            </w:r>
          </w:p>
        </w:tc>
        <w:tc>
          <w:tcPr>
            <w:shd w:val="clear" w:color="auto" w:fill="F5F7FB"/>
          </w:tcPr>
          <w:p>
            <w:pPr>
              <w:pStyle w:val="Compact"/>
            </w:pPr>
            <w:r>
              <w:rPr>
                <w:sz w:val="17"/>
              </w:rPr>
              <w:t xml:space="preserve">14</w:t>
            </w:r>
          </w:p>
        </w:tc>
        <w:tc>
          <w:tcPr>
            <w:shd w:val="clear" w:color="auto" w:fill="F5F7FB"/>
          </w:tcPr>
          <w:p>
            <w:pPr>
              <w:pStyle w:val="Compact"/>
            </w:pPr>
            <w:r>
              <w:rPr>
                <w:sz w:val="17"/>
              </w:rPr>
              <w:t xml:space="preserve">10</w:t>
            </w:r>
          </w:p>
        </w:tc>
        <w:tc>
          <w:tcPr>
            <w:shd w:val="clear" w:color="auto" w:fill="F5F7FB"/>
          </w:tcPr>
          <w:p>
            <w:pPr>
              <w:pStyle w:val="Compact"/>
            </w:pPr>
            <w:r>
              <w:rPr>
                <w:sz w:val="17"/>
              </w:rPr>
              <w:t xml:space="preserve">5</w:t>
            </w:r>
          </w:p>
        </w:tc>
        <w:tc>
          <w:tcPr>
            <w:shd w:val="clear" w:color="auto" w:fill="F5F7FB"/>
          </w:tcPr>
          <w:p>
            <w:pPr>
              <w:pStyle w:val="Compact"/>
            </w:pPr>
            <w:r>
              <w:rPr>
                <w:sz w:val="17"/>
              </w:rPr>
              <w:t xml:space="preserve">§ 47</w:t>
            </w:r>
          </w:p>
        </w:tc>
        <w:tc>
          <w:tcPr>
            <w:shd w:val="clear" w:color="auto" w:fill="F5F7FB"/>
          </w:tcPr>
          <w:p>
            <w:pPr>
              <w:pStyle w:val="Compact"/>
            </w:pPr>
            <w:r>
              <w:rPr>
                <w:sz w:val="17"/>
              </w:rPr>
              <w:t xml:space="preserve">12</w:t>
            </w:r>
          </w:p>
        </w:tc>
        <w:tc>
          <w:tcPr>
            <w:shd w:val="clear" w:color="auto" w:fill="F5F7FB"/>
          </w:tcPr>
          <w:p>
            <w:pPr>
              <w:pStyle w:val="Compact"/>
            </w:pPr>
            <w:r>
              <w:rPr>
                <w:sz w:val="17"/>
              </w:rPr>
              <w:t xml:space="preserve">6</w:t>
            </w:r>
          </w:p>
        </w:tc>
        <w:tc>
          <w:tcPr>
            <w:shd w:val="clear" w:color="auto" w:fill="F5F7FB"/>
          </w:tcPr>
          <w:p>
            <w:pPr>
              <w:pStyle w:val="Compact"/>
            </w:pPr>
            <w:r>
              <w:rPr>
                <w:sz w:val="17"/>
              </w:rPr>
              <w:t xml:space="preserve">4</w:t>
            </w:r>
          </w:p>
        </w:tc>
        <w:tc>
          <w:tcPr>
            <w:shd w:val="clear" w:color="auto" w:fill="F5F7FB"/>
          </w:tcPr>
          <w:p>
            <w:pPr>
              <w:pStyle w:val="Compact"/>
            </w:pPr>
            <w:r>
              <w:rPr>
                <w:sz w:val="17"/>
              </w:rPr>
              <w:t xml:space="preserve">2</w:t>
            </w:r>
          </w:p>
        </w:tc>
      </w:tr>
      <w:tr>
        <w:tc>
          <w:tcPr/>
          <w:p>
            <w:pPr>
              <w:pStyle w:val="Compact"/>
            </w:pPr>
            <w:r>
              <w:rPr>
                <w:sz w:val="17"/>
              </w:rPr>
              <w:t xml:space="preserve">Annexe C</w:t>
            </w:r>
          </w:p>
        </w:tc>
        <w:tc>
          <w:tcPr/>
          <w:p>
            <w:pPr>
              <w:pStyle w:val="Compact"/>
            </w:pPr>
            <w:r>
              <w:rPr>
                <w:sz w:val="17"/>
              </w:rPr>
              <w:t xml:space="preserve">1</w:t>
            </w:r>
          </w:p>
        </w:tc>
        <w:tc>
          <w:tcPr/>
          <w:p>
            <w:pPr>
              <w:pStyle w:val="Compact"/>
            </w:pPr>
            <w:r>
              <w:rPr>
                <w:sz w:val="17"/>
              </w:rPr>
              <w:t xml:space="preserve">1</w:t>
            </w:r>
          </w:p>
        </w:tc>
        <w:tc>
          <w:tcPr/>
          <w:p>
            <w:pPr>
              <w:pStyle w:val="Compact"/>
            </w:pPr>
            <w:r>
              <w:rPr>
                <w:sz w:val="17"/>
              </w:rPr>
              <w:t xml:space="preserve">0</w:t>
            </w:r>
          </w:p>
        </w:tc>
        <w:tc>
          <w:tcPr/>
          <w:p>
            <w:pPr>
              <w:pStyle w:val="Compact"/>
            </w:pPr>
            <w:r>
              <w:rPr>
                <w:sz w:val="17"/>
              </w:rPr>
              <w:t xml:space="preserve">0</w:t>
            </w:r>
          </w:p>
        </w:tc>
        <w:tc>
          <w:tcPr/>
          <w:p>
            <w:pPr>
              <w:pStyle w:val="Compact"/>
            </w:pPr>
            <w:r>
              <w:rPr>
                <w:sz w:val="17"/>
              </w:rPr>
              <w:t xml:space="preserve">Annexe D</w:t>
            </w:r>
          </w:p>
        </w:tc>
        <w:tc>
          <w:tcPr/>
          <w:p>
            <w:pPr>
              <w:pStyle w:val="Compact"/>
            </w:pPr>
            <w:r>
              <w:rPr>
                <w:sz w:val="17"/>
              </w:rPr>
              <w:t xml:space="preserve">3</w:t>
            </w:r>
          </w:p>
        </w:tc>
        <w:tc>
          <w:tcPr/>
          <w:p>
            <w:pPr>
              <w:pStyle w:val="Compact"/>
            </w:pPr>
            <w:r>
              <w:rPr>
                <w:sz w:val="17"/>
              </w:rPr>
              <w:t xml:space="preserve">1</w:t>
            </w:r>
          </w:p>
        </w:tc>
        <w:tc>
          <w:tcPr/>
          <w:p>
            <w:pPr>
              <w:pStyle w:val="Compact"/>
            </w:pPr>
            <w:r>
              <w:rPr>
                <w:sz w:val="17"/>
              </w:rPr>
              <w:t xml:space="preserve">1</w:t>
            </w:r>
          </w:p>
        </w:tc>
        <w:tc>
          <w:tcPr/>
          <w:p>
            <w:pPr>
              <w:pStyle w:val="Compact"/>
            </w:pPr>
            <w:r>
              <w:rPr>
                <w:sz w:val="17"/>
              </w:rPr>
              <w:t xml:space="preserve">1</w:t>
            </w:r>
          </w:p>
        </w:tc>
      </w:tr>
    </w:tbl>
    <w:bookmarkEnd w:id="393"/>
    <w:bookmarkStart w:id="394" w:name="X95d5bfc6a7da34366b7f5eca2e50f8d07bf1d7b"/>
    <w:p>
      <w:pPr>
        <w:pStyle w:val="Heading3"/>
      </w:pPr>
      <w:r>
        <w:t xml:space="preserve">H.1.4 Couverture de la Spécification fonctionnelle et du Dossier Gouverneur</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320"/>
        <w:gridCol w:w="1320"/>
        <w:gridCol w:w="1320"/>
        <w:gridCol w:w="1320"/>
        <w:gridCol w:w="1320"/>
        <w:gridCol w:w="1320"/>
      </w:tblGrid>
      <w:tr>
        <w:trPr>
          <w:tblHeader w:val="on"/>
        </w:trPr>
        <w:tc>
          <w:tcPr>
            <w:shd w:val="clear" w:color="auto" w:fill="232C6B"/>
          </w:tcPr>
          <w:p>
            <w:pPr>
              <w:pStyle w:val="Compact"/>
            </w:pPr>
            <w:r>
              <w:rPr>
                <w:b/>
                <w:color w:val="FFFFFF"/>
                <w:sz w:val="17"/>
              </w:rPr>
              <w:t xml:space="preserve">Bloc</w:t>
            </w:r>
          </w:p>
        </w:tc>
        <w:tc>
          <w:tcPr>
            <w:shd w:val="clear" w:color="auto" w:fill="232C6B"/>
          </w:tcPr>
          <w:p>
            <w:pPr>
              <w:pStyle w:val="Compact"/>
            </w:pPr>
            <w:r>
              <w:rPr>
                <w:b/>
                <w:color w:val="FFFFFF"/>
                <w:sz w:val="17"/>
              </w:rPr>
              <w:t xml:space="preserve">Élém.</w:t>
            </w:r>
          </w:p>
        </w:tc>
        <w:tc>
          <w:tcPr>
            <w:shd w:val="clear" w:color="auto" w:fill="232C6B"/>
          </w:tcPr>
          <w:p>
            <w:pPr>
              <w:pStyle w:val="Compact"/>
            </w:pPr>
            <w:r>
              <w:rPr>
                <w:b/>
                <w:color w:val="FFFFFF"/>
                <w:sz w:val="17"/>
              </w:rPr>
              <w:t xml:space="preserve">C</w:t>
            </w:r>
          </w:p>
        </w:tc>
        <w:tc>
          <w:tcPr>
            <w:shd w:val="clear" w:color="auto" w:fill="232C6B"/>
          </w:tcPr>
          <w:p>
            <w:pPr>
              <w:pStyle w:val="Compact"/>
            </w:pPr>
            <w:r>
              <w:rPr>
                <w:b/>
                <w:color w:val="FFFFFF"/>
                <w:sz w:val="17"/>
              </w:rPr>
              <w:t xml:space="preserve">I</w:t>
            </w:r>
          </w:p>
        </w:tc>
        <w:tc>
          <w:tcPr>
            <w:shd w:val="clear" w:color="auto" w:fill="232C6B"/>
          </w:tcPr>
          <w:p>
            <w:pPr>
              <w:pStyle w:val="Compact"/>
            </w:pPr>
            <w:r>
              <w:rPr>
                <w:b/>
                <w:color w:val="FFFFFF"/>
                <w:sz w:val="17"/>
              </w:rPr>
              <w:t xml:space="preserve">A</w:t>
            </w:r>
          </w:p>
        </w:tc>
        <w:tc>
          <w:tcPr>
            <w:shd w:val="clear" w:color="auto" w:fill="232C6B"/>
          </w:tcPr>
          <w:p>
            <w:pPr>
              <w:pStyle w:val="Compact"/>
            </w:pPr>
            <w:r>
              <w:rPr>
                <w:b/>
                <w:color w:val="FFFFFF"/>
                <w:sz w:val="17"/>
              </w:rPr>
              <w:t xml:space="preserve">Commentaire</w:t>
            </w:r>
          </w:p>
        </w:tc>
      </w:tr>
      <w:tr>
        <w:tc>
          <w:tcPr/>
          <w:p>
            <w:pPr>
              <w:pStyle w:val="Compact"/>
            </w:pPr>
            <w:r>
              <w:rPr>
                <w:sz w:val="17"/>
              </w:rPr>
              <w:t xml:space="preserve">SF — en-tête</w:t>
            </w:r>
          </w:p>
        </w:tc>
        <w:tc>
          <w:tcPr/>
          <w:p>
            <w:pPr>
              <w:pStyle w:val="Compact"/>
            </w:pPr>
            <w:r>
              <w:rPr>
                <w:sz w:val="17"/>
              </w:rPr>
              <w:t xml:space="preserve">3</w:t>
            </w:r>
          </w:p>
        </w:tc>
        <w:tc>
          <w:tcPr/>
          <w:p>
            <w:pPr>
              <w:pStyle w:val="Compact"/>
            </w:pPr>
            <w:r>
              <w:rPr>
                <w:sz w:val="17"/>
              </w:rPr>
              <w:t xml:space="preserve">2</w:t>
            </w:r>
          </w:p>
        </w:tc>
        <w:tc>
          <w:tcPr/>
          <w:p>
            <w:pPr>
              <w:pStyle w:val="Compact"/>
            </w:pPr>
            <w:r>
              <w:rPr>
                <w:sz w:val="17"/>
              </w:rPr>
              <w:t xml:space="preserve">0</w:t>
            </w:r>
          </w:p>
        </w:tc>
        <w:tc>
          <w:tcPr/>
          <w:p>
            <w:pPr>
              <w:pStyle w:val="Compact"/>
            </w:pPr>
            <w:r>
              <w:rPr>
                <w:sz w:val="17"/>
              </w:rPr>
              <w:t xml:space="preserve">1</w:t>
            </w:r>
          </w:p>
        </w:tc>
        <w:tc>
          <w:tcPr/>
          <w:p>
            <w:pPr>
              <w:pStyle w:val="Compact"/>
            </w:pPr>
            <w:r>
              <w:rPr>
                <w:sz w:val="17"/>
              </w:rPr>
              <w:t xml:space="preserve">« La SF prévaut sur… » : la v3.0 prévaut sur la SF (arbitrage ARB-47)</w:t>
            </w:r>
          </w:p>
        </w:tc>
      </w:tr>
      <w:tr>
        <w:tc>
          <w:tcPr>
            <w:shd w:val="clear" w:color="auto" w:fill="F5F7FB"/>
          </w:tcPr>
          <w:p>
            <w:pPr>
              <w:pStyle w:val="Compact"/>
            </w:pPr>
            <w:r>
              <w:rPr>
                <w:sz w:val="17"/>
              </w:rPr>
              <w:t xml:space="preserve">SF — Partie I, principes communs</w:t>
            </w:r>
          </w:p>
        </w:tc>
        <w:tc>
          <w:tcPr>
            <w:shd w:val="clear" w:color="auto" w:fill="F5F7FB"/>
          </w:tcPr>
          <w:p>
            <w:pPr>
              <w:pStyle w:val="Compact"/>
            </w:pPr>
            <w:r>
              <w:rPr>
                <w:sz w:val="17"/>
              </w:rPr>
              <w:t xml:space="preserve">12</w:t>
            </w:r>
          </w:p>
        </w:tc>
        <w:tc>
          <w:tcPr>
            <w:shd w:val="clear" w:color="auto" w:fill="F5F7FB"/>
          </w:tcPr>
          <w:p>
            <w:pPr>
              <w:pStyle w:val="Compact"/>
            </w:pPr>
            <w:r>
              <w:rPr>
                <w:sz w:val="17"/>
              </w:rPr>
              <w:t xml:space="preserve">12</w:t>
            </w:r>
          </w:p>
        </w:tc>
        <w:tc>
          <w:tcPr>
            <w:shd w:val="clear" w:color="auto" w:fill="F5F7FB"/>
          </w:tcPr>
          <w:p>
            <w:pPr>
              <w:pStyle w:val="Compact"/>
            </w:pPr>
            <w:r>
              <w:rPr>
                <w:sz w:val="17"/>
              </w:rPr>
              <w:t xml:space="preserve">0</w:t>
            </w:r>
          </w:p>
        </w:tc>
        <w:tc>
          <w:tcPr>
            <w:shd w:val="clear" w:color="auto" w:fill="F5F7FB"/>
          </w:tcPr>
          <w:p>
            <w:pPr>
              <w:pStyle w:val="Compact"/>
            </w:pPr>
            <w:r>
              <w:rPr>
                <w:sz w:val="17"/>
              </w:rPr>
              <w:t xml:space="preserve">0</w:t>
            </w:r>
          </w:p>
        </w:tc>
        <w:tc>
          <w:tcPr>
            <w:shd w:val="clear" w:color="auto" w:fill="F5F7FB"/>
          </w:tcPr>
          <w:p>
            <w:pPr>
              <w:pStyle w:val="Compact"/>
            </w:pPr>
            <w:r>
              <w:rPr>
                <w:sz w:val="17"/>
              </w:rPr>
              <w:t xml:space="preserve">Repris par les principes P1 à P14 (§ 3.4)</w:t>
            </w:r>
          </w:p>
        </w:tc>
      </w:tr>
      <w:tr>
        <w:tc>
          <w:tcPr/>
          <w:p>
            <w:pPr>
              <w:pStyle w:val="Compact"/>
            </w:pPr>
            <w:r>
              <w:rPr>
                <w:sz w:val="17"/>
              </w:rPr>
              <w:t xml:space="preserve">SF — Partie II, synthèse des releases</w:t>
            </w:r>
          </w:p>
        </w:tc>
        <w:tc>
          <w:tcPr/>
          <w:p>
            <w:pPr>
              <w:pStyle w:val="Compact"/>
            </w:pPr>
            <w:r>
              <w:rPr>
                <w:sz w:val="17"/>
              </w:rPr>
              <w:t xml:space="preserve">17</w:t>
            </w:r>
          </w:p>
        </w:tc>
        <w:tc>
          <w:tcPr/>
          <w:p>
            <w:pPr>
              <w:pStyle w:val="Compact"/>
            </w:pPr>
            <w:r>
              <w:rPr>
                <w:sz w:val="17"/>
              </w:rPr>
              <w:t xml:space="preserve">6</w:t>
            </w:r>
          </w:p>
        </w:tc>
        <w:tc>
          <w:tcPr/>
          <w:p>
            <w:pPr>
              <w:pStyle w:val="Compact"/>
            </w:pPr>
            <w:r>
              <w:rPr>
                <w:sz w:val="17"/>
              </w:rPr>
              <w:t xml:space="preserve">0</w:t>
            </w:r>
          </w:p>
        </w:tc>
        <w:tc>
          <w:tcPr/>
          <w:p>
            <w:pPr>
              <w:pStyle w:val="Compact"/>
            </w:pPr>
            <w:r>
              <w:rPr>
                <w:sz w:val="17"/>
              </w:rPr>
              <w:t xml:space="preserve">11</w:t>
            </w:r>
          </w:p>
        </w:tc>
        <w:tc>
          <w:tcPr/>
          <w:p>
            <w:pPr>
              <w:pStyle w:val="Compact"/>
            </w:pPr>
            <w:r>
              <w:rPr>
                <w:sz w:val="17"/>
              </w:rPr>
              <w:t xml:space="preserve">Releases réalignées sur le calendrier v3.0 (ARB-66) ; historique conservé au § H.28</w:t>
            </w:r>
          </w:p>
        </w:tc>
      </w:tr>
      <w:tr>
        <w:tc>
          <w:tcPr>
            <w:shd w:val="clear" w:color="auto" w:fill="F5F7FB"/>
          </w:tcPr>
          <w:p>
            <w:pPr>
              <w:pStyle w:val="Compact"/>
            </w:pPr>
            <w:r>
              <w:rPr>
                <w:sz w:val="17"/>
              </w:rPr>
              <w:t xml:space="preserve">SF — modules 1 à 58</w:t>
            </w:r>
          </w:p>
        </w:tc>
        <w:tc>
          <w:tcPr>
            <w:shd w:val="clear" w:color="auto" w:fill="F5F7FB"/>
          </w:tcPr>
          <w:p>
            <w:pPr>
              <w:pStyle w:val="Compact"/>
            </w:pPr>
            <w:r>
              <w:rPr>
                <w:sz w:val="17"/>
              </w:rPr>
              <w:t xml:space="preserve">284</w:t>
            </w:r>
          </w:p>
        </w:tc>
        <w:tc>
          <w:tcPr>
            <w:shd w:val="clear" w:color="auto" w:fill="F5F7FB"/>
          </w:tcPr>
          <w:p>
            <w:pPr>
              <w:pStyle w:val="Compact"/>
            </w:pPr>
            <w:r>
              <w:rPr>
                <w:sz w:val="17"/>
              </w:rPr>
              <w:t xml:space="preserve">150</w:t>
            </w:r>
          </w:p>
        </w:tc>
        <w:tc>
          <w:tcPr>
            <w:shd w:val="clear" w:color="auto" w:fill="F5F7FB"/>
          </w:tcPr>
          <w:p>
            <w:pPr>
              <w:pStyle w:val="Compact"/>
            </w:pPr>
            <w:r>
              <w:rPr>
                <w:sz w:val="17"/>
              </w:rPr>
              <w:t xml:space="preserve">130</w:t>
            </w:r>
          </w:p>
        </w:tc>
        <w:tc>
          <w:tcPr>
            <w:shd w:val="clear" w:color="auto" w:fill="F5F7FB"/>
          </w:tcPr>
          <w:p>
            <w:pPr>
              <w:pStyle w:val="Compact"/>
            </w:pPr>
            <w:r>
              <w:rPr>
                <w:sz w:val="17"/>
              </w:rPr>
              <w:t xml:space="preserve">4</w:t>
            </w:r>
          </w:p>
        </w:tc>
        <w:tc>
          <w:tcPr>
            <w:shd w:val="clear" w:color="auto" w:fill="F5F7FB"/>
          </w:tcPr>
          <w:p>
            <w:pPr>
              <w:pStyle w:val="Compact"/>
            </w:pPr>
            <w:r>
              <w:rPr>
                <w:sz w:val="17"/>
              </w:rPr>
              <w:t xml:space="preserve">Fonctions, contrôles, données, intégrations et indicateurs détaillés au § H.28</w:t>
            </w:r>
          </w:p>
        </w:tc>
      </w:tr>
      <w:tr>
        <w:tc>
          <w:tcPr/>
          <w:p>
            <w:pPr>
              <w:pStyle w:val="Compact"/>
            </w:pPr>
            <w:r>
              <w:rPr>
                <w:sz w:val="17"/>
              </w:rPr>
              <w:t xml:space="preserve">SF — modules 59 à 81</w:t>
            </w:r>
          </w:p>
        </w:tc>
        <w:tc>
          <w:tcPr/>
          <w:p>
            <w:pPr>
              <w:pStyle w:val="Compact"/>
            </w:pPr>
            <w:r>
              <w:rPr>
                <w:sz w:val="17"/>
              </w:rPr>
              <w:t xml:space="preserve">100</w:t>
            </w:r>
          </w:p>
        </w:tc>
        <w:tc>
          <w:tcPr/>
          <w:p>
            <w:pPr>
              <w:pStyle w:val="Compact"/>
            </w:pPr>
            <w:r>
              <w:rPr>
                <w:sz w:val="17"/>
              </w:rPr>
              <w:t xml:space="preserve">25</w:t>
            </w:r>
          </w:p>
        </w:tc>
        <w:tc>
          <w:tcPr/>
          <w:p>
            <w:pPr>
              <w:pStyle w:val="Compact"/>
            </w:pPr>
            <w:r>
              <w:rPr>
                <w:sz w:val="17"/>
              </w:rPr>
              <w:t xml:space="preserve">65</w:t>
            </w:r>
          </w:p>
        </w:tc>
        <w:tc>
          <w:tcPr/>
          <w:p>
            <w:pPr>
              <w:pStyle w:val="Compact"/>
            </w:pPr>
            <w:r>
              <w:rPr>
                <w:sz w:val="17"/>
              </w:rPr>
              <w:t xml:space="preserve">10</w:t>
            </w:r>
          </w:p>
        </w:tc>
        <w:tc>
          <w:tcPr/>
          <w:p>
            <w:pPr>
              <w:pStyle w:val="Compact"/>
            </w:pPr>
            <w:r>
              <w:rPr>
                <w:sz w:val="17"/>
              </w:rPr>
              <w:t xml:space="preserve">Idem ; module 73 requalifié (ARB-67)</w:t>
            </w:r>
          </w:p>
        </w:tc>
      </w:tr>
      <w:tr>
        <w:tc>
          <w:tcPr>
            <w:shd w:val="clear" w:color="auto" w:fill="F5F7FB"/>
          </w:tcPr>
          <w:p>
            <w:pPr>
              <w:pStyle w:val="Compact"/>
            </w:pPr>
            <w:r>
              <w:rPr>
                <w:sz w:val="17"/>
              </w:rPr>
              <w:t xml:space="preserve">SF — Partie V, verticales</w:t>
            </w:r>
          </w:p>
        </w:tc>
        <w:tc>
          <w:tcPr>
            <w:shd w:val="clear" w:color="auto" w:fill="F5F7FB"/>
          </w:tcPr>
          <w:p>
            <w:pPr>
              <w:pStyle w:val="Compact"/>
            </w:pPr>
            <w:r>
              <w:rPr>
                <w:sz w:val="17"/>
              </w:rPr>
              <w:t xml:space="preserve">19</w:t>
            </w:r>
          </w:p>
        </w:tc>
        <w:tc>
          <w:tcPr>
            <w:shd w:val="clear" w:color="auto" w:fill="F5F7FB"/>
          </w:tcPr>
          <w:p>
            <w:pPr>
              <w:pStyle w:val="Compact"/>
            </w:pPr>
            <w:r>
              <w:rPr>
                <w:sz w:val="17"/>
              </w:rPr>
              <w:t xml:space="preserve">3</w:t>
            </w:r>
          </w:p>
        </w:tc>
        <w:tc>
          <w:tcPr>
            <w:shd w:val="clear" w:color="auto" w:fill="F5F7FB"/>
          </w:tcPr>
          <w:p>
            <w:pPr>
              <w:pStyle w:val="Compact"/>
            </w:pPr>
            <w:r>
              <w:rPr>
                <w:sz w:val="17"/>
              </w:rPr>
              <w:t xml:space="preserve">14</w:t>
            </w:r>
          </w:p>
        </w:tc>
        <w:tc>
          <w:tcPr>
            <w:shd w:val="clear" w:color="auto" w:fill="F5F7FB"/>
          </w:tcPr>
          <w:p>
            <w:pPr>
              <w:pStyle w:val="Compact"/>
            </w:pPr>
            <w:r>
              <w:rPr>
                <w:sz w:val="17"/>
              </w:rPr>
              <w:t xml:space="preserve">2</w:t>
            </w:r>
          </w:p>
        </w:tc>
        <w:tc>
          <w:tcPr>
            <w:shd w:val="clear" w:color="auto" w:fill="F5F7FB"/>
          </w:tcPr>
          <w:p>
            <w:pPr>
              <w:pStyle w:val="Compact"/>
            </w:pPr>
            <w:r>
              <w:rPr>
                <w:sz w:val="17"/>
              </w:rPr>
              <w:t xml:space="preserve">§ H.27 (17 verticales)</w:t>
            </w:r>
          </w:p>
        </w:tc>
      </w:tr>
      <w:tr>
        <w:tc>
          <w:tcPr/>
          <w:p>
            <w:pPr>
              <w:pStyle w:val="Compact"/>
            </w:pPr>
            <w:r>
              <w:rPr>
                <w:sz w:val="17"/>
              </w:rPr>
              <w:t xml:space="preserve">DG</w:t>
            </w:r>
          </w:p>
        </w:tc>
        <w:tc>
          <w:tcPr/>
          <w:p>
            <w:pPr>
              <w:pStyle w:val="Compact"/>
            </w:pPr>
            <w:r>
              <w:rPr>
                <w:sz w:val="17"/>
              </w:rPr>
              <w:t xml:space="preserve">19</w:t>
            </w:r>
          </w:p>
        </w:tc>
        <w:tc>
          <w:tcPr/>
          <w:p>
            <w:pPr>
              <w:pStyle w:val="Compact"/>
            </w:pPr>
            <w:r>
              <w:rPr>
                <w:sz w:val="17"/>
              </w:rPr>
              <w:t xml:space="preserve">15</w:t>
            </w:r>
          </w:p>
        </w:tc>
        <w:tc>
          <w:tcPr/>
          <w:p>
            <w:pPr>
              <w:pStyle w:val="Compact"/>
            </w:pPr>
            <w:r>
              <w:rPr>
                <w:sz w:val="17"/>
              </w:rPr>
              <w:t xml:space="preserve">1</w:t>
            </w:r>
          </w:p>
        </w:tc>
        <w:tc>
          <w:tcPr/>
          <w:p>
            <w:pPr>
              <w:pStyle w:val="Compact"/>
            </w:pPr>
            <w:r>
              <w:rPr>
                <w:sz w:val="17"/>
              </w:rPr>
              <w:t xml:space="preserve">3</w:t>
            </w:r>
          </w:p>
        </w:tc>
        <w:tc>
          <w:tcPr/>
          <w:p>
            <w:pPr>
              <w:pStyle w:val="Compact"/>
            </w:pPr>
            <w:r>
              <w:rPr>
                <w:sz w:val="17"/>
              </w:rPr>
              <w:t xml:space="preserve">Cinq piliers, seize verticales, feuille de route en « phases » = lots</w:t>
            </w:r>
          </w:p>
        </w:tc>
      </w:tr>
      <w:tr>
        <w:tc>
          <w:tcPr>
            <w:shd w:val="clear" w:color="auto" w:fill="F5F7FB"/>
          </w:tcPr>
          <w:p>
            <w:pPr>
              <w:pStyle w:val="Compact"/>
            </w:pPr>
            <w:r>
              <w:rPr>
                <w:sz w:val="17"/>
              </w:rPr>
              <w:t xml:space="preserve">NE</w:t>
            </w:r>
          </w:p>
        </w:tc>
        <w:tc>
          <w:tcPr>
            <w:shd w:val="clear" w:color="auto" w:fill="F5F7FB"/>
          </w:tcPr>
          <w:p>
            <w:pPr>
              <w:pStyle w:val="Compact"/>
            </w:pPr>
            <w:r>
              <w:rPr>
                <w:sz w:val="17"/>
              </w:rPr>
              <w:t xml:space="preserve">4</w:t>
            </w:r>
          </w:p>
        </w:tc>
        <w:tc>
          <w:tcPr>
            <w:shd w:val="clear" w:color="auto" w:fill="F5F7FB"/>
          </w:tcPr>
          <w:p>
            <w:pPr>
              <w:pStyle w:val="Compact"/>
            </w:pPr>
            <w:r>
              <w:rPr>
                <w:sz w:val="17"/>
              </w:rPr>
              <w:t xml:space="preserve">2</w:t>
            </w:r>
          </w:p>
        </w:tc>
        <w:tc>
          <w:tcPr>
            <w:shd w:val="clear" w:color="auto" w:fill="F5F7FB"/>
          </w:tcPr>
          <w:p>
            <w:pPr>
              <w:pStyle w:val="Compact"/>
            </w:pPr>
            <w:r>
              <w:rPr>
                <w:sz w:val="17"/>
              </w:rPr>
              <w:t xml:space="preserve">0</w:t>
            </w:r>
          </w:p>
        </w:tc>
        <w:tc>
          <w:tcPr>
            <w:shd w:val="clear" w:color="auto" w:fill="F5F7FB"/>
          </w:tcPr>
          <w:p>
            <w:pPr>
              <w:pStyle w:val="Compact"/>
            </w:pPr>
            <w:r>
              <w:rPr>
                <w:sz w:val="17"/>
              </w:rPr>
              <w:t xml:space="preserve">2</w:t>
            </w:r>
          </w:p>
        </w:tc>
        <w:tc>
          <w:tcPr>
            <w:shd w:val="clear" w:color="auto" w:fill="F5F7FB"/>
          </w:tcPr>
          <w:p>
            <w:pPr>
              <w:pStyle w:val="Compact"/>
            </w:pPr>
            <w:r>
              <w:rPr>
                <w:sz w:val="17"/>
              </w:rPr>
              <w:t xml:space="preserve">La ligne « Contrat : forfait et primes, aucun pourcentage »</w:t>
            </w:r>
            <w:r>
              <w:rPr>
                <w:sz w:val="17"/>
              </w:rPr>
              <w:t xml:space="preserve"> </w:t>
            </w:r>
            <w:r>
              <w:rPr>
                <w:b/>
                <w:bCs/>
                <w:sz w:val="17"/>
              </w:rPr>
              <w:t xml:space="preserve">fonde</w:t>
            </w:r>
            <w:r>
              <w:rPr>
                <w:sz w:val="17"/>
              </w:rPr>
              <w:t xml:space="preserve"> </w:t>
            </w:r>
            <w:r>
              <w:rPr>
                <w:sz w:val="17"/>
              </w:rPr>
              <w:t xml:space="preserve">la position v3.0 (§ 37)</w:t>
            </w:r>
          </w:p>
        </w:tc>
      </w:tr>
    </w:tbl>
    <w:bookmarkEnd w:id="394"/>
    <w:bookmarkStart w:id="398" w:name="X132dd0727223250dd65fcca5504efac01748b81"/>
    <w:p>
      <w:pPr>
        <w:pStyle w:val="Heading3"/>
      </w:pPr>
      <w:r>
        <w:t xml:space="preserve">H.1.5 Règles de réécriture appliquées aux éléments intégrés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w:t>
            </w:r>
          </w:p>
        </w:tc>
        <w:tc>
          <w:tcPr>
            <w:shd w:val="clear" w:color="auto" w:fill="232C6B"/>
          </w:tcPr>
          <w:p>
            <w:pPr>
              <w:pStyle w:val="Compact"/>
            </w:pPr>
            <w:r>
              <w:rPr>
                <w:b/>
                <w:color w:val="FFFFFF"/>
                <w:sz w:val="17"/>
              </w:rPr>
              <w:t xml:space="preserve">Règle</w:t>
            </w:r>
          </w:p>
        </w:tc>
        <w:tc>
          <w:tcPr>
            <w:shd w:val="clear" w:color="auto" w:fill="232C6B"/>
          </w:tcPr>
          <w:p>
            <w:pPr>
              <w:pStyle w:val="Compact"/>
            </w:pPr>
            <w:r>
              <w:rPr>
                <w:b/>
                <w:color w:val="FFFFFF"/>
                <w:sz w:val="17"/>
              </w:rPr>
              <w:t xml:space="preserve">Effet sur le contenu repris des sources</w:t>
            </w:r>
          </w:p>
        </w:tc>
      </w:tr>
      <w:tr>
        <w:tc>
          <w:tcPr/>
          <w:p>
            <w:pPr>
              <w:pStyle w:val="Compact"/>
            </w:pPr>
            <w:r>
              <w:rPr>
                <w:sz w:val="17"/>
              </w:rPr>
              <w:t xml:space="preserve">RW1</w:t>
            </w:r>
          </w:p>
        </w:tc>
        <w:tc>
          <w:tcPr/>
          <w:p>
            <w:pPr>
              <w:pStyle w:val="Compact"/>
            </w:pPr>
            <w:r>
              <w:rPr>
                <w:b/>
                <w:bCs/>
                <w:sz w:val="17"/>
              </w:rPr>
              <w:t xml:space="preserve">L’agent constate, l’autorité décide</w:t>
            </w:r>
          </w:p>
        </w:tc>
        <w:tc>
          <w:tcPr/>
          <w:p>
            <w:pPr>
              <w:pStyle w:val="Compact"/>
            </w:pPr>
            <w:r>
              <w:rPr>
                <w:sz w:val="17"/>
              </w:rPr>
              <w:t xml:space="preserve">Toute formulation source du type « pénalité appliquée », « blocage », « fourrière priorisée », « suspension automatique », « facturation automatique », « gel » est réécrite selon le circuit ci-dessous</w:t>
            </w:r>
          </w:p>
        </w:tc>
      </w:tr>
      <w:tr>
        <w:tc>
          <w:tcPr>
            <w:shd w:val="clear" w:color="auto" w:fill="F5F7FB"/>
          </w:tcPr>
          <w:p>
            <w:pPr>
              <w:pStyle w:val="Compact"/>
            </w:pPr>
            <w:r>
              <w:rPr>
                <w:sz w:val="17"/>
              </w:rPr>
              <w:t xml:space="preserve">RW2</w:t>
            </w:r>
          </w:p>
        </w:tc>
        <w:tc>
          <w:tcPr>
            <w:shd w:val="clear" w:color="auto" w:fill="F5F7FB"/>
          </w:tcPr>
          <w:p>
            <w:pPr>
              <w:pStyle w:val="Compact"/>
            </w:pPr>
            <w:r>
              <w:rPr>
                <w:b/>
                <w:bCs/>
                <w:sz w:val="17"/>
              </w:rPr>
              <w:t xml:space="preserve">Zéro espèce entre les mains des agents</w:t>
            </w:r>
          </w:p>
        </w:tc>
        <w:tc>
          <w:tcPr>
            <w:shd w:val="clear" w:color="auto" w:fill="F5F7FB"/>
          </w:tcPr>
          <w:p>
            <w:pPr>
              <w:pStyle w:val="Compact"/>
            </w:pPr>
            <w:r>
              <w:rPr>
                <w:sz w:val="17"/>
              </w:rPr>
              <w:t xml:space="preserve">Les espèces ne sont reçues que par un point de paiement agréé et régulé (§ 18.2), avec règlement quotidien ; jamais par un agent public, un sous-traitant, un contrôleur, un placier, un vendeur non référencé</w:t>
            </w:r>
          </w:p>
        </w:tc>
      </w:tr>
      <w:tr>
        <w:tc>
          <w:tcPr/>
          <w:p>
            <w:pPr>
              <w:pStyle w:val="Compact"/>
            </w:pPr>
            <w:r>
              <w:rPr>
                <w:sz w:val="17"/>
              </w:rPr>
              <w:t xml:space="preserve">RW3</w:t>
            </w:r>
          </w:p>
        </w:tc>
        <w:tc>
          <w:tcPr/>
          <w:p>
            <w:pPr>
              <w:pStyle w:val="Compact"/>
            </w:pPr>
            <w:r>
              <w:rPr>
                <w:b/>
                <w:bCs/>
                <w:sz w:val="17"/>
              </w:rPr>
              <w:t xml:space="preserve">Aucune activation sans certification</w:t>
            </w:r>
          </w:p>
        </w:tc>
        <w:tc>
          <w:tcPr/>
          <w:p>
            <w:pPr>
              <w:pStyle w:val="Compact"/>
            </w:pPr>
            <w:r>
              <w:rPr>
                <w:sz w:val="17"/>
              </w:rPr>
              <w:t xml:space="preserve">Chaque verticale et chaque tarif repris est une règle au statut</w:t>
            </w:r>
            <w:r>
              <w:rPr>
                <w:sz w:val="17"/>
              </w:rPr>
              <w:t xml:space="preserve"> </w:t>
            </w:r>
            <w:r>
              <w:rPr>
                <w:rStyle w:val="VerbatimChar"/>
                <w:sz w:val="17"/>
              </w:rPr>
              <w:t xml:space="preserve">A_VERIFIER</w:t>
            </w:r>
            <w:r>
              <w:rPr>
                <w:sz w:val="17"/>
              </w:rPr>
              <w:t xml:space="preserve"> </w:t>
            </w:r>
            <w:r>
              <w:rPr>
                <w:sz w:val="17"/>
              </w:rPr>
              <w:t xml:space="preserve">ou</w:t>
            </w:r>
            <w:r>
              <w:rPr>
                <w:sz w:val="17"/>
              </w:rPr>
              <w:t xml:space="preserve"> </w:t>
            </w:r>
            <w:r>
              <w:rPr>
                <w:rStyle w:val="VerbatimChar"/>
                <w:sz w:val="17"/>
              </w:rPr>
              <w:t xml:space="preserve">ACTE_REQUIS</w:t>
            </w:r>
            <w:r>
              <w:rPr>
                <w:sz w:val="17"/>
              </w:rPr>
              <w:t xml:space="preserve"> </w:t>
            </w:r>
            <w:r>
              <w:rPr>
                <w:sz w:val="17"/>
              </w:rPr>
              <w:t xml:space="preserve">jusqu’à certification (§ 6.12)</w:t>
            </w:r>
          </w:p>
        </w:tc>
      </w:tr>
      <w:tr>
        <w:tc>
          <w:tcPr>
            <w:shd w:val="clear" w:color="auto" w:fill="F5F7FB"/>
          </w:tcPr>
          <w:p>
            <w:pPr>
              <w:pStyle w:val="Compact"/>
            </w:pPr>
            <w:r>
              <w:rPr>
                <w:sz w:val="17"/>
              </w:rPr>
              <w:t xml:space="preserve">RW4</w:t>
            </w:r>
          </w:p>
        </w:tc>
        <w:tc>
          <w:tcPr>
            <w:shd w:val="clear" w:color="auto" w:fill="F5F7FB"/>
          </w:tcPr>
          <w:p>
            <w:pPr>
              <w:pStyle w:val="Compact"/>
            </w:pPr>
            <w:r>
              <w:rPr>
                <w:b/>
                <w:bCs/>
                <w:sz w:val="17"/>
              </w:rPr>
              <w:t xml:space="preserve">Chiffres marqués</w:t>
            </w:r>
          </w:p>
        </w:tc>
        <w:tc>
          <w:tcPr>
            <w:shd w:val="clear" w:color="auto" w:fill="F5F7FB"/>
          </w:tcPr>
          <w:p>
            <w:pPr>
              <w:pStyle w:val="Compact"/>
            </w:pPr>
            <w:r>
              <w:rPr>
                <w:sz w:val="17"/>
              </w:rPr>
              <w:t xml:space="preserve">Les estimations des dossiers sectoriels (wewa, AVIA, stationnement, exemples financiers) portent [À VÉRIFIER] ou [EXEMPLE]</w:t>
            </w:r>
          </w:p>
        </w:tc>
      </w:tr>
      <w:tr>
        <w:tc>
          <w:tcPr/>
          <w:p>
            <w:pPr>
              <w:pStyle w:val="Compact"/>
            </w:pPr>
            <w:r>
              <w:rPr>
                <w:sz w:val="17"/>
              </w:rPr>
              <w:t xml:space="preserve">RW5</w:t>
            </w:r>
          </w:p>
        </w:tc>
        <w:tc>
          <w:tcPr/>
          <w:p>
            <w:pPr>
              <w:pStyle w:val="Compact"/>
            </w:pPr>
            <w:r>
              <w:rPr>
                <w:b/>
                <w:bCs/>
                <w:sz w:val="17"/>
              </w:rPr>
              <w:t xml:space="preserve">Calendrier v3.0</w:t>
            </w:r>
          </w:p>
        </w:tc>
        <w:tc>
          <w:tcPr/>
          <w:p>
            <w:pPr>
              <w:pStyle w:val="Compact"/>
            </w:pPr>
            <w:r>
              <w:rPr>
                <w:sz w:val="17"/>
              </w:rPr>
              <w:t xml:space="preserve">Les releases citées sont celles de la v3.0 (R0 déc. 2026, R1 avril 2027, R2 oct. 2027, R3 mars 2028, R4 déc. 2028 — § 43) ; la release source est donnée pour mémoire</w:t>
            </w:r>
          </w:p>
        </w:tc>
      </w:tr>
      <w:tr>
        <w:tc>
          <w:tcPr>
            <w:shd w:val="clear" w:color="auto" w:fill="F5F7FB"/>
          </w:tcPr>
          <w:p>
            <w:pPr>
              <w:pStyle w:val="Compact"/>
            </w:pPr>
            <w:r>
              <w:rPr>
                <w:sz w:val="17"/>
              </w:rPr>
              <w:t xml:space="preserve">RW6</w:t>
            </w:r>
          </w:p>
        </w:tc>
        <w:tc>
          <w:tcPr>
            <w:shd w:val="clear" w:color="auto" w:fill="F5F7FB"/>
          </w:tcPr>
          <w:p>
            <w:pPr>
              <w:pStyle w:val="Compact"/>
            </w:pPr>
            <w:r>
              <w:rPr>
                <w:b/>
                <w:bCs/>
                <w:sz w:val="17"/>
              </w:rPr>
              <w:t xml:space="preserve">Aucun partage automatique de recettes</w:t>
            </w:r>
          </w:p>
        </w:tc>
        <w:tc>
          <w:tcPr>
            <w:shd w:val="clear" w:color="auto" w:fill="F5F7FB"/>
          </w:tcPr>
          <w:p>
            <w:pPr>
              <w:pStyle w:val="Compact"/>
            </w:pPr>
            <w:r>
              <w:rPr>
                <w:sz w:val="17"/>
              </w:rPr>
              <w:t xml:space="preserve">Toute mention de la clé 10/10/10/70, de la « réserve de 10 % », des « deux flux de décaissement » ou de la « part de 10 % du ministère de tutelle » est remplacée par : clés</w:t>
            </w:r>
            <w:r>
              <w:rPr>
                <w:sz w:val="17"/>
              </w:rPr>
              <w:t xml:space="preserve"> </w:t>
            </w:r>
            <w:r>
              <w:rPr>
                <w:b/>
                <w:bCs/>
                <w:sz w:val="17"/>
              </w:rPr>
              <w:t xml:space="preserve">légales</w:t>
            </w:r>
            <w:r>
              <w:rPr>
                <w:sz w:val="17"/>
              </w:rPr>
              <w:t xml:space="preserve"> </w:t>
            </w:r>
            <w:r>
              <w:rPr>
                <w:sz w:val="17"/>
              </w:rPr>
              <w:t xml:space="preserve">de répartition (module 73), rémunération contractuelle des prestataires et sous-traitants</w:t>
            </w:r>
            <w:r>
              <w:rPr>
                <w:sz w:val="17"/>
              </w:rPr>
              <w:t xml:space="preserve"> </w:t>
            </w:r>
            <w:r>
              <w:rPr>
                <w:b/>
                <w:bCs/>
                <w:sz w:val="17"/>
              </w:rPr>
              <w:t xml:space="preserve">sur crédit budgétaire</w:t>
            </w:r>
            <w:r>
              <w:rPr>
                <w:sz w:val="17"/>
              </w:rPr>
              <w:t xml:space="preserve">, incitations des agents</w:t>
            </w:r>
            <w:r>
              <w:rPr>
                <w:sz w:val="17"/>
              </w:rPr>
              <w:t xml:space="preserve"> </w:t>
            </w:r>
            <w:r>
              <w:rPr>
                <w:b/>
                <w:bCs/>
                <w:sz w:val="17"/>
              </w:rPr>
              <w:t xml:space="preserve">uniquement si un texte les prévoit</w:t>
            </w:r>
            <w:r>
              <w:rPr>
                <w:sz w:val="17"/>
              </w:rPr>
              <w:t xml:space="preserve"> </w:t>
            </w:r>
            <w:r>
              <w:rPr>
                <w:sz w:val="17"/>
              </w:rPr>
              <w:t xml:space="preserve">(§ 27.2)</w:t>
            </w:r>
          </w:p>
        </w:tc>
      </w:tr>
    </w:tbl>
    <w:p>
      <w:pPr>
        <w:pStyle w:val="BodyText"/>
      </w:pPr>
      <w:r>
        <w:drawing>
          <wp:inline>
            <wp:extent cx="6108700" cy="911629"/>
            <wp:effectExtent b="0" l="0" r="0" t="0"/>
            <wp:docPr descr="" title="" id="396" name="Picture"/>
            <a:graphic>
              <a:graphicData uri="http://schemas.openxmlformats.org/drawingml/2006/picture">
                <pic:pic>
                  <pic:nvPicPr>
                    <pic:cNvPr descr="figures/mermaid/mmd-f849c3702b34.png" id="397" name="Picture"/>
                    <pic:cNvPicPr>
                      <a:picLocks noChangeArrowheads="1" noChangeAspect="1"/>
                    </pic:cNvPicPr>
                  </pic:nvPicPr>
                  <pic:blipFill>
                    <a:blip r:embed="rId395"/>
                    <a:stretch>
                      <a:fillRect/>
                    </a:stretch>
                  </pic:blipFill>
                  <pic:spPr bwMode="auto">
                    <a:xfrm>
                      <a:off x="0" y="0"/>
                      <a:ext cx="6108700" cy="911629"/>
                    </a:xfrm>
                    <a:prstGeom prst="rect">
                      <a:avLst/>
                    </a:prstGeom>
                    <a:noFill/>
                    <a:ln w="9525">
                      <a:noFill/>
                      <a:headEnd/>
                      <a:tailEnd/>
                    </a:ln>
                  </pic:spPr>
                </pic:pic>
              </a:graphicData>
            </a:graphic>
          </wp:inline>
        </w:drawing>
      </w:r>
    </w:p>
    <w:p>
      <w:pPr>
        <w:pStyle w:val="BodyText"/>
      </w:pPr>
      <w:r>
        <w:rPr>
          <w:i/>
          <w:iCs/>
        </w:rPr>
        <w:t xml:space="preserve">Circuit unique de toute mesure défavorable (RW1), applicable à toutes les verticales de la présente annexe.</w:t>
      </w:r>
    </w:p>
    <w:bookmarkEnd w:id="398"/>
    <w:bookmarkEnd w:id="399"/>
    <w:bookmarkStart w:id="404" w:name="h.2-chapitres-1-à-5-compléments-décider"/>
    <w:p>
      <w:pPr>
        <w:pStyle w:val="Heading2"/>
      </w:pPr>
      <w:r>
        <w:t xml:space="preserve">H.2 Chapitres 1 à 5 — Compléments « Décider »</w:t>
      </w:r>
    </w:p>
    <w:bookmarkStart w:id="400" w:name="Xe7b65968b9f120f8dd82c2c6505ba1c59db8906"/>
    <w:p>
      <w:pPr>
        <w:pStyle w:val="Heading3"/>
      </w:pPr>
      <w:r>
        <w:t xml:space="preserve">H.2.1 Les sept piliers de la note exécutive</w:t>
      </w:r>
    </w:p>
    <w:p>
      <w:pPr>
        <w:pStyle w:val="FirstParagraph"/>
      </w:pPr>
      <w:r>
        <w:t xml:space="preserve">La Note exécutive intégrée au Cahier présentait sept piliers ; le Dossier Gouverneur n’en retenait que cinq (sans « Verrouiller » ni « Encadrer l’IA »). La v3.0 les couvre tous, sous forme de principes et de chapitres :</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w:t>
            </w:r>
          </w:p>
        </w:tc>
        <w:tc>
          <w:tcPr>
            <w:shd w:val="clear" w:color="auto" w:fill="232C6B"/>
          </w:tcPr>
          <w:p>
            <w:pPr>
              <w:pStyle w:val="Compact"/>
            </w:pPr>
            <w:r>
              <w:rPr>
                <w:b/>
                <w:color w:val="FFFFFF"/>
                <w:sz w:val="17"/>
              </w:rPr>
              <w:t xml:space="preserve">Pilier</w:t>
            </w:r>
          </w:p>
        </w:tc>
        <w:tc>
          <w:tcPr>
            <w:shd w:val="clear" w:color="auto" w:fill="232C6B"/>
          </w:tcPr>
          <w:p>
            <w:pPr>
              <w:pStyle w:val="Compact"/>
            </w:pPr>
            <w:r>
              <w:rPr>
                <w:b/>
                <w:color w:val="FFFFFF"/>
                <w:sz w:val="17"/>
              </w:rPr>
              <w:t xml:space="preserve">Contenu source</w:t>
            </w:r>
          </w:p>
        </w:tc>
        <w:tc>
          <w:tcPr>
            <w:shd w:val="clear" w:color="auto" w:fill="232C6B"/>
          </w:tcPr>
          <w:p>
            <w:pPr>
              <w:pStyle w:val="Compact"/>
            </w:pPr>
            <w:r>
              <w:rPr>
                <w:b/>
                <w:color w:val="FFFFFF"/>
                <w:sz w:val="17"/>
              </w:rPr>
              <w:t xml:space="preserve">Destination v3.0</w:t>
            </w:r>
          </w:p>
        </w:tc>
      </w:tr>
      <w:tr>
        <w:tc>
          <w:tcPr/>
          <w:p>
            <w:pPr>
              <w:pStyle w:val="Compact"/>
            </w:pPr>
            <w:r>
              <w:rPr>
                <w:sz w:val="17"/>
              </w:rPr>
              <w:t xml:space="preserve">1</w:t>
            </w:r>
          </w:p>
        </w:tc>
        <w:tc>
          <w:tcPr/>
          <w:p>
            <w:pPr>
              <w:pStyle w:val="Compact"/>
            </w:pPr>
            <w:r>
              <w:rPr>
                <w:sz w:val="17"/>
              </w:rPr>
              <w:t xml:space="preserve">RECENSER — un compte MOSOLO</w:t>
            </w:r>
          </w:p>
        </w:tc>
        <w:tc>
          <w:tcPr/>
          <w:p>
            <w:pPr>
              <w:pStyle w:val="Compact"/>
            </w:pPr>
            <w:r>
              <w:rPr>
                <w:sz w:val="17"/>
              </w:rPr>
              <w:t xml:space="preserve">Un compte principal par personne ou organisation, relié aux rôles, biens, activités, véhicules, locations, autorisations et obligations</w:t>
            </w:r>
          </w:p>
        </w:tc>
        <w:tc>
          <w:tcPr/>
          <w:p>
            <w:pPr>
              <w:pStyle w:val="Compact"/>
            </w:pPr>
            <w:r>
              <w:rPr>
                <w:sz w:val="17"/>
              </w:rPr>
              <w:t xml:space="preserve">Ch. 9 ; P3</w:t>
            </w:r>
          </w:p>
        </w:tc>
      </w:tr>
      <w:tr>
        <w:tc>
          <w:tcPr>
            <w:shd w:val="clear" w:color="auto" w:fill="F5F7FB"/>
          </w:tcPr>
          <w:p>
            <w:pPr>
              <w:pStyle w:val="Compact"/>
            </w:pPr>
            <w:r>
              <w:rPr>
                <w:sz w:val="17"/>
              </w:rPr>
              <w:t xml:space="preserve">2</w:t>
            </w:r>
          </w:p>
        </w:tc>
        <w:tc>
          <w:tcPr>
            <w:shd w:val="clear" w:color="auto" w:fill="F5F7FB"/>
          </w:tcPr>
          <w:p>
            <w:pPr>
              <w:pStyle w:val="Compact"/>
            </w:pPr>
            <w:r>
              <w:rPr>
                <w:sz w:val="17"/>
              </w:rPr>
              <w:t xml:space="preserve">LOCALISER — un SIG fiscal unique</w:t>
            </w:r>
          </w:p>
        </w:tc>
        <w:tc>
          <w:tcPr>
            <w:shd w:val="clear" w:color="auto" w:fill="F5F7FB"/>
          </w:tcPr>
          <w:p>
            <w:pPr>
              <w:pStyle w:val="Compact"/>
            </w:pPr>
            <w:r>
              <w:rPr>
                <w:sz w:val="17"/>
              </w:rPr>
              <w:t xml:space="preserve">Commune → quartier → avenue → parcelle → bâtiment → unité → activité ; identifiant géographique fiscal</w:t>
            </w:r>
          </w:p>
        </w:tc>
        <w:tc>
          <w:tcPr>
            <w:shd w:val="clear" w:color="auto" w:fill="F5F7FB"/>
          </w:tcPr>
          <w:p>
            <w:pPr>
              <w:pStyle w:val="Compact"/>
            </w:pPr>
            <w:r>
              <w:rPr>
                <w:sz w:val="17"/>
              </w:rPr>
              <w:t xml:space="preserve">Ch. 17</w:t>
            </w:r>
          </w:p>
        </w:tc>
      </w:tr>
      <w:tr>
        <w:tc>
          <w:tcPr/>
          <w:p>
            <w:pPr>
              <w:pStyle w:val="Compact"/>
            </w:pPr>
            <w:r>
              <w:rPr>
                <w:sz w:val="17"/>
              </w:rPr>
              <w:t xml:space="preserve">3</w:t>
            </w:r>
          </w:p>
        </w:tc>
        <w:tc>
          <w:tcPr/>
          <w:p>
            <w:pPr>
              <w:pStyle w:val="Compact"/>
            </w:pPr>
            <w:r>
              <w:rPr>
                <w:sz w:val="17"/>
              </w:rPr>
              <w:t xml:space="preserve">CALCULER LÉGALEMENT</w:t>
            </w:r>
          </w:p>
        </w:tc>
        <w:tc>
          <w:tcPr/>
          <w:p>
            <w:pPr>
              <w:pStyle w:val="Compact"/>
            </w:pPr>
            <w:r>
              <w:rPr>
                <w:sz w:val="17"/>
              </w:rPr>
              <w:t xml:space="preserve">Moteur juridique ; aucune règle non versionnée, validée, approuvée, datée, auditable ; taux non confirmés jamais codés en dur</w:t>
            </w:r>
          </w:p>
        </w:tc>
        <w:tc>
          <w:tcPr/>
          <w:p>
            <w:pPr>
              <w:pStyle w:val="Compact"/>
            </w:pPr>
            <w:r>
              <w:rPr>
                <w:sz w:val="17"/>
              </w:rPr>
              <w:t xml:space="preserve">Ch. 6 ; P1, P2</w:t>
            </w:r>
          </w:p>
        </w:tc>
      </w:tr>
      <w:tr>
        <w:tc>
          <w:tcPr>
            <w:shd w:val="clear" w:color="auto" w:fill="F5F7FB"/>
          </w:tcPr>
          <w:p>
            <w:pPr>
              <w:pStyle w:val="Compact"/>
            </w:pPr>
            <w:r>
              <w:rPr>
                <w:sz w:val="17"/>
              </w:rPr>
              <w:t xml:space="preserve">4</w:t>
            </w:r>
          </w:p>
        </w:tc>
        <w:tc>
          <w:tcPr>
            <w:shd w:val="clear" w:color="auto" w:fill="F5F7FB"/>
          </w:tcPr>
          <w:p>
            <w:pPr>
              <w:pStyle w:val="Compact"/>
            </w:pPr>
            <w:r>
              <w:rPr>
                <w:sz w:val="17"/>
              </w:rPr>
              <w:t xml:space="preserve">SÉCURISER LE FRANC PUBLIC</w:t>
            </w:r>
          </w:p>
        </w:tc>
        <w:tc>
          <w:tcPr>
            <w:shd w:val="clear" w:color="auto" w:fill="F5F7FB"/>
          </w:tcPr>
          <w:p>
            <w:pPr>
              <w:pStyle w:val="Compact"/>
            </w:pPr>
            <w:r>
              <w:rPr>
                <w:sz w:val="17"/>
              </w:rPr>
              <w:t xml:space="preserve">Référence unique → paiement → confirmation → règlement → rapprochement → comptabilisation → quittance vérifiable</w:t>
            </w:r>
          </w:p>
        </w:tc>
        <w:tc>
          <w:tcPr>
            <w:shd w:val="clear" w:color="auto" w:fill="F5F7FB"/>
          </w:tcPr>
          <w:p>
            <w:pPr>
              <w:pStyle w:val="Compact"/>
            </w:pPr>
            <w:r>
              <w:rPr>
                <w:sz w:val="17"/>
              </w:rPr>
              <w:t xml:space="preserve">Ch. 18 à 20 ; P5</w:t>
            </w:r>
          </w:p>
        </w:tc>
      </w:tr>
      <w:tr>
        <w:tc>
          <w:tcPr/>
          <w:p>
            <w:pPr>
              <w:pStyle w:val="Compact"/>
            </w:pPr>
            <w:r>
              <w:rPr>
                <w:sz w:val="17"/>
              </w:rPr>
              <w:t xml:space="preserve">5</w:t>
            </w:r>
          </w:p>
        </w:tc>
        <w:tc>
          <w:tcPr/>
          <w:p>
            <w:pPr>
              <w:pStyle w:val="Compact"/>
            </w:pPr>
            <w:r>
              <w:rPr>
                <w:sz w:val="17"/>
              </w:rPr>
              <w:t xml:space="preserve">DÉCIDER AVEC LA PREUVE</w:t>
            </w:r>
          </w:p>
        </w:tc>
        <w:tc>
          <w:tcPr/>
          <w:p>
            <w:pPr>
              <w:pStyle w:val="Compact"/>
            </w:pPr>
            <w:r>
              <w:rPr>
                <w:sz w:val="17"/>
              </w:rPr>
              <w:t xml:space="preserve">Centre de commandement distinguant potentiel, assiette vérifiée, liquidé, exigible, impayé, payé, réglé, rapproché, comptabilisé</w:t>
            </w:r>
          </w:p>
        </w:tc>
        <w:tc>
          <w:tcPr/>
          <w:p>
            <w:pPr>
              <w:pStyle w:val="Compact"/>
            </w:pPr>
            <w:r>
              <w:rPr>
                <w:sz w:val="17"/>
              </w:rPr>
              <w:t xml:space="preserve">Ch. 26 ; § H.14</w:t>
            </w:r>
          </w:p>
        </w:tc>
      </w:tr>
      <w:tr>
        <w:tc>
          <w:tcPr>
            <w:shd w:val="clear" w:color="auto" w:fill="F5F7FB"/>
          </w:tcPr>
          <w:p>
            <w:pPr>
              <w:pStyle w:val="Compact"/>
            </w:pPr>
            <w:r>
              <w:rPr>
                <w:sz w:val="17"/>
              </w:rPr>
              <w:t xml:space="preserve">6</w:t>
            </w:r>
          </w:p>
        </w:tc>
        <w:tc>
          <w:tcPr>
            <w:shd w:val="clear" w:color="auto" w:fill="F5F7FB"/>
          </w:tcPr>
          <w:p>
            <w:pPr>
              <w:pStyle w:val="Compact"/>
            </w:pPr>
            <w:r>
              <w:rPr>
                <w:sz w:val="17"/>
              </w:rPr>
              <w:t xml:space="preserve">VERROUILLER</w:t>
            </w:r>
          </w:p>
        </w:tc>
        <w:tc>
          <w:tcPr>
            <w:shd w:val="clear" w:color="auto" w:fill="F5F7FB"/>
          </w:tcPr>
          <w:p>
            <w:pPr>
              <w:pStyle w:val="Compact"/>
            </w:pPr>
            <w:r>
              <w:rPr>
                <w:sz w:val="17"/>
              </w:rPr>
              <w:t xml:space="preserve">Constitution financière : personne, y compris l’administrateur technique ou une autorité, ne détient seul les clés</w:t>
            </w:r>
          </w:p>
        </w:tc>
        <w:tc>
          <w:tcPr>
            <w:shd w:val="clear" w:color="auto" w:fill="F5F7FB"/>
          </w:tcPr>
          <w:p>
            <w:pPr>
              <w:pStyle w:val="Compact"/>
            </w:pPr>
            <w:r>
              <w:rPr>
                <w:sz w:val="17"/>
              </w:rPr>
              <w:t xml:space="preserve">§ 12.6 ; P6, P7</w:t>
            </w:r>
          </w:p>
        </w:tc>
      </w:tr>
      <w:tr>
        <w:tc>
          <w:tcPr/>
          <w:p>
            <w:pPr>
              <w:pStyle w:val="Compact"/>
            </w:pPr>
            <w:r>
              <w:rPr>
                <w:sz w:val="17"/>
              </w:rPr>
              <w:t xml:space="preserve">7</w:t>
            </w:r>
          </w:p>
        </w:tc>
        <w:tc>
          <w:tcPr/>
          <w:p>
            <w:pPr>
              <w:pStyle w:val="Compact"/>
            </w:pPr>
            <w:r>
              <w:rPr>
                <w:sz w:val="17"/>
              </w:rPr>
              <w:t xml:space="preserve">ENCADRER L’IA</w:t>
            </w:r>
          </w:p>
        </w:tc>
        <w:tc>
          <w:tcPr/>
          <w:p>
            <w:pPr>
              <w:pStyle w:val="Compact"/>
            </w:pPr>
            <w:r>
              <w:rPr>
                <w:sz w:val="17"/>
              </w:rPr>
              <w:t xml:space="preserve">L’IA détecte, explique, priorise, recommande ; elle ne crée ni taxe, ni dette finale, ni sanction, ni transfert</w:t>
            </w:r>
          </w:p>
        </w:tc>
        <w:tc>
          <w:tcPr/>
          <w:p>
            <w:pPr>
              <w:pStyle w:val="Compact"/>
            </w:pPr>
            <w:r>
              <w:rPr>
                <w:sz w:val="17"/>
              </w:rPr>
              <w:t xml:space="preserve">Ch. 23 ; P10</w:t>
            </w:r>
          </w:p>
        </w:tc>
      </w:tr>
    </w:tbl>
    <w:bookmarkEnd w:id="400"/>
    <w:bookmarkStart w:id="401" w:name="X3538f5b4bd1d4aa771bb83a3236c1a8346a54b4"/>
    <w:p>
      <w:pPr>
        <w:pStyle w:val="Heading3"/>
      </w:pPr>
      <w:r>
        <w:t xml:space="preserve">H.2.2 Les huit résultats attendus (Cahier § 1)</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Résultat</w:t>
            </w:r>
          </w:p>
        </w:tc>
        <w:tc>
          <w:tcPr>
            <w:shd w:val="clear" w:color="auto" w:fill="232C6B"/>
          </w:tcPr>
          <w:p>
            <w:pPr>
              <w:pStyle w:val="Compact"/>
            </w:pPr>
            <w:r>
              <w:rPr>
                <w:b/>
                <w:color w:val="FFFFFF"/>
                <w:sz w:val="17"/>
              </w:rPr>
              <w:t xml:space="preserve">Indicateur de résultat</w:t>
            </w:r>
          </w:p>
        </w:tc>
        <w:tc>
          <w:tcPr>
            <w:shd w:val="clear" w:color="auto" w:fill="232C6B"/>
          </w:tcPr>
          <w:p>
            <w:pPr>
              <w:pStyle w:val="Compact"/>
            </w:pPr>
            <w:r>
              <w:rPr>
                <w:b/>
                <w:color w:val="FFFFFF"/>
                <w:sz w:val="17"/>
              </w:rPr>
              <w:t xml:space="preserve">Leviers</w:t>
            </w:r>
          </w:p>
        </w:tc>
        <w:tc>
          <w:tcPr>
            <w:shd w:val="clear" w:color="auto" w:fill="232C6B"/>
          </w:tcPr>
          <w:p>
            <w:pPr>
              <w:pStyle w:val="Compact"/>
            </w:pPr>
            <w:r>
              <w:rPr>
                <w:b/>
                <w:color w:val="FFFFFF"/>
                <w:sz w:val="17"/>
              </w:rPr>
              <w:t xml:space="preserve">Destination v3.0</w:t>
            </w:r>
          </w:p>
        </w:tc>
      </w:tr>
      <w:tr>
        <w:tc>
          <w:tcPr/>
          <w:p>
            <w:pPr>
              <w:pStyle w:val="Compact"/>
            </w:pPr>
            <w:r>
              <w:rPr>
                <w:sz w:val="17"/>
              </w:rPr>
              <w:t xml:space="preserve">Couverture</w:t>
            </w:r>
          </w:p>
        </w:tc>
        <w:tc>
          <w:tcPr/>
          <w:p>
            <w:pPr>
              <w:pStyle w:val="Compact"/>
            </w:pPr>
            <w:r>
              <w:rPr>
                <w:sz w:val="17"/>
              </w:rPr>
              <w:t xml:space="preserve">Registre géofiscal continu dans les communes pilotes</w:t>
            </w:r>
          </w:p>
        </w:tc>
        <w:tc>
          <w:tcPr/>
          <w:p>
            <w:pPr>
              <w:pStyle w:val="Compact"/>
            </w:pPr>
            <w:r>
              <w:rPr>
                <w:sz w:val="17"/>
              </w:rPr>
              <w:t xml:space="preserve">Recensement hors ligne, auto-enrôlement, recoupement partenaires</w:t>
            </w:r>
          </w:p>
        </w:tc>
        <w:tc>
          <w:tcPr/>
          <w:p>
            <w:pPr>
              <w:pStyle w:val="Compact"/>
            </w:pPr>
            <w:r>
              <w:rPr>
                <w:sz w:val="17"/>
              </w:rPr>
              <w:t xml:space="preserve">O1 ; ch. 17</w:t>
            </w:r>
          </w:p>
        </w:tc>
      </w:tr>
      <w:tr>
        <w:tc>
          <w:tcPr>
            <w:shd w:val="clear" w:color="auto" w:fill="F5F7FB"/>
          </w:tcPr>
          <w:p>
            <w:pPr>
              <w:pStyle w:val="Compact"/>
            </w:pPr>
            <w:r>
              <w:rPr>
                <w:sz w:val="17"/>
              </w:rPr>
              <w:t xml:space="preserve">Assiette</w:t>
            </w:r>
          </w:p>
        </w:tc>
        <w:tc>
          <w:tcPr>
            <w:shd w:val="clear" w:color="auto" w:fill="F5F7FB"/>
          </w:tcPr>
          <w:p>
            <w:pPr>
              <w:pStyle w:val="Compact"/>
            </w:pPr>
            <w:r>
              <w:rPr>
                <w:sz w:val="17"/>
              </w:rPr>
              <w:t xml:space="preserve">Élargissement légal</w:t>
            </w:r>
            <w:r>
              <w:rPr>
                <w:sz w:val="17"/>
              </w:rPr>
              <w:t xml:space="preserve"> </w:t>
            </w:r>
            <w:r>
              <w:rPr>
                <w:b/>
                <w:bCs/>
                <w:sz w:val="17"/>
              </w:rPr>
              <w:t xml:space="preserve">sans nouvelle taxe</w:t>
            </w:r>
          </w:p>
        </w:tc>
        <w:tc>
          <w:tcPr>
            <w:shd w:val="clear" w:color="auto" w:fill="F5F7FB"/>
          </w:tcPr>
          <w:p>
            <w:pPr>
              <w:pStyle w:val="Compact"/>
            </w:pPr>
            <w:r>
              <w:rPr>
                <w:sz w:val="17"/>
              </w:rPr>
              <w:t xml:space="preserve">Détection d’objets non enregistrés, régularisation volontaire, requalification contrôlée</w:t>
            </w:r>
          </w:p>
        </w:tc>
        <w:tc>
          <w:tcPr>
            <w:shd w:val="clear" w:color="auto" w:fill="F5F7FB"/>
          </w:tcPr>
          <w:p>
            <w:pPr>
              <w:pStyle w:val="Compact"/>
            </w:pPr>
            <w:r>
              <w:rPr>
                <w:sz w:val="17"/>
              </w:rPr>
              <w:t xml:space="preserve">Ch. 8 ; G01, G02</w:t>
            </w:r>
          </w:p>
        </w:tc>
      </w:tr>
      <w:tr>
        <w:tc>
          <w:tcPr/>
          <w:p>
            <w:pPr>
              <w:pStyle w:val="Compact"/>
            </w:pPr>
            <w:r>
              <w:rPr>
                <w:sz w:val="17"/>
              </w:rPr>
              <w:t xml:space="preserve">Encaissement</w:t>
            </w:r>
          </w:p>
        </w:tc>
        <w:tc>
          <w:tcPr/>
          <w:p>
            <w:pPr>
              <w:pStyle w:val="Compact"/>
            </w:pPr>
            <w:r>
              <w:rPr>
                <w:sz w:val="17"/>
              </w:rPr>
              <w:t xml:space="preserve">Paiement électronique majoritaire</w:t>
            </w:r>
          </w:p>
        </w:tc>
        <w:tc>
          <w:tcPr/>
          <w:p>
            <w:pPr>
              <w:pStyle w:val="Compact"/>
            </w:pPr>
            <w:r>
              <w:rPr>
                <w:sz w:val="17"/>
              </w:rPr>
              <w:t xml:space="preserve">Monnaie mobile, banques, cartes, USSD, QR, points agréés</w:t>
            </w:r>
          </w:p>
        </w:tc>
        <w:tc>
          <w:tcPr/>
          <w:p>
            <w:pPr>
              <w:pStyle w:val="Compact"/>
            </w:pPr>
            <w:r>
              <w:rPr>
                <w:sz w:val="17"/>
              </w:rPr>
              <w:t xml:space="preserve">O4 ; ch. 18</w:t>
            </w:r>
          </w:p>
        </w:tc>
      </w:tr>
      <w:tr>
        <w:tc>
          <w:tcPr>
            <w:shd w:val="clear" w:color="auto" w:fill="F5F7FB"/>
          </w:tcPr>
          <w:p>
            <w:pPr>
              <w:pStyle w:val="Compact"/>
            </w:pPr>
            <w:r>
              <w:rPr>
                <w:sz w:val="17"/>
              </w:rPr>
              <w:t xml:space="preserve">Traçabilité</w:t>
            </w:r>
          </w:p>
        </w:tc>
        <w:tc>
          <w:tcPr>
            <w:shd w:val="clear" w:color="auto" w:fill="F5F7FB"/>
          </w:tcPr>
          <w:p>
            <w:pPr>
              <w:pStyle w:val="Compact"/>
            </w:pPr>
            <w:r>
              <w:rPr>
                <w:sz w:val="17"/>
              </w:rPr>
              <w:t xml:space="preserve">Obligation → paiement → règlement → quittance → comptabilisation</w:t>
            </w:r>
          </w:p>
        </w:tc>
        <w:tc>
          <w:tcPr>
            <w:shd w:val="clear" w:color="auto" w:fill="F5F7FB"/>
          </w:tcPr>
          <w:p>
            <w:pPr>
              <w:pStyle w:val="Compact"/>
            </w:pPr>
            <w:r>
              <w:rPr>
                <w:sz w:val="17"/>
              </w:rPr>
              <w:t xml:space="preserve">Registre en ajout seul, signature, rapprochement quotidien</w:t>
            </w:r>
          </w:p>
        </w:tc>
        <w:tc>
          <w:tcPr>
            <w:shd w:val="clear" w:color="auto" w:fill="F5F7FB"/>
          </w:tcPr>
          <w:p>
            <w:pPr>
              <w:pStyle w:val="Compact"/>
            </w:pPr>
            <w:r>
              <w:rPr>
                <w:sz w:val="17"/>
              </w:rPr>
              <w:t xml:space="preserve">Ch. 20, 25</w:t>
            </w:r>
          </w:p>
        </w:tc>
      </w:tr>
      <w:tr>
        <w:tc>
          <w:tcPr/>
          <w:p>
            <w:pPr>
              <w:pStyle w:val="Compact"/>
            </w:pPr>
            <w:r>
              <w:rPr>
                <w:sz w:val="17"/>
              </w:rPr>
              <w:t xml:space="preserve">Intégrité</w:t>
            </w:r>
          </w:p>
        </w:tc>
        <w:tc>
          <w:tcPr/>
          <w:p>
            <w:pPr>
              <w:pStyle w:val="Compact"/>
            </w:pPr>
            <w:r>
              <w:rPr>
                <w:sz w:val="17"/>
              </w:rPr>
              <w:t xml:space="preserve">Aucun acte financier sensible par une seule personne</w:t>
            </w:r>
          </w:p>
        </w:tc>
        <w:tc>
          <w:tcPr/>
          <w:p>
            <w:pPr>
              <w:pStyle w:val="Compact"/>
            </w:pPr>
            <w:r>
              <w:rPr>
                <w:sz w:val="17"/>
              </w:rPr>
              <w:t xml:space="preserve">Séparation, double validation, accès privilégié temporaire, journal immuable</w:t>
            </w:r>
          </w:p>
        </w:tc>
        <w:tc>
          <w:tcPr/>
          <w:p>
            <w:pPr>
              <w:pStyle w:val="Compact"/>
            </w:pPr>
            <w:r>
              <w:rPr>
                <w:sz w:val="17"/>
              </w:rPr>
              <w:t xml:space="preserve">§ 12.6</w:t>
            </w:r>
          </w:p>
        </w:tc>
      </w:tr>
      <w:tr>
        <w:tc>
          <w:tcPr>
            <w:shd w:val="clear" w:color="auto" w:fill="F5F7FB"/>
          </w:tcPr>
          <w:p>
            <w:pPr>
              <w:pStyle w:val="Compact"/>
            </w:pPr>
            <w:r>
              <w:rPr>
                <w:sz w:val="17"/>
              </w:rPr>
              <w:t xml:space="preserve">Service</w:t>
            </w:r>
          </w:p>
        </w:tc>
        <w:tc>
          <w:tcPr>
            <w:shd w:val="clear" w:color="auto" w:fill="F5F7FB"/>
          </w:tcPr>
          <w:p>
            <w:pPr>
              <w:pStyle w:val="Compact"/>
            </w:pPr>
            <w:r>
              <w:rPr>
                <w:sz w:val="17"/>
              </w:rPr>
              <w:t xml:space="preserve">Réduction du coût et du temps de conformité</w:t>
            </w:r>
          </w:p>
        </w:tc>
        <w:tc>
          <w:tcPr>
            <w:shd w:val="clear" w:color="auto" w:fill="F5F7FB"/>
          </w:tcPr>
          <w:p>
            <w:pPr>
              <w:pStyle w:val="Compact"/>
            </w:pPr>
            <w:r>
              <w:rPr>
                <w:sz w:val="17"/>
              </w:rPr>
              <w:t xml:space="preserve">Compte unique, déclaration pré-remplie, paiement mobile, quittance instantanée</w:t>
            </w:r>
          </w:p>
        </w:tc>
        <w:tc>
          <w:tcPr>
            <w:shd w:val="clear" w:color="auto" w:fill="F5F7FB"/>
          </w:tcPr>
          <w:p>
            <w:pPr>
              <w:pStyle w:val="Compact"/>
            </w:pPr>
            <w:r>
              <w:rPr>
                <w:sz w:val="17"/>
              </w:rPr>
              <w:t xml:space="preserve">Ch. 13</w:t>
            </w:r>
          </w:p>
        </w:tc>
      </w:tr>
      <w:tr>
        <w:tc>
          <w:tcPr/>
          <w:p>
            <w:pPr>
              <w:pStyle w:val="Compact"/>
            </w:pPr>
            <w:r>
              <w:rPr>
                <w:sz w:val="17"/>
              </w:rPr>
              <w:t xml:space="preserve">Pilotage</w:t>
            </w:r>
          </w:p>
        </w:tc>
        <w:tc>
          <w:tcPr/>
          <w:p>
            <w:pPr>
              <w:pStyle w:val="Compact"/>
            </w:pPr>
            <w:r>
              <w:rPr>
                <w:sz w:val="17"/>
              </w:rPr>
              <w:t xml:space="preserve">Vision temps réel potentiel / constaté / encaissé / rapproché</w:t>
            </w:r>
          </w:p>
        </w:tc>
        <w:tc>
          <w:tcPr/>
          <w:p>
            <w:pPr>
              <w:pStyle w:val="Compact"/>
            </w:pPr>
            <w:r>
              <w:rPr>
                <w:sz w:val="17"/>
              </w:rPr>
              <w:t xml:space="preserve">Tableau du Gouverneur, cartes de chaleur, files d’exception</w:t>
            </w:r>
          </w:p>
        </w:tc>
        <w:tc>
          <w:tcPr/>
          <w:p>
            <w:pPr>
              <w:pStyle w:val="Compact"/>
            </w:pPr>
            <w:r>
              <w:rPr>
                <w:sz w:val="17"/>
              </w:rPr>
              <w:t xml:space="preserve">Ch. 26</w:t>
            </w:r>
          </w:p>
        </w:tc>
      </w:tr>
      <w:tr>
        <w:tc>
          <w:tcPr>
            <w:shd w:val="clear" w:color="auto" w:fill="F5F7FB"/>
          </w:tcPr>
          <w:p>
            <w:pPr>
              <w:pStyle w:val="Compact"/>
            </w:pPr>
            <w:r>
              <w:rPr>
                <w:sz w:val="17"/>
              </w:rPr>
              <w:t xml:space="preserve">Affectation</w:t>
            </w:r>
          </w:p>
        </w:tc>
        <w:tc>
          <w:tcPr>
            <w:shd w:val="clear" w:color="auto" w:fill="F5F7FB"/>
          </w:tcPr>
          <w:p>
            <w:pPr>
              <w:pStyle w:val="Compact"/>
            </w:pPr>
            <w:r>
              <w:rPr>
                <w:sz w:val="17"/>
              </w:rPr>
              <w:t xml:space="preserve">Lien recettes ↔ réalisations</w:t>
            </w:r>
          </w:p>
        </w:tc>
        <w:tc>
          <w:tcPr>
            <w:shd w:val="clear" w:color="auto" w:fill="F5F7FB"/>
          </w:tcPr>
          <w:p>
            <w:pPr>
              <w:pStyle w:val="Compact"/>
            </w:pPr>
            <w:r>
              <w:rPr>
                <w:sz w:val="17"/>
              </w:rPr>
              <w:t xml:space="preserve">Recommandation d’affectation, tableau de transparence</w:t>
            </w:r>
          </w:p>
        </w:tc>
        <w:tc>
          <w:tcPr>
            <w:shd w:val="clear" w:color="auto" w:fill="F5F7FB"/>
          </w:tcPr>
          <w:p>
            <w:pPr>
              <w:pStyle w:val="Compact"/>
            </w:pPr>
            <w:r>
              <w:rPr>
                <w:sz w:val="17"/>
              </w:rPr>
              <w:t xml:space="preserve">Ch. 27</w:t>
            </w:r>
          </w:p>
        </w:tc>
      </w:tr>
    </w:tbl>
    <w:bookmarkEnd w:id="401"/>
    <w:bookmarkStart w:id="402" w:name="X46fe7d9b35bc4d38c30b95a5f7afea65334822d"/>
    <w:p>
      <w:pPr>
        <w:pStyle w:val="Heading3"/>
      </w:pPr>
      <w:r>
        <w:t xml:space="preserve">H.2.3 Les trois décisions institutionnelles qui conditionnent la conception</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Décision ou fait</w:t>
            </w:r>
          </w:p>
        </w:tc>
        <w:tc>
          <w:tcPr>
            <w:shd w:val="clear" w:color="auto" w:fill="232C6B"/>
          </w:tcPr>
          <w:p>
            <w:pPr>
              <w:pStyle w:val="Compact"/>
            </w:pPr>
            <w:r>
              <w:rPr>
                <w:b/>
                <w:color w:val="FFFFFF"/>
                <w:sz w:val="17"/>
              </w:rPr>
              <w:t xml:space="preserve">Conséquence de conception reprise</w:t>
            </w:r>
          </w:p>
        </w:tc>
        <w:tc>
          <w:tcPr>
            <w:shd w:val="clear" w:color="auto" w:fill="232C6B"/>
          </w:tcPr>
          <w:p>
            <w:pPr>
              <w:pStyle w:val="Compact"/>
            </w:pPr>
            <w:r>
              <w:rPr>
                <w:b/>
                <w:color w:val="FFFFFF"/>
                <w:sz w:val="17"/>
              </w:rPr>
              <w:t xml:space="preserve">Statut</w:t>
            </w:r>
          </w:p>
        </w:tc>
      </w:tr>
      <w:tr>
        <w:tc>
          <w:tcPr/>
          <w:p>
            <w:pPr>
              <w:pStyle w:val="Compact"/>
            </w:pPr>
            <w:r>
              <w:rPr>
                <w:sz w:val="17"/>
              </w:rPr>
              <w:t xml:space="preserve">Quitus fiscal provincial 2026 (IF, IRL, véhicules le cas échéant ; condition des marchés publics et de certaines autorisations)</w:t>
            </w:r>
          </w:p>
        </w:tc>
        <w:tc>
          <w:tcPr/>
          <w:p>
            <w:pPr>
              <w:pStyle w:val="Compact"/>
            </w:pPr>
            <w:r>
              <w:rPr>
                <w:sz w:val="17"/>
              </w:rPr>
              <w:t xml:space="preserve">Module 82 ; conditionnalité par règle versionnée ; recours suspensif de l’effet bloquant</w:t>
            </w:r>
          </w:p>
        </w:tc>
        <w:tc>
          <w:tcPr/>
          <w:p>
            <w:pPr>
              <w:pStyle w:val="Compact"/>
            </w:pPr>
            <w:r>
              <w:rPr>
                <w:sz w:val="17"/>
              </w:rPr>
              <w:t xml:space="preserve">[À VÉRIFIER] acte instituant (J6)</w:t>
            </w:r>
          </w:p>
        </w:tc>
      </w:tr>
      <w:tr>
        <w:tc>
          <w:tcPr>
            <w:shd w:val="clear" w:color="auto" w:fill="F5F7FB"/>
          </w:tcPr>
          <w:p>
            <w:pPr>
              <w:pStyle w:val="Compact"/>
            </w:pPr>
            <w:r>
              <w:rPr>
                <w:sz w:val="17"/>
              </w:rPr>
              <w:t xml:space="preserve">Réforme des régies (projets DGRFK/DGTK examinés en mai 2026 ; arrêtés DGIPK/DGTK de 2026)</w:t>
            </w:r>
          </w:p>
        </w:tc>
        <w:tc>
          <w:tcPr>
            <w:shd w:val="clear" w:color="auto" w:fill="F5F7FB"/>
          </w:tcPr>
          <w:p>
            <w:pPr>
              <w:pStyle w:val="Compact"/>
            </w:pPr>
            <w:r>
              <w:rPr>
                <w:b/>
                <w:bCs/>
                <w:sz w:val="17"/>
              </w:rPr>
              <w:t xml:space="preserve">L’administration compétente est une donnée de configuration</w:t>
            </w:r>
            <w:r>
              <w:rPr>
                <w:sz w:val="17"/>
              </w:rPr>
              <w:t xml:space="preserve">, jamais codée en dur</w:t>
            </w:r>
          </w:p>
        </w:tc>
        <w:tc>
          <w:tcPr>
            <w:shd w:val="clear" w:color="auto" w:fill="F5F7FB"/>
          </w:tcPr>
          <w:p>
            <w:pPr>
              <w:pStyle w:val="Compact"/>
            </w:pPr>
            <w:r>
              <w:rPr>
                <w:sz w:val="17"/>
              </w:rPr>
              <w:t xml:space="preserve">ARB-57 ; § 2.2</w:t>
            </w:r>
          </w:p>
        </w:tc>
      </w:tr>
      <w:tr>
        <w:tc>
          <w:tcPr/>
          <w:p>
            <w:pPr>
              <w:pStyle w:val="Compact"/>
            </w:pPr>
            <w:r>
              <w:rPr>
                <w:sz w:val="17"/>
              </w:rPr>
              <w:t xml:space="preserve">Évaluation TADAT de septembre 2025</w:t>
            </w:r>
          </w:p>
        </w:tc>
        <w:tc>
          <w:tcPr/>
          <w:p>
            <w:pPr>
              <w:pStyle w:val="Compact"/>
            </w:pPr>
            <w:r>
              <w:rPr>
                <w:sz w:val="17"/>
              </w:rPr>
              <w:t xml:space="preserve">Registre, télépaiement, contrôle interne, audit interne, prévision : chacun a son module et son indicateur</w:t>
            </w:r>
          </w:p>
        </w:tc>
        <w:tc>
          <w:tcPr/>
          <w:p>
            <w:pPr>
              <w:pStyle w:val="Compact"/>
            </w:pPr>
            <w:r>
              <w:rPr>
                <w:sz w:val="17"/>
              </w:rPr>
              <w:t xml:space="preserve">[CONFIRMÉ] pour le fait ; scores [À VÉRIFIER]</w:t>
            </w:r>
          </w:p>
        </w:tc>
      </w:tr>
    </w:tbl>
    <w:bookmarkEnd w:id="402"/>
    <w:bookmarkStart w:id="403" w:name="X87442042e76fb3c95cb5df645b2b828ada1f453"/>
    <w:p>
      <w:pPr>
        <w:pStyle w:val="Heading3"/>
      </w:pPr>
      <w:r>
        <w:t xml:space="preserve">H.2.4 Objectifs stratégiques : cibles sources et cibles v3.0</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Objectif</w:t>
            </w:r>
          </w:p>
        </w:tc>
        <w:tc>
          <w:tcPr>
            <w:shd w:val="clear" w:color="auto" w:fill="232C6B"/>
          </w:tcPr>
          <w:p>
            <w:pPr>
              <w:pStyle w:val="Compact"/>
            </w:pPr>
            <w:r>
              <w:rPr>
                <w:b/>
                <w:color w:val="FFFFFF"/>
                <w:sz w:val="17"/>
              </w:rPr>
              <w:t xml:space="preserve">Cible source (C § 5, § 39)</w:t>
            </w:r>
          </w:p>
        </w:tc>
        <w:tc>
          <w:tcPr>
            <w:shd w:val="clear" w:color="auto" w:fill="232C6B"/>
          </w:tcPr>
          <w:p>
            <w:pPr>
              <w:pStyle w:val="Compact"/>
            </w:pPr>
            <w:r>
              <w:rPr>
                <w:b/>
                <w:color w:val="FFFFFF"/>
                <w:sz w:val="17"/>
              </w:rPr>
              <w:t xml:space="preserve">Cible v3.0 (ch. 5, 39)</w:t>
            </w:r>
          </w:p>
        </w:tc>
        <w:tc>
          <w:tcPr>
            <w:shd w:val="clear" w:color="auto" w:fill="232C6B"/>
          </w:tcPr>
          <w:p>
            <w:pPr>
              <w:pStyle w:val="Compact"/>
            </w:pPr>
            <w:r>
              <w:rPr>
                <w:b/>
                <w:color w:val="FFFFFF"/>
                <w:sz w:val="17"/>
              </w:rPr>
              <w:t xml:space="preserve">Position</w:t>
            </w:r>
          </w:p>
        </w:tc>
      </w:tr>
      <w:tr>
        <w:tc>
          <w:tcPr/>
          <w:p>
            <w:pPr>
              <w:pStyle w:val="Compact"/>
            </w:pPr>
            <w:r>
              <w:rPr>
                <w:sz w:val="17"/>
              </w:rPr>
              <w:t xml:space="preserve">Couverture du recensement</w:t>
            </w:r>
          </w:p>
        </w:tc>
        <w:tc>
          <w:tcPr/>
          <w:p>
            <w:pPr>
              <w:pStyle w:val="Compact"/>
            </w:pPr>
            <w:r>
              <w:rPr>
                <w:sz w:val="17"/>
              </w:rPr>
              <w:t xml:space="preserve">&gt; 80 % (pilotes, 18 mois)</w:t>
            </w:r>
          </w:p>
        </w:tc>
        <w:tc>
          <w:tcPr/>
          <w:p>
            <w:pPr>
              <w:pStyle w:val="Compact"/>
            </w:pPr>
            <w:r>
              <w:rPr>
                <w:sz w:val="17"/>
              </w:rPr>
              <w:t xml:space="preserve">≥ 90 % des quartiers pilotes à J+180</w:t>
            </w:r>
          </w:p>
        </w:tc>
        <w:tc>
          <w:tcPr/>
          <w:p>
            <w:pPr>
              <w:pStyle w:val="Compact"/>
            </w:pPr>
            <w:r>
              <w:rPr>
                <w:sz w:val="17"/>
              </w:rPr>
              <w:t xml:space="preserve">v3.0 (plus exigeante, périmètre plus restreint)</w:t>
            </w:r>
          </w:p>
        </w:tc>
      </w:tr>
      <w:tr>
        <w:tc>
          <w:tcPr>
            <w:shd w:val="clear" w:color="auto" w:fill="F5F7FB"/>
          </w:tcPr>
          <w:p>
            <w:pPr>
              <w:pStyle w:val="Compact"/>
            </w:pPr>
            <w:r>
              <w:rPr>
                <w:sz w:val="17"/>
              </w:rPr>
              <w:t xml:space="preserve">Part électronique</w:t>
            </w:r>
          </w:p>
        </w:tc>
        <w:tc>
          <w:tcPr>
            <w:shd w:val="clear" w:color="auto" w:fill="F5F7FB"/>
          </w:tcPr>
          <w:p>
            <w:pPr>
              <w:pStyle w:val="Compact"/>
            </w:pPr>
            <w:r>
              <w:rPr>
                <w:sz w:val="17"/>
              </w:rPr>
              <w:t xml:space="preserve">« Dominante » 18 mois après le pilote ; &gt; 90 % à 18 mois</w:t>
            </w:r>
          </w:p>
        </w:tc>
        <w:tc>
          <w:tcPr>
            <w:shd w:val="clear" w:color="auto" w:fill="F5F7FB"/>
          </w:tcPr>
          <w:p>
            <w:pPr>
              <w:pStyle w:val="Compact"/>
            </w:pPr>
            <w:r>
              <w:rPr>
                <w:sz w:val="17"/>
              </w:rPr>
              <w:t xml:space="preserve">&gt; 80 % dans les flux couverts 18 mois après le pilote</w:t>
            </w:r>
          </w:p>
        </w:tc>
        <w:tc>
          <w:tcPr>
            <w:shd w:val="clear" w:color="auto" w:fill="F5F7FB"/>
          </w:tcPr>
          <w:p>
            <w:pPr>
              <w:pStyle w:val="Compact"/>
            </w:pPr>
            <w:r>
              <w:rPr>
                <w:sz w:val="17"/>
              </w:rPr>
              <w:t xml:space="preserve">v3.0 (ARB-40)</w:t>
            </w:r>
          </w:p>
        </w:tc>
      </w:tr>
      <w:tr>
        <w:tc>
          <w:tcPr/>
          <w:p>
            <w:pPr>
              <w:pStyle w:val="Compact"/>
            </w:pPr>
            <w:r>
              <w:rPr>
                <w:sz w:val="17"/>
              </w:rPr>
              <w:t xml:space="preserve">Paiement → quittance</w:t>
            </w:r>
          </w:p>
        </w:tc>
        <w:tc>
          <w:tcPr/>
          <w:p>
            <w:pPr>
              <w:pStyle w:val="Compact"/>
            </w:pPr>
            <w:r>
              <w:rPr>
                <w:sz w:val="17"/>
              </w:rPr>
              <w:t xml:space="preserve">&lt; 1 minute (médiane &lt; 60 s)</w:t>
            </w:r>
          </w:p>
        </w:tc>
        <w:tc>
          <w:tcPr/>
          <w:p>
            <w:pPr>
              <w:pStyle w:val="Compact"/>
            </w:pPr>
            <w:r>
              <w:rPr>
                <w:sz w:val="17"/>
              </w:rPr>
              <w:t xml:space="preserve">&lt; 60 s pour la quittance provisoire</w:t>
            </w:r>
          </w:p>
        </w:tc>
        <w:tc>
          <w:tcPr/>
          <w:p>
            <w:pPr>
              <w:pStyle w:val="Compact"/>
            </w:pPr>
            <w:r>
              <w:rPr>
                <w:sz w:val="17"/>
              </w:rPr>
              <w:t xml:space="preserve">Identique</w:t>
            </w:r>
          </w:p>
        </w:tc>
      </w:tr>
      <w:tr>
        <w:tc>
          <w:tcPr>
            <w:shd w:val="clear" w:color="auto" w:fill="F5F7FB"/>
          </w:tcPr>
          <w:p>
            <w:pPr>
              <w:pStyle w:val="Compact"/>
            </w:pPr>
            <w:r>
              <w:rPr>
                <w:sz w:val="17"/>
              </w:rPr>
              <w:t xml:space="preserve">Paiement → rapprochement</w:t>
            </w:r>
          </w:p>
        </w:tc>
        <w:tc>
          <w:tcPr>
            <w:shd w:val="clear" w:color="auto" w:fill="F5F7FB"/>
          </w:tcPr>
          <w:p>
            <w:pPr>
              <w:pStyle w:val="Compact"/>
            </w:pPr>
            <w:r>
              <w:rPr>
                <w:sz w:val="17"/>
              </w:rPr>
              <w:t xml:space="preserve">&lt; 24 heures</w:t>
            </w:r>
          </w:p>
        </w:tc>
        <w:tc>
          <w:tcPr>
            <w:shd w:val="clear" w:color="auto" w:fill="F5F7FB"/>
          </w:tcPr>
          <w:p>
            <w:pPr>
              <w:pStyle w:val="Compact"/>
            </w:pPr>
            <w:r>
              <w:rPr>
                <w:sz w:val="17"/>
              </w:rPr>
              <w:t xml:space="preserve">&lt; 24 heures ouvrées ; ≥ 95 % automatique à J+1</w:t>
            </w:r>
          </w:p>
        </w:tc>
        <w:tc>
          <w:tcPr>
            <w:shd w:val="clear" w:color="auto" w:fill="F5F7FB"/>
          </w:tcPr>
          <w:p>
            <w:pPr>
              <w:pStyle w:val="Compact"/>
            </w:pPr>
            <w:r>
              <w:rPr>
                <w:sz w:val="17"/>
              </w:rPr>
              <w:t xml:space="preserve">v3.0</w:t>
            </w:r>
          </w:p>
        </w:tc>
      </w:tr>
      <w:tr>
        <w:tc>
          <w:tcPr/>
          <w:p>
            <w:pPr>
              <w:pStyle w:val="Compact"/>
            </w:pPr>
            <w:r>
              <w:rPr>
                <w:sz w:val="17"/>
              </w:rPr>
              <w:t xml:space="preserve">Écart de rapprochement</w:t>
            </w:r>
          </w:p>
        </w:tc>
        <w:tc>
          <w:tcPr/>
          <w:p>
            <w:pPr>
              <w:pStyle w:val="Compact"/>
            </w:pPr>
            <w:r>
              <w:rPr>
                <w:sz w:val="17"/>
              </w:rPr>
              <w:t xml:space="preserve">&lt; 1 % à J+2</w:t>
            </w:r>
          </w:p>
        </w:tc>
        <w:tc>
          <w:tcPr/>
          <w:p>
            <w:pPr>
              <w:pStyle w:val="Compact"/>
            </w:pPr>
            <w:r>
              <w:rPr>
                <w:sz w:val="17"/>
              </w:rPr>
              <w:t xml:space="preserve">&lt; 1 % à J+3 (O7)</w:t>
            </w:r>
          </w:p>
        </w:tc>
        <w:tc>
          <w:tcPr/>
          <w:p>
            <w:pPr>
              <w:pStyle w:val="Compact"/>
            </w:pPr>
            <w:r>
              <w:rPr>
                <w:sz w:val="17"/>
              </w:rPr>
              <w:t xml:space="preserve">v3.0 ; l’indicateur J+2 est conservé en suivi (§ H.19)</w:t>
            </w:r>
          </w:p>
        </w:tc>
      </w:tr>
      <w:tr>
        <w:tc>
          <w:tcPr>
            <w:shd w:val="clear" w:color="auto" w:fill="F5F7FB"/>
          </w:tcPr>
          <w:p>
            <w:pPr>
              <w:pStyle w:val="Compact"/>
            </w:pPr>
            <w:r>
              <w:rPr>
                <w:sz w:val="17"/>
              </w:rPr>
              <w:t xml:space="preserve">Régularisation après notification</w:t>
            </w:r>
          </w:p>
        </w:tc>
        <w:tc>
          <w:tcPr>
            <w:shd w:val="clear" w:color="auto" w:fill="F5F7FB"/>
          </w:tcPr>
          <w:p>
            <w:pPr>
              <w:pStyle w:val="Compact"/>
            </w:pPr>
            <w:r>
              <w:rPr>
                <w:sz w:val="17"/>
              </w:rPr>
              <w:t xml:space="preserve">&gt; 50 %</w:t>
            </w:r>
          </w:p>
        </w:tc>
        <w:tc>
          <w:tcPr>
            <w:shd w:val="clear" w:color="auto" w:fill="F5F7FB"/>
          </w:tcPr>
          <w:p>
            <w:pPr>
              <w:pStyle w:val="Compact"/>
            </w:pPr>
            <w:r>
              <w:rPr>
                <w:sz w:val="17"/>
              </w:rPr>
              <w:t xml:space="preserve">—</w:t>
            </w:r>
          </w:p>
        </w:tc>
        <w:tc>
          <w:tcPr>
            <w:shd w:val="clear" w:color="auto" w:fill="F5F7FB"/>
          </w:tcPr>
          <w:p>
            <w:pPr>
              <w:pStyle w:val="Compact"/>
            </w:pPr>
            <w:r>
              <w:rPr>
                <w:b/>
                <w:bCs/>
                <w:sz w:val="17"/>
              </w:rPr>
              <w:t xml:space="preserve">Intégré</w:t>
            </w:r>
            <w:r>
              <w:rPr>
                <w:sz w:val="17"/>
              </w:rPr>
              <w:t xml:space="preserve"> </w:t>
            </w:r>
            <w:r>
              <w:rPr>
                <w:sz w:val="17"/>
              </w:rPr>
              <w:t xml:space="preserve">comme indicateur de suivi (§ H.19)</w:t>
            </w:r>
          </w:p>
        </w:tc>
      </w:tr>
      <w:tr>
        <w:tc>
          <w:tcPr/>
          <w:p>
            <w:pPr>
              <w:pStyle w:val="Compact"/>
            </w:pPr>
            <w:r>
              <w:rPr>
                <w:sz w:val="17"/>
              </w:rPr>
              <w:t xml:space="preserve">Recours dans le délai légal</w:t>
            </w:r>
          </w:p>
        </w:tc>
        <w:tc>
          <w:tcPr/>
          <w:p>
            <w:pPr>
              <w:pStyle w:val="Compact"/>
            </w:pPr>
            <w:r>
              <w:rPr>
                <w:sz w:val="17"/>
              </w:rPr>
              <w:t xml:space="preserve">&gt; 90 %</w:t>
            </w:r>
          </w:p>
        </w:tc>
        <w:tc>
          <w:tcPr/>
          <w:p>
            <w:pPr>
              <w:pStyle w:val="Compact"/>
            </w:pPr>
            <w:r>
              <w:rPr>
                <w:sz w:val="17"/>
              </w:rPr>
              <w:t xml:space="preserve">Délai légal</w:t>
            </w:r>
          </w:p>
        </w:tc>
        <w:tc>
          <w:tcPr/>
          <w:p>
            <w:pPr>
              <w:pStyle w:val="Compact"/>
            </w:pPr>
            <w:r>
              <w:rPr>
                <w:sz w:val="17"/>
              </w:rPr>
              <w:t xml:space="preserve">Identique en substance</w:t>
            </w:r>
          </w:p>
        </w:tc>
      </w:tr>
      <w:tr>
        <w:tc>
          <w:tcPr>
            <w:shd w:val="clear" w:color="auto" w:fill="F5F7FB"/>
          </w:tcPr>
          <w:p>
            <w:pPr>
              <w:pStyle w:val="Compact"/>
            </w:pPr>
            <w:r>
              <w:rPr>
                <w:sz w:val="17"/>
              </w:rPr>
              <w:t xml:space="preserve">Baux enregistrés</w:t>
            </w:r>
          </w:p>
        </w:tc>
        <w:tc>
          <w:tcPr>
            <w:shd w:val="clear" w:color="auto" w:fill="F5F7FB"/>
          </w:tcPr>
          <w:p>
            <w:pPr>
              <w:pStyle w:val="Compact"/>
            </w:pPr>
            <w:r>
              <w:rPr>
                <w:sz w:val="17"/>
              </w:rPr>
              <w:t xml:space="preserve">Croissance continue publiée mensuellement</w:t>
            </w:r>
          </w:p>
        </w:tc>
        <w:tc>
          <w:tcPr>
            <w:shd w:val="clear" w:color="auto" w:fill="F5F7FB"/>
          </w:tcPr>
          <w:p>
            <w:pPr>
              <w:pStyle w:val="Compact"/>
            </w:pPr>
            <w:r>
              <w:rPr>
                <w:sz w:val="17"/>
              </w:rPr>
              <w:t xml:space="preserve">—</w:t>
            </w:r>
          </w:p>
        </w:tc>
        <w:tc>
          <w:tcPr>
            <w:shd w:val="clear" w:color="auto" w:fill="F5F7FB"/>
          </w:tcPr>
          <w:p>
            <w:pPr>
              <w:pStyle w:val="Compact"/>
            </w:pPr>
            <w:r>
              <w:rPr>
                <w:b/>
                <w:bCs/>
                <w:sz w:val="17"/>
              </w:rPr>
              <w:t xml:space="preserve">Intégré</w:t>
            </w:r>
            <w:r>
              <w:rPr>
                <w:sz w:val="17"/>
              </w:rPr>
              <w:t xml:space="preserve"> </w:t>
            </w:r>
            <w:r>
              <w:rPr>
                <w:sz w:val="17"/>
              </w:rPr>
              <w:t xml:space="preserve">(§ H.19)</w:t>
            </w:r>
          </w:p>
        </w:tc>
      </w:tr>
    </w:tbl>
    <w:bookmarkEnd w:id="403"/>
    <w:bookmarkEnd w:id="404"/>
    <w:bookmarkStart w:id="410" w:name="X67aad3788cdd0ae762a0cb2a4e0191330cb4091"/>
    <w:p>
      <w:pPr>
        <w:pStyle w:val="Heading2"/>
      </w:pPr>
      <w:r>
        <w:t xml:space="preserve">H.3 Chapitres 6 à 8 — Compléments « Le droit et l’argent »</w:t>
      </w:r>
    </w:p>
    <w:bookmarkStart w:id="405" w:name="X2ffbfc39df10c03beca4c95d535282ef7864b06"/>
    <w:p>
      <w:pPr>
        <w:pStyle w:val="Heading3"/>
      </w:pPr>
      <w:r>
        <w:t xml:space="preserve">H.3.1 Cycle de vie des règles : les quatre contrôles</w:t>
      </w:r>
    </w:p>
    <w:p>
      <w:pPr>
        <w:pStyle w:val="FirstParagraph"/>
      </w:pPr>
      <w:r>
        <w:t xml:space="preserve">Le Cahier exigeait quatre contrôles avant l’entrée en vigueur d’une règle —</w:t>
      </w:r>
      <w:r>
        <w:t xml:space="preserve"> </w:t>
      </w:r>
      <w:r>
        <w:rPr>
          <w:b/>
          <w:bCs/>
        </w:rPr>
        <w:t xml:space="preserve">juridique, fiscal, financier, publication par une autorité distincte</w:t>
      </w:r>
      <w:r>
        <w:t xml:space="preserve"> </w:t>
      </w:r>
      <w:r>
        <w:t xml:space="preserve">— et décrivait deux cycles de vie concurrents (ARB-36). La v3.0 retient la machine à états unique du § 6.12 et quatre personnes distinctes. Le</w:t>
      </w:r>
      <w:r>
        <w:t xml:space="preserve"> </w:t>
      </w:r>
      <w:r>
        <w:rPr>
          <w:b/>
          <w:bCs/>
        </w:rPr>
        <w:t xml:space="preserve">contrôle fiscal</w:t>
      </w:r>
      <w:r>
        <w:t xml:space="preserve"> </w:t>
      </w:r>
      <w:r>
        <w:t xml:space="preserve">est intégré ainsi :</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Contrôle source</w:t>
            </w:r>
          </w:p>
        </w:tc>
        <w:tc>
          <w:tcPr>
            <w:shd w:val="clear" w:color="auto" w:fill="232C6B"/>
          </w:tcPr>
          <w:p>
            <w:pPr>
              <w:pStyle w:val="Compact"/>
            </w:pPr>
            <w:r>
              <w:rPr>
                <w:b/>
                <w:color w:val="FFFFFF"/>
                <w:sz w:val="17"/>
              </w:rPr>
              <w:t xml:space="preserve">Traitement v3.0</w:t>
            </w:r>
          </w:p>
        </w:tc>
        <w:tc>
          <w:tcPr>
            <w:shd w:val="clear" w:color="auto" w:fill="232C6B"/>
          </w:tcPr>
          <w:p>
            <w:pPr>
              <w:pStyle w:val="Compact"/>
            </w:pPr>
            <w:r>
              <w:rPr>
                <w:b/>
                <w:color w:val="FFFFFF"/>
                <w:sz w:val="17"/>
              </w:rPr>
              <w:t xml:space="preserve">Pièce exigée</w:t>
            </w:r>
          </w:p>
        </w:tc>
      </w:tr>
      <w:tr>
        <w:tc>
          <w:tcPr/>
          <w:p>
            <w:pPr>
              <w:pStyle w:val="Compact"/>
            </w:pPr>
            <w:r>
              <w:rPr>
                <w:sz w:val="17"/>
              </w:rPr>
              <w:t xml:space="preserve">Juridique</w:t>
            </w:r>
          </w:p>
        </w:tc>
        <w:tc>
          <w:tcPr/>
          <w:p>
            <w:pPr>
              <w:pStyle w:val="Compact"/>
            </w:pPr>
            <w:r>
              <w:rPr>
                <w:sz w:val="17"/>
              </w:rPr>
              <w:t xml:space="preserve">État</w:t>
            </w:r>
            <w:r>
              <w:rPr>
                <w:sz w:val="17"/>
              </w:rPr>
              <w:t xml:space="preserve"> </w:t>
            </w:r>
            <w:r>
              <w:rPr>
                <w:rStyle w:val="VerbatimChar"/>
                <w:sz w:val="17"/>
              </w:rPr>
              <w:t xml:space="preserve">REVUE_JURIDIQUE</w:t>
            </w:r>
            <w:r>
              <w:rPr>
                <w:sz w:val="17"/>
              </w:rPr>
              <w:t xml:space="preserve">, visa du juriste vérificateur (R14)</w:t>
            </w:r>
          </w:p>
        </w:tc>
        <w:tc>
          <w:tcPr/>
          <w:p>
            <w:pPr>
              <w:pStyle w:val="Compact"/>
            </w:pPr>
            <w:r>
              <w:rPr>
                <w:sz w:val="17"/>
              </w:rPr>
              <w:t xml:space="preserve">Pièce officielle hachée ; cas de tests juridiques</w:t>
            </w:r>
          </w:p>
        </w:tc>
      </w:tr>
      <w:tr>
        <w:tc>
          <w:tcPr>
            <w:shd w:val="clear" w:color="auto" w:fill="F5F7FB"/>
          </w:tcPr>
          <w:p>
            <w:pPr>
              <w:pStyle w:val="Compact"/>
            </w:pPr>
            <w:r>
              <w:rPr>
                <w:b/>
                <w:bCs/>
                <w:sz w:val="17"/>
              </w:rPr>
              <w:t xml:space="preserve">Fiscal</w:t>
            </w:r>
          </w:p>
        </w:tc>
        <w:tc>
          <w:tcPr>
            <w:shd w:val="clear" w:color="auto" w:fill="F5F7FB"/>
          </w:tcPr>
          <w:p>
            <w:pPr>
              <w:pStyle w:val="Compact"/>
            </w:pPr>
            <w:r>
              <w:rPr>
                <w:sz w:val="17"/>
              </w:rPr>
              <w:t xml:space="preserve">Pièce obligatoire jointe au dossier de</w:t>
            </w:r>
            <w:r>
              <w:rPr>
                <w:sz w:val="17"/>
              </w:rPr>
              <w:t xml:space="preserve"> </w:t>
            </w:r>
            <w:r>
              <w:rPr>
                <w:rStyle w:val="VerbatimChar"/>
                <w:sz w:val="17"/>
              </w:rPr>
              <w:t xml:space="preserve">REVUE_JURIDIQUE</w:t>
            </w:r>
            <w:r>
              <w:rPr>
                <w:sz w:val="17"/>
              </w:rPr>
              <w:t xml:space="preserve">, produite par le service d’assiette de la régie administrante</w:t>
            </w:r>
          </w:p>
        </w:tc>
        <w:tc>
          <w:tcPr>
            <w:shd w:val="clear" w:color="auto" w:fill="F5F7FB"/>
          </w:tcPr>
          <w:p>
            <w:pPr>
              <w:pStyle w:val="Compact"/>
            </w:pPr>
            <w:r>
              <w:rPr>
                <w:b/>
                <w:bCs/>
                <w:sz w:val="17"/>
              </w:rPr>
              <w:t xml:space="preserve">Rapport de simulation sur échantillon réel</w:t>
            </w:r>
            <w:r>
              <w:rPr>
                <w:sz w:val="17"/>
              </w:rPr>
              <w:t xml:space="preserve"> </w:t>
            </w:r>
            <w:r>
              <w:rPr>
                <w:sz w:val="17"/>
              </w:rPr>
              <w:t xml:space="preserve">(module 26 : « simulation sur échantillon avant publication ») : nombre de redevables touchés, montants, écarts avec l’exercice précédent, cas limites</w:t>
            </w:r>
          </w:p>
        </w:tc>
      </w:tr>
      <w:tr>
        <w:tc>
          <w:tcPr/>
          <w:p>
            <w:pPr>
              <w:pStyle w:val="Compact"/>
            </w:pPr>
            <w:r>
              <w:rPr>
                <w:sz w:val="17"/>
              </w:rPr>
              <w:t xml:space="preserve">Financier</w:t>
            </w:r>
          </w:p>
        </w:tc>
        <w:tc>
          <w:tcPr/>
          <w:p>
            <w:pPr>
              <w:pStyle w:val="Compact"/>
            </w:pPr>
            <w:r>
              <w:rPr>
                <w:sz w:val="17"/>
              </w:rPr>
              <w:t xml:space="preserve">État</w:t>
            </w:r>
            <w:r>
              <w:rPr>
                <w:sz w:val="17"/>
              </w:rPr>
              <w:t xml:space="preserve"> </w:t>
            </w:r>
            <w:r>
              <w:rPr>
                <w:rStyle w:val="VerbatimChar"/>
                <w:sz w:val="17"/>
              </w:rPr>
              <w:t xml:space="preserve">REVUE_FINANCIERE</w:t>
            </w:r>
            <w:r>
              <w:rPr>
                <w:sz w:val="17"/>
              </w:rPr>
              <w:t xml:space="preserve">, visa du validateur financier (R15)</w:t>
            </w:r>
          </w:p>
        </w:tc>
        <w:tc>
          <w:tcPr/>
          <w:p>
            <w:pPr>
              <w:pStyle w:val="Compact"/>
            </w:pPr>
            <w:r>
              <w:rPr>
                <w:sz w:val="17"/>
              </w:rPr>
              <w:t xml:space="preserve">Compte bénéficiaire (alias du coffre), cohérence budgétaire</w:t>
            </w:r>
          </w:p>
        </w:tc>
      </w:tr>
      <w:tr>
        <w:tc>
          <w:tcPr>
            <w:shd w:val="clear" w:color="auto" w:fill="F5F7FB"/>
          </w:tcPr>
          <w:p>
            <w:pPr>
              <w:pStyle w:val="Compact"/>
            </w:pPr>
            <w:r>
              <w:rPr>
                <w:sz w:val="17"/>
              </w:rPr>
              <w:t xml:space="preserve">Publication</w:t>
            </w:r>
          </w:p>
        </w:tc>
        <w:tc>
          <w:tcPr>
            <w:shd w:val="clear" w:color="auto" w:fill="F5F7FB"/>
          </w:tcPr>
          <w:p>
            <w:pPr>
              <w:pStyle w:val="Compact"/>
            </w:pPr>
            <w:r>
              <w:rPr>
                <w:sz w:val="17"/>
              </w:rPr>
              <w:t xml:space="preserve">État</w:t>
            </w:r>
            <w:r>
              <w:rPr>
                <w:sz w:val="17"/>
              </w:rPr>
              <w:t xml:space="preserve"> </w:t>
            </w:r>
            <w:r>
              <w:rPr>
                <w:rStyle w:val="VerbatimChar"/>
                <w:sz w:val="17"/>
              </w:rPr>
              <w:t xml:space="preserve">PUBLIEE</w:t>
            </w:r>
            <w:r>
              <w:rPr>
                <w:sz w:val="17"/>
              </w:rPr>
              <w:t xml:space="preserve"> </w:t>
            </w:r>
            <w:r>
              <w:rPr>
                <w:sz w:val="17"/>
              </w:rPr>
              <w:t xml:space="preserve">par l’autorité de publication (R16), distincte des trois précédents</w:t>
            </w:r>
          </w:p>
        </w:tc>
        <w:tc>
          <w:tcPr>
            <w:shd w:val="clear" w:color="auto" w:fill="F5F7FB"/>
          </w:tcPr>
          <w:p>
            <w:pPr>
              <w:pStyle w:val="Compact"/>
            </w:pPr>
            <w:r>
              <w:rPr>
                <w:sz w:val="17"/>
              </w:rPr>
              <w:t xml:space="preserve">Acte de publication</w:t>
            </w:r>
          </w:p>
        </w:tc>
      </w:tr>
    </w:tbl>
    <w:p>
      <w:pPr>
        <w:pStyle w:val="BodyText"/>
      </w:pPr>
      <w:r>
        <w:t xml:space="preserve">Exigences complémentaires reprises :</w:t>
      </w:r>
      <w:r>
        <w:t xml:space="preserve"> </w:t>
      </w:r>
      <w:r>
        <w:rPr>
          <w:b/>
          <w:bCs/>
        </w:rPr>
        <w:t xml:space="preserve">code de recette stable et non réutilisable</w:t>
      </w:r>
      <w:r>
        <w:t xml:space="preserve"> </w:t>
      </w:r>
      <w:r>
        <w:t xml:space="preserve">(déjà porté par</w:t>
      </w:r>
      <w:r>
        <w:t xml:space="preserve"> </w:t>
      </w:r>
      <w:r>
        <w:rPr>
          <w:rStyle w:val="VerbatimChar"/>
        </w:rPr>
        <w:t xml:space="preserve">RevenueType.code</w:t>
      </w:r>
      <w:r>
        <w:t xml:space="preserve">, § 29.3) ; conservation de la version appliquée à chaque liquidation ; une règle expirée ne produit aucune nouvelle obligation (AC-LEG-05, § H.21) ; anciennes références et anciens taux enregistrés au statut</w:t>
      </w:r>
      <w:r>
        <w:t xml:space="preserve"> </w:t>
      </w:r>
      <w:r>
        <w:rPr>
          <w:rStyle w:val="VerbatimChar"/>
        </w:rPr>
        <w:t xml:space="preserve">A_VERIFIER</w:t>
      </w:r>
      <w:r>
        <w:t xml:space="preserve">, donc</w:t>
      </w:r>
      <w:r>
        <w:t xml:space="preserve"> </w:t>
      </w:r>
      <w:r>
        <w:rPr>
          <w:b/>
          <w:bCs/>
        </w:rPr>
        <w:t xml:space="preserve">désactivés dans le moteur</w:t>
      </w:r>
      <w:r>
        <w:t xml:space="preserve"> </w:t>
      </w:r>
      <w:r>
        <w:t xml:space="preserve">tant qu’ils ne sont pas validés pour l’exercice.</w:t>
      </w:r>
    </w:p>
    <w:bookmarkEnd w:id="405"/>
    <w:bookmarkStart w:id="406" w:name="X67fd2bdca25ff0607742870e5856502c22a74e2"/>
    <w:p>
      <w:pPr>
        <w:pStyle w:val="Heading3"/>
      </w:pPr>
      <w:r>
        <w:t xml:space="preserve">H.3.2 Les 29 points de vérification du Cahier (Annexe B) et leur rattachement</w:t>
      </w:r>
    </w:p>
    <w:p>
      <w:pPr>
        <w:pStyle w:val="FirstParagraph"/>
      </w:pPr>
      <w:r>
        <w:t xml:space="preserve">Les points J1 à J16 du § 6.13 couvrent une partie des 29 points de l’Annexe B du Cahier. Les autres sont intégrés ci-dessous sous les numéros</w:t>
      </w:r>
      <w:r>
        <w:t xml:space="preserve"> </w:t>
      </w:r>
      <w:r>
        <w:rPr>
          <w:b/>
          <w:bCs/>
        </w:rPr>
        <w:t xml:space="preserve">J17 à J30</w:t>
      </w:r>
      <w:r>
        <w:t xml:space="preserve">, avec le même formalisme (autorité, hypothèse intérimaire sûre, verrou technique).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Point Annexe B (C)</w:t>
            </w:r>
          </w:p>
        </w:tc>
        <w:tc>
          <w:tcPr>
            <w:shd w:val="clear" w:color="auto" w:fill="232C6B"/>
          </w:tcPr>
          <w:p>
            <w:pPr>
              <w:pStyle w:val="Compact"/>
            </w:pPr>
            <w:r>
              <w:rPr>
                <w:b/>
                <w:color w:val="FFFFFF"/>
                <w:sz w:val="17"/>
              </w:rPr>
              <w:t xml:space="preserve">Objet</w:t>
            </w:r>
          </w:p>
        </w:tc>
        <w:tc>
          <w:tcPr>
            <w:shd w:val="clear" w:color="auto" w:fill="232C6B"/>
          </w:tcPr>
          <w:p>
            <w:pPr>
              <w:pStyle w:val="Compact"/>
            </w:pPr>
            <w:r>
              <w:rPr>
                <w:b/>
                <w:color w:val="FFFFFF"/>
                <w:sz w:val="17"/>
              </w:rPr>
              <w:t xml:space="preserve">Rattachement v3.0</w:t>
            </w:r>
          </w:p>
        </w:tc>
      </w:tr>
      <w:tr>
        <w:tc>
          <w:tcPr/>
          <w:p>
            <w:pPr>
              <w:pStyle w:val="Compact"/>
            </w:pPr>
            <w:r>
              <w:rPr>
                <w:sz w:val="17"/>
              </w:rPr>
              <w:t xml:space="preserve">1</w:t>
            </w:r>
          </w:p>
        </w:tc>
        <w:tc>
          <w:tcPr/>
          <w:p>
            <w:pPr>
              <w:pStyle w:val="Compact"/>
            </w:pPr>
            <w:r>
              <w:rPr>
                <w:sz w:val="17"/>
              </w:rPr>
              <w:t xml:space="preserve">Texte consolidé de la nomenclature et des OL de 1969</w:t>
            </w:r>
          </w:p>
        </w:tc>
        <w:tc>
          <w:tcPr/>
          <w:p>
            <w:pPr>
              <w:pStyle w:val="Compact"/>
            </w:pPr>
            <w:r>
              <w:rPr>
                <w:sz w:val="17"/>
              </w:rPr>
              <w:t xml:space="preserve">J1</w:t>
            </w:r>
          </w:p>
        </w:tc>
      </w:tr>
      <w:tr>
        <w:tc>
          <w:tcPr>
            <w:shd w:val="clear" w:color="auto" w:fill="F5F7FB"/>
          </w:tcPr>
          <w:p>
            <w:pPr>
              <w:pStyle w:val="Compact"/>
            </w:pPr>
            <w:r>
              <w:rPr>
                <w:sz w:val="17"/>
              </w:rPr>
              <w:t xml:space="preserve">2</w:t>
            </w:r>
          </w:p>
        </w:tc>
        <w:tc>
          <w:tcPr>
            <w:shd w:val="clear" w:color="auto" w:fill="F5F7FB"/>
          </w:tcPr>
          <w:p>
            <w:pPr>
              <w:pStyle w:val="Compact"/>
            </w:pPr>
            <w:r>
              <w:rPr>
                <w:sz w:val="17"/>
              </w:rPr>
              <w:t xml:space="preserve">Objet et statut de la Loi n° 18/014</w:t>
            </w:r>
          </w:p>
        </w:tc>
        <w:tc>
          <w:tcPr>
            <w:shd w:val="clear" w:color="auto" w:fill="F5F7FB"/>
          </w:tcPr>
          <w:p>
            <w:pPr>
              <w:pStyle w:val="Compact"/>
            </w:pPr>
            <w:r>
              <w:rPr>
                <w:sz w:val="17"/>
              </w:rPr>
              <w:t xml:space="preserve">J2</w:t>
            </w:r>
          </w:p>
        </w:tc>
      </w:tr>
      <w:tr>
        <w:tc>
          <w:tcPr/>
          <w:p>
            <w:pPr>
              <w:pStyle w:val="Compact"/>
            </w:pPr>
            <w:r>
              <w:rPr>
                <w:sz w:val="17"/>
              </w:rPr>
              <w:t xml:space="preserve">3</w:t>
            </w:r>
          </w:p>
        </w:tc>
        <w:tc>
          <w:tcPr/>
          <w:p>
            <w:pPr>
              <w:pStyle w:val="Compact"/>
            </w:pPr>
            <w:r>
              <w:rPr>
                <w:sz w:val="17"/>
              </w:rPr>
              <w:t xml:space="preserve">Arrêtés des taux IF, IRL, véhicules de l’exercice</w:t>
            </w:r>
          </w:p>
        </w:tc>
        <w:tc>
          <w:tcPr/>
          <w:p>
            <w:pPr>
              <w:pStyle w:val="Compact"/>
            </w:pPr>
            <w:r>
              <w:rPr>
                <w:sz w:val="17"/>
              </w:rPr>
              <w:t xml:space="preserve">J3</w:t>
            </w:r>
          </w:p>
        </w:tc>
      </w:tr>
      <w:tr>
        <w:tc>
          <w:tcPr>
            <w:shd w:val="clear" w:color="auto" w:fill="F5F7FB"/>
          </w:tcPr>
          <w:p>
            <w:pPr>
              <w:pStyle w:val="Compact"/>
            </w:pPr>
            <w:r>
              <w:rPr>
                <w:sz w:val="17"/>
              </w:rPr>
              <w:t xml:space="preserve">4</w:t>
            </w:r>
          </w:p>
        </w:tc>
        <w:tc>
          <w:tcPr>
            <w:shd w:val="clear" w:color="auto" w:fill="F5F7FB"/>
          </w:tcPr>
          <w:p>
            <w:pPr>
              <w:pStyle w:val="Compact"/>
            </w:pPr>
            <w:r>
              <w:rPr>
                <w:sz w:val="17"/>
              </w:rPr>
              <w:t xml:space="preserve">Texte intégral de l’édit budgétaire</w:t>
            </w:r>
          </w:p>
        </w:tc>
        <w:tc>
          <w:tcPr>
            <w:shd w:val="clear" w:color="auto" w:fill="F5F7FB"/>
          </w:tcPr>
          <w:p>
            <w:pPr>
              <w:pStyle w:val="Compact"/>
            </w:pPr>
            <w:r>
              <w:rPr>
                <w:sz w:val="17"/>
              </w:rPr>
              <w:t xml:space="preserve">J3</w:t>
            </w:r>
          </w:p>
        </w:tc>
      </w:tr>
      <w:tr>
        <w:tc>
          <w:tcPr/>
          <w:p>
            <w:pPr>
              <w:pStyle w:val="Compact"/>
            </w:pPr>
            <w:r>
              <w:rPr>
                <w:sz w:val="17"/>
              </w:rPr>
              <w:t xml:space="preserve">5</w:t>
            </w:r>
          </w:p>
        </w:tc>
        <w:tc>
          <w:tcPr/>
          <w:p>
            <w:pPr>
              <w:pStyle w:val="Compact"/>
            </w:pPr>
            <w:r>
              <w:rPr>
                <w:sz w:val="17"/>
              </w:rPr>
              <w:t xml:space="preserve">Code du numérique : résidence, signature, protection</w:t>
            </w:r>
          </w:p>
        </w:tc>
        <w:tc>
          <w:tcPr/>
          <w:p>
            <w:pPr>
              <w:pStyle w:val="Compact"/>
            </w:pPr>
            <w:r>
              <w:rPr>
                <w:sz w:val="17"/>
              </w:rPr>
              <w:t xml:space="preserve">J7, J8 ; § 33</w:t>
            </w:r>
          </w:p>
        </w:tc>
      </w:tr>
      <w:tr>
        <w:tc>
          <w:tcPr>
            <w:shd w:val="clear" w:color="auto" w:fill="F5F7FB"/>
          </w:tcPr>
          <w:p>
            <w:pPr>
              <w:pStyle w:val="Compact"/>
            </w:pPr>
            <w:r>
              <w:rPr>
                <w:sz w:val="17"/>
              </w:rPr>
              <w:t xml:space="preserve">6</w:t>
            </w:r>
          </w:p>
        </w:tc>
        <w:tc>
          <w:tcPr>
            <w:shd w:val="clear" w:color="auto" w:fill="F5F7FB"/>
          </w:tcPr>
          <w:p>
            <w:pPr>
              <w:pStyle w:val="Compact"/>
            </w:pPr>
            <w:r>
              <w:rPr>
                <w:sz w:val="17"/>
              </w:rPr>
              <w:t xml:space="preserve">Habilitation des agrégateurs et prestataires (BCC)</w:t>
            </w:r>
          </w:p>
        </w:tc>
        <w:tc>
          <w:tcPr>
            <w:shd w:val="clear" w:color="auto" w:fill="F5F7FB"/>
          </w:tcPr>
          <w:p>
            <w:pPr>
              <w:pStyle w:val="Compact"/>
            </w:pPr>
            <w:r>
              <w:rPr>
                <w:sz w:val="17"/>
              </w:rPr>
              <w:t xml:space="preserve">J9</w:t>
            </w:r>
          </w:p>
        </w:tc>
      </w:tr>
      <w:tr>
        <w:tc>
          <w:tcPr/>
          <w:p>
            <w:pPr>
              <w:pStyle w:val="Compact"/>
            </w:pPr>
            <w:r>
              <w:rPr>
                <w:sz w:val="17"/>
              </w:rPr>
              <w:t xml:space="preserve">7</w:t>
            </w:r>
          </w:p>
        </w:tc>
        <w:tc>
          <w:tcPr/>
          <w:p>
            <w:pPr>
              <w:pStyle w:val="Compact"/>
            </w:pPr>
            <w:r>
              <w:rPr>
                <w:sz w:val="17"/>
              </w:rPr>
              <w:t xml:space="preserve">Textes DGRFK/DGTK et compétences</w:t>
            </w:r>
          </w:p>
        </w:tc>
        <w:tc>
          <w:tcPr/>
          <w:p>
            <w:pPr>
              <w:pStyle w:val="Compact"/>
            </w:pPr>
            <w:r>
              <w:rPr>
                <w:sz w:val="17"/>
              </w:rPr>
              <w:t xml:space="preserve">J5</w:t>
            </w:r>
          </w:p>
        </w:tc>
      </w:tr>
      <w:tr>
        <w:tc>
          <w:tcPr>
            <w:shd w:val="clear" w:color="auto" w:fill="F5F7FB"/>
          </w:tcPr>
          <w:p>
            <w:pPr>
              <w:pStyle w:val="Compact"/>
            </w:pPr>
            <w:r>
              <w:rPr>
                <w:sz w:val="17"/>
              </w:rPr>
              <w:t xml:space="preserve">8</w:t>
            </w:r>
          </w:p>
        </w:tc>
        <w:tc>
          <w:tcPr>
            <w:shd w:val="clear" w:color="auto" w:fill="F5F7FB"/>
          </w:tcPr>
          <w:p>
            <w:pPr>
              <w:pStyle w:val="Compact"/>
            </w:pPr>
            <w:r>
              <w:rPr>
                <w:sz w:val="17"/>
              </w:rPr>
              <w:t xml:space="preserve">Régime des primes des agents</w:t>
            </w:r>
          </w:p>
        </w:tc>
        <w:tc>
          <w:tcPr>
            <w:shd w:val="clear" w:color="auto" w:fill="F5F7FB"/>
          </w:tcPr>
          <w:p>
            <w:pPr>
              <w:pStyle w:val="Compact"/>
            </w:pPr>
            <w:r>
              <w:rPr>
                <w:sz w:val="17"/>
              </w:rPr>
              <w:t xml:space="preserve">J10</w:t>
            </w:r>
          </w:p>
        </w:tc>
      </w:tr>
      <w:tr>
        <w:tc>
          <w:tcPr/>
          <w:p>
            <w:pPr>
              <w:pStyle w:val="Compact"/>
            </w:pPr>
            <w:r>
              <w:rPr>
                <w:sz w:val="17"/>
              </w:rPr>
              <w:t xml:space="preserve">9</w:t>
            </w:r>
          </w:p>
        </w:tc>
        <w:tc>
          <w:tcPr/>
          <w:p>
            <w:pPr>
              <w:pStyle w:val="Compact"/>
            </w:pPr>
            <w:r>
              <w:rPr>
                <w:sz w:val="17"/>
              </w:rPr>
              <w:t xml:space="preserve">Valeur de la quittance « en attente de règlement » et délai maximal de bascule</w:t>
            </w:r>
          </w:p>
        </w:tc>
        <w:tc>
          <w:tcPr/>
          <w:p>
            <w:pPr>
              <w:pStyle w:val="Compact"/>
            </w:pPr>
            <w:r>
              <w:rPr>
                <w:sz w:val="17"/>
              </w:rPr>
              <w:t xml:space="preserve">J7 +</w:t>
            </w:r>
            <w:r>
              <w:rPr>
                <w:sz w:val="17"/>
              </w:rPr>
              <w:t xml:space="preserve"> </w:t>
            </w:r>
            <w:r>
              <w:rPr>
                <w:b/>
                <w:bCs/>
                <w:sz w:val="17"/>
              </w:rPr>
              <w:t xml:space="preserve">J17</w:t>
            </w:r>
          </w:p>
        </w:tc>
      </w:tr>
      <w:tr>
        <w:tc>
          <w:tcPr>
            <w:shd w:val="clear" w:color="auto" w:fill="F5F7FB"/>
          </w:tcPr>
          <w:p>
            <w:pPr>
              <w:pStyle w:val="Compact"/>
            </w:pPr>
            <w:r>
              <w:rPr>
                <w:sz w:val="17"/>
              </w:rPr>
              <w:t xml:space="preserve">10</w:t>
            </w:r>
          </w:p>
        </w:tc>
        <w:tc>
          <w:tcPr>
            <w:shd w:val="clear" w:color="auto" w:fill="F5F7FB"/>
          </w:tcPr>
          <w:p>
            <w:pPr>
              <w:pStyle w:val="Compact"/>
            </w:pPr>
            <w:r>
              <w:rPr>
                <w:sz w:val="17"/>
              </w:rPr>
              <w:t xml:space="preserve">Base légale des verticales ports/fluvial et AVIA</w:t>
            </w:r>
          </w:p>
        </w:tc>
        <w:tc>
          <w:tcPr>
            <w:shd w:val="clear" w:color="auto" w:fill="F5F7FB"/>
          </w:tcPr>
          <w:p>
            <w:pPr>
              <w:pStyle w:val="Compact"/>
            </w:pPr>
            <w:r>
              <w:rPr>
                <w:b/>
                <w:bCs/>
                <w:sz w:val="17"/>
              </w:rPr>
              <w:t xml:space="preserve">J30</w:t>
            </w:r>
            <w:r>
              <w:rPr>
                <w:sz w:val="17"/>
              </w:rPr>
              <w:t xml:space="preserve"> </w:t>
            </w:r>
            <w:r>
              <w:rPr>
                <w:sz w:val="17"/>
              </w:rPr>
              <w:t xml:space="preserve">et J23</w:t>
            </w:r>
          </w:p>
        </w:tc>
      </w:tr>
      <w:tr>
        <w:tc>
          <w:tcPr/>
          <w:p>
            <w:pPr>
              <w:pStyle w:val="Compact"/>
            </w:pPr>
            <w:r>
              <w:rPr>
                <w:sz w:val="17"/>
              </w:rPr>
              <w:t xml:space="preserve">11</w:t>
            </w:r>
          </w:p>
        </w:tc>
        <w:tc>
          <w:tcPr/>
          <w:p>
            <w:pPr>
              <w:pStyle w:val="Compact"/>
            </w:pPr>
            <w:r>
              <w:rPr>
                <w:sz w:val="17"/>
              </w:rPr>
              <w:t xml:space="preserve">Rémunération du prestataire indexée sur les recettes additionnelles nettes</w:t>
            </w:r>
          </w:p>
        </w:tc>
        <w:tc>
          <w:tcPr/>
          <w:p>
            <w:pPr>
              <w:pStyle w:val="Compact"/>
            </w:pPr>
            <w:r>
              <w:rPr>
                <w:sz w:val="17"/>
              </w:rPr>
              <w:t xml:space="preserve">J11 (modèle hybride, § 37.3)</w:t>
            </w:r>
          </w:p>
        </w:tc>
      </w:tr>
      <w:tr>
        <w:tc>
          <w:tcPr>
            <w:shd w:val="clear" w:color="auto" w:fill="F5F7FB"/>
          </w:tcPr>
          <w:p>
            <w:pPr>
              <w:pStyle w:val="Compact"/>
            </w:pPr>
            <w:r>
              <w:rPr>
                <w:sz w:val="17"/>
              </w:rPr>
              <w:t xml:space="preserve">12</w:t>
            </w:r>
          </w:p>
        </w:tc>
        <w:tc>
          <w:tcPr>
            <w:shd w:val="clear" w:color="auto" w:fill="F5F7FB"/>
          </w:tcPr>
          <w:p>
            <w:pPr>
              <w:pStyle w:val="Compact"/>
            </w:pPr>
            <w:r>
              <w:rPr>
                <w:sz w:val="17"/>
              </w:rPr>
              <w:t xml:space="preserve">Valeur du consentement par empreinte, voix ou témoin ; régime de capture de l’empreinte</w:t>
            </w:r>
          </w:p>
        </w:tc>
        <w:tc>
          <w:tcPr>
            <w:shd w:val="clear" w:color="auto" w:fill="F5F7FB"/>
          </w:tcPr>
          <w:p>
            <w:pPr>
              <w:pStyle w:val="Compact"/>
            </w:pPr>
            <w:r>
              <w:rPr>
                <w:b/>
                <w:bCs/>
                <w:sz w:val="17"/>
              </w:rPr>
              <w:t xml:space="preserve">J18</w:t>
            </w:r>
          </w:p>
        </w:tc>
      </w:tr>
      <w:tr>
        <w:tc>
          <w:tcPr/>
          <w:p>
            <w:pPr>
              <w:pStyle w:val="Compact"/>
            </w:pPr>
            <w:r>
              <w:rPr>
                <w:sz w:val="17"/>
              </w:rPr>
              <w:t xml:space="preserve">13</w:t>
            </w:r>
          </w:p>
        </w:tc>
        <w:tc>
          <w:tcPr/>
          <w:p>
            <w:pPr>
              <w:pStyle w:val="Compact"/>
            </w:pPr>
            <w:r>
              <w:rPr>
                <w:sz w:val="17"/>
              </w:rPr>
              <w:t xml:space="preserve">Délégation à des sous-traitants privés (recensement, enrôlement, constats)</w:t>
            </w:r>
          </w:p>
        </w:tc>
        <w:tc>
          <w:tcPr/>
          <w:p>
            <w:pPr>
              <w:pStyle w:val="Compact"/>
            </w:pPr>
            <w:r>
              <w:rPr>
                <w:b/>
                <w:bCs/>
                <w:sz w:val="17"/>
              </w:rPr>
              <w:t xml:space="preserve">J19</w:t>
            </w:r>
          </w:p>
        </w:tc>
      </w:tr>
      <w:tr>
        <w:tc>
          <w:tcPr>
            <w:shd w:val="clear" w:color="auto" w:fill="F5F7FB"/>
          </w:tcPr>
          <w:p>
            <w:pPr>
              <w:pStyle w:val="Compact"/>
            </w:pPr>
            <w:r>
              <w:rPr>
                <w:sz w:val="17"/>
              </w:rPr>
              <w:t xml:space="preserve">14</w:t>
            </w:r>
          </w:p>
        </w:tc>
        <w:tc>
          <w:tcPr>
            <w:shd w:val="clear" w:color="auto" w:fill="F5F7FB"/>
          </w:tcPr>
          <w:p>
            <w:pPr>
              <w:pStyle w:val="Compact"/>
            </w:pPr>
            <w:r>
              <w:rPr>
                <w:sz w:val="17"/>
              </w:rPr>
              <w:t xml:space="preserve">Encaissement pour compte de la Ville par agents de monnaie mobile et guichets bancaires ; commission</w:t>
            </w:r>
          </w:p>
        </w:tc>
        <w:tc>
          <w:tcPr>
            <w:shd w:val="clear" w:color="auto" w:fill="F5F7FB"/>
          </w:tcPr>
          <w:p>
            <w:pPr>
              <w:pStyle w:val="Compact"/>
            </w:pPr>
            <w:r>
              <w:rPr>
                <w:sz w:val="17"/>
              </w:rPr>
              <w:t xml:space="preserve">J9 +</w:t>
            </w:r>
            <w:r>
              <w:rPr>
                <w:sz w:val="17"/>
              </w:rPr>
              <w:t xml:space="preserve"> </w:t>
            </w:r>
            <w:r>
              <w:rPr>
                <w:b/>
                <w:bCs/>
                <w:sz w:val="17"/>
              </w:rPr>
              <w:t xml:space="preserve">J20</w:t>
            </w:r>
          </w:p>
        </w:tc>
      </w:tr>
      <w:tr>
        <w:tc>
          <w:tcPr/>
          <w:p>
            <w:pPr>
              <w:pStyle w:val="Compact"/>
            </w:pPr>
            <w:r>
              <w:rPr>
                <w:sz w:val="17"/>
              </w:rPr>
              <w:t xml:space="preserve">15</w:t>
            </w:r>
          </w:p>
        </w:tc>
        <w:tc>
          <w:tcPr/>
          <w:p>
            <w:pPr>
              <w:pStyle w:val="Compact"/>
            </w:pPr>
            <w:r>
              <w:rPr>
                <w:sz w:val="17"/>
              </w:rPr>
              <w:t xml:space="preserve">Obligations de protection des données des sous-traitants</w:t>
            </w:r>
          </w:p>
        </w:tc>
        <w:tc>
          <w:tcPr/>
          <w:p>
            <w:pPr>
              <w:pStyle w:val="Compact"/>
            </w:pPr>
            <w:r>
              <w:rPr>
                <w:sz w:val="17"/>
              </w:rPr>
              <w:t xml:space="preserve">J8 +</w:t>
            </w:r>
            <w:r>
              <w:rPr>
                <w:sz w:val="17"/>
              </w:rPr>
              <w:t xml:space="preserve"> </w:t>
            </w:r>
            <w:r>
              <w:rPr>
                <w:b/>
                <w:bCs/>
                <w:sz w:val="17"/>
              </w:rPr>
              <w:t xml:space="preserve">J19</w:t>
            </w:r>
          </w:p>
        </w:tc>
      </w:tr>
      <w:tr>
        <w:tc>
          <w:tcPr>
            <w:shd w:val="clear" w:color="auto" w:fill="F5F7FB"/>
          </w:tcPr>
          <w:p>
            <w:pPr>
              <w:pStyle w:val="Compact"/>
            </w:pPr>
            <w:r>
              <w:rPr>
                <w:sz w:val="17"/>
              </w:rPr>
              <w:t xml:space="preserve">16</w:t>
            </w:r>
          </w:p>
        </w:tc>
        <w:tc>
          <w:tcPr>
            <w:shd w:val="clear" w:color="auto" w:fill="F5F7FB"/>
          </w:tcPr>
          <w:p>
            <w:pPr>
              <w:pStyle w:val="Compact"/>
            </w:pPr>
            <w:r>
              <w:rPr>
                <w:sz w:val="17"/>
              </w:rPr>
              <w:t xml:space="preserve">Valeur juridique des titres dématérialisés ; acte par module</w:t>
            </w:r>
          </w:p>
        </w:tc>
        <w:tc>
          <w:tcPr>
            <w:shd w:val="clear" w:color="auto" w:fill="F5F7FB"/>
          </w:tcPr>
          <w:p>
            <w:pPr>
              <w:pStyle w:val="Compact"/>
            </w:pPr>
            <w:r>
              <w:rPr>
                <w:b/>
                <w:bCs/>
                <w:sz w:val="17"/>
              </w:rPr>
              <w:t xml:space="preserve">J21</w:t>
            </w:r>
          </w:p>
        </w:tc>
      </w:tr>
      <w:tr>
        <w:tc>
          <w:tcPr/>
          <w:p>
            <w:pPr>
              <w:pStyle w:val="Compact"/>
            </w:pPr>
            <w:r>
              <w:rPr>
                <w:sz w:val="17"/>
              </w:rPr>
              <w:t xml:space="preserve">17</w:t>
            </w:r>
          </w:p>
        </w:tc>
        <w:tc>
          <w:tcPr/>
          <w:p>
            <w:pPr>
              <w:pStyle w:val="Compact"/>
            </w:pPr>
            <w:r>
              <w:rPr>
                <w:sz w:val="17"/>
              </w:rPr>
              <w:t xml:space="preserve">Compétences province / communes / opérateurs pour les services partagés ; arbitrage opposable</w:t>
            </w:r>
          </w:p>
        </w:tc>
        <w:tc>
          <w:tcPr/>
          <w:p>
            <w:pPr>
              <w:pStyle w:val="Compact"/>
            </w:pPr>
            <w:r>
              <w:rPr>
                <w:b/>
                <w:bCs/>
                <w:sz w:val="17"/>
              </w:rPr>
              <w:t xml:space="preserve">J22</w:t>
            </w:r>
          </w:p>
        </w:tc>
      </w:tr>
      <w:tr>
        <w:tc>
          <w:tcPr>
            <w:shd w:val="clear" w:color="auto" w:fill="F5F7FB"/>
          </w:tcPr>
          <w:p>
            <w:pPr>
              <w:pStyle w:val="Compact"/>
            </w:pPr>
            <w:r>
              <w:rPr>
                <w:sz w:val="17"/>
              </w:rPr>
              <w:t xml:space="preserve">18</w:t>
            </w:r>
          </w:p>
        </w:tc>
        <w:tc>
          <w:tcPr>
            <w:shd w:val="clear" w:color="auto" w:fill="F5F7FB"/>
          </w:tcPr>
          <w:p>
            <w:pPr>
              <w:pStyle w:val="Compact"/>
            </w:pPr>
            <w:r>
              <w:rPr>
                <w:sz w:val="17"/>
              </w:rPr>
              <w:t xml:space="preserve">Acte instituant la clé 10/10/10/70 ; compatibilité LOFIP</w:t>
            </w:r>
          </w:p>
        </w:tc>
        <w:tc>
          <w:tcPr>
            <w:shd w:val="clear" w:color="auto" w:fill="F5F7FB"/>
          </w:tcPr>
          <w:p>
            <w:pPr>
              <w:pStyle w:val="Compact"/>
            </w:pPr>
            <w:r>
              <w:rPr>
                <w:sz w:val="17"/>
              </w:rPr>
              <w:t xml:space="preserve">J11 —</w:t>
            </w:r>
            <w:r>
              <w:rPr>
                <w:sz w:val="17"/>
              </w:rPr>
              <w:t xml:space="preserve"> </w:t>
            </w:r>
            <w:r>
              <w:rPr>
                <w:b/>
                <w:bCs/>
                <w:sz w:val="17"/>
              </w:rPr>
              <w:t xml:space="preserve">sans objet</w:t>
            </w:r>
            <w:r>
              <w:rPr>
                <w:sz w:val="17"/>
              </w:rPr>
              <w:t xml:space="preserve"> </w:t>
            </w:r>
            <w:r>
              <w:rPr>
                <w:sz w:val="17"/>
              </w:rPr>
              <w:t xml:space="preserve">(modèle écarté, ARB-01)</w:t>
            </w:r>
          </w:p>
        </w:tc>
      </w:tr>
      <w:tr>
        <w:tc>
          <w:tcPr/>
          <w:p>
            <w:pPr>
              <w:pStyle w:val="Compact"/>
            </w:pPr>
            <w:r>
              <w:rPr>
                <w:sz w:val="17"/>
              </w:rPr>
              <w:t xml:space="preserve">19</w:t>
            </w:r>
          </w:p>
        </w:tc>
        <w:tc>
          <w:tcPr/>
          <w:p>
            <w:pPr>
              <w:pStyle w:val="Compact"/>
            </w:pPr>
            <w:r>
              <w:rPr>
                <w:sz w:val="17"/>
              </w:rPr>
              <w:t xml:space="preserve">Application de la clé aux parts ETD et du pouvoir central</w:t>
            </w:r>
          </w:p>
        </w:tc>
        <w:tc>
          <w:tcPr/>
          <w:p>
            <w:pPr>
              <w:pStyle w:val="Compact"/>
            </w:pPr>
            <w:r>
              <w:rPr>
                <w:sz w:val="17"/>
              </w:rPr>
              <w:t xml:space="preserve">J1 — seules les clés</w:t>
            </w:r>
            <w:r>
              <w:rPr>
                <w:sz w:val="17"/>
              </w:rPr>
              <w:t xml:space="preserve"> </w:t>
            </w:r>
            <w:r>
              <w:rPr>
                <w:b/>
                <w:bCs/>
                <w:sz w:val="17"/>
              </w:rPr>
              <w:t xml:space="preserve">légales</w:t>
            </w:r>
            <w:r>
              <w:rPr>
                <w:sz w:val="17"/>
              </w:rPr>
              <w:t xml:space="preserve"> </w:t>
            </w:r>
            <w:r>
              <w:rPr>
                <w:sz w:val="17"/>
              </w:rPr>
              <w:t xml:space="preserve">sont paramétrées (module 73)</w:t>
            </w:r>
          </w:p>
        </w:tc>
      </w:tr>
      <w:tr>
        <w:tc>
          <w:tcPr>
            <w:shd w:val="clear" w:color="auto" w:fill="F5F7FB"/>
          </w:tcPr>
          <w:p>
            <w:pPr>
              <w:pStyle w:val="Compact"/>
            </w:pPr>
            <w:r>
              <w:rPr>
                <w:sz w:val="17"/>
              </w:rPr>
              <w:t xml:space="preserve">20</w:t>
            </w:r>
          </w:p>
        </w:tc>
        <w:tc>
          <w:tcPr>
            <w:shd w:val="clear" w:color="auto" w:fill="F5F7FB"/>
          </w:tcPr>
          <w:p>
            <w:pPr>
              <w:pStyle w:val="Compact"/>
            </w:pPr>
            <w:r>
              <w:rPr>
                <w:sz w:val="17"/>
              </w:rPr>
              <w:t xml:space="preserve">Contrat de 30 ans rémunéré par une part des recettes</w:t>
            </w:r>
          </w:p>
        </w:tc>
        <w:tc>
          <w:tcPr>
            <w:shd w:val="clear" w:color="auto" w:fill="F5F7FB"/>
          </w:tcPr>
          <w:p>
            <w:pPr>
              <w:pStyle w:val="Compact"/>
            </w:pPr>
            <w:r>
              <w:rPr>
                <w:sz w:val="17"/>
              </w:rPr>
              <w:t xml:space="preserve">J11 —</w:t>
            </w:r>
            <w:r>
              <w:rPr>
                <w:sz w:val="17"/>
              </w:rPr>
              <w:t xml:space="preserve"> </w:t>
            </w:r>
            <w:r>
              <w:rPr>
                <w:b/>
                <w:bCs/>
                <w:sz w:val="17"/>
              </w:rPr>
              <w:t xml:space="preserve">sans objet</w:t>
            </w:r>
            <w:r>
              <w:rPr>
                <w:sz w:val="17"/>
              </w:rPr>
              <w:t xml:space="preserve"> </w:t>
            </w:r>
            <w:r>
              <w:rPr>
                <w:sz w:val="17"/>
              </w:rPr>
              <w:t xml:space="preserve">(ARB-10)</w:t>
            </w:r>
          </w:p>
        </w:tc>
      </w:tr>
      <w:tr>
        <w:tc>
          <w:tcPr/>
          <w:p>
            <w:pPr>
              <w:pStyle w:val="Compact"/>
            </w:pPr>
            <w:r>
              <w:rPr>
                <w:sz w:val="17"/>
              </w:rPr>
              <w:t xml:space="preserve">21</w:t>
            </w:r>
          </w:p>
        </w:tc>
        <w:tc>
          <w:tcPr/>
          <w:p>
            <w:pPr>
              <w:pStyle w:val="Compact"/>
            </w:pPr>
            <w:r>
              <w:rPr>
                <w:sz w:val="17"/>
              </w:rPr>
              <w:t xml:space="preserve">Convention tripartite ; traitement fiscal des sommes versées</w:t>
            </w:r>
          </w:p>
        </w:tc>
        <w:tc>
          <w:tcPr/>
          <w:p>
            <w:pPr>
              <w:pStyle w:val="Compact"/>
            </w:pPr>
            <w:r>
              <w:rPr>
                <w:sz w:val="17"/>
              </w:rPr>
              <w:t xml:space="preserve">J11 — sans objet pour la convention ; traitement fiscal des primes éventuelles des agents : J10</w:t>
            </w:r>
          </w:p>
        </w:tc>
      </w:tr>
      <w:tr>
        <w:tc>
          <w:tcPr>
            <w:shd w:val="clear" w:color="auto" w:fill="F5F7FB"/>
          </w:tcPr>
          <w:p>
            <w:pPr>
              <w:pStyle w:val="Compact"/>
            </w:pPr>
            <w:r>
              <w:rPr>
                <w:sz w:val="17"/>
              </w:rPr>
              <w:t xml:space="preserve">22</w:t>
            </w:r>
          </w:p>
        </w:tc>
        <w:tc>
          <w:tcPr>
            <w:shd w:val="clear" w:color="auto" w:fill="F5F7FB"/>
          </w:tcPr>
          <w:p>
            <w:pPr>
              <w:pStyle w:val="Compact"/>
            </w:pPr>
            <w:r>
              <w:rPr>
                <w:sz w:val="17"/>
              </w:rPr>
              <w:t xml:space="preserve">Financement des moyens physiques ; frais USSD, SVI, SMS</w:t>
            </w:r>
          </w:p>
        </w:tc>
        <w:tc>
          <w:tcPr>
            <w:shd w:val="clear" w:color="auto" w:fill="F5F7FB"/>
          </w:tcPr>
          <w:p>
            <w:pPr>
              <w:pStyle w:val="Compact"/>
            </w:pPr>
            <w:r>
              <w:rPr>
                <w:sz w:val="17"/>
              </w:rPr>
              <w:t xml:space="preserve">Décision n° 10 (ch. 47) +</w:t>
            </w:r>
            <w:r>
              <w:rPr>
                <w:sz w:val="17"/>
              </w:rPr>
              <w:t xml:space="preserve"> </w:t>
            </w:r>
            <w:r>
              <w:rPr>
                <w:b/>
                <w:bCs/>
                <w:sz w:val="17"/>
              </w:rPr>
              <w:t xml:space="preserve">J29</w:t>
            </w:r>
          </w:p>
        </w:tc>
      </w:tr>
      <w:tr>
        <w:tc>
          <w:tcPr/>
          <w:p>
            <w:pPr>
              <w:pStyle w:val="Compact"/>
            </w:pPr>
            <w:r>
              <w:rPr>
                <w:sz w:val="17"/>
              </w:rPr>
              <w:t xml:space="preserve">23</w:t>
            </w:r>
          </w:p>
        </w:tc>
        <w:tc>
          <w:tcPr/>
          <w:p>
            <w:pPr>
              <w:pStyle w:val="Compact"/>
            </w:pPr>
            <w:r>
              <w:rPr>
                <w:sz w:val="17"/>
              </w:rPr>
              <w:t xml:space="preserve">Mesures AVIA (non-validation, pénalités, suspension, retrait d’agrément) ; compétences Ville/RVA/DGM/aviation civile</w:t>
            </w:r>
          </w:p>
        </w:tc>
        <w:tc>
          <w:tcPr/>
          <w:p>
            <w:pPr>
              <w:pStyle w:val="Compact"/>
            </w:pPr>
            <w:r>
              <w:rPr>
                <w:b/>
                <w:bCs/>
                <w:sz w:val="17"/>
              </w:rPr>
              <w:t xml:space="preserve">J23</w:t>
            </w:r>
          </w:p>
        </w:tc>
      </w:tr>
      <w:tr>
        <w:tc>
          <w:tcPr>
            <w:shd w:val="clear" w:color="auto" w:fill="F5F7FB"/>
          </w:tcPr>
          <w:p>
            <w:pPr>
              <w:pStyle w:val="Compact"/>
            </w:pPr>
            <w:r>
              <w:rPr>
                <w:sz w:val="17"/>
              </w:rPr>
              <w:t xml:space="preserve">24</w:t>
            </w:r>
          </w:p>
        </w:tc>
        <w:tc>
          <w:tcPr>
            <w:shd w:val="clear" w:color="auto" w:fill="F5F7FB"/>
          </w:tcPr>
          <w:p>
            <w:pPr>
              <w:pStyle w:val="Compact"/>
            </w:pPr>
            <w:r>
              <w:rPr>
                <w:sz w:val="17"/>
              </w:rPr>
              <w:t xml:space="preserve">Clé spécifique AVIA</w:t>
            </w:r>
          </w:p>
        </w:tc>
        <w:tc>
          <w:tcPr>
            <w:shd w:val="clear" w:color="auto" w:fill="F5F7FB"/>
          </w:tcPr>
          <w:p>
            <w:pPr>
              <w:pStyle w:val="Compact"/>
            </w:pPr>
            <w:r>
              <w:rPr>
                <w:sz w:val="17"/>
              </w:rPr>
              <w:t xml:space="preserve">J11 — sans objet (ARB-07)</w:t>
            </w:r>
          </w:p>
        </w:tc>
      </w:tr>
      <w:tr>
        <w:tc>
          <w:tcPr/>
          <w:p>
            <w:pPr>
              <w:pStyle w:val="Compact"/>
            </w:pPr>
            <w:r>
              <w:rPr>
                <w:sz w:val="17"/>
              </w:rPr>
              <w:t xml:space="preserve">25</w:t>
            </w:r>
          </w:p>
        </w:tc>
        <w:tc>
          <w:tcPr/>
          <w:p>
            <w:pPr>
              <w:pStyle w:val="Compact"/>
            </w:pPr>
            <w:r>
              <w:rPr>
                <w:sz w:val="17"/>
              </w:rPr>
              <w:t xml:space="preserve">Affectation des recettes de stationnement ; zones payantes ; surréservation ; fourrière</w:t>
            </w:r>
          </w:p>
        </w:tc>
        <w:tc>
          <w:tcPr/>
          <w:p>
            <w:pPr>
              <w:pStyle w:val="Compact"/>
            </w:pPr>
            <w:r>
              <w:rPr>
                <w:b/>
                <w:bCs/>
                <w:sz w:val="17"/>
              </w:rPr>
              <w:t xml:space="preserve">J24</w:t>
            </w:r>
          </w:p>
        </w:tc>
      </w:tr>
      <w:tr>
        <w:tc>
          <w:tcPr>
            <w:shd w:val="clear" w:color="auto" w:fill="F5F7FB"/>
          </w:tcPr>
          <w:p>
            <w:pPr>
              <w:pStyle w:val="Compact"/>
            </w:pPr>
            <w:r>
              <w:rPr>
                <w:sz w:val="17"/>
              </w:rPr>
              <w:t xml:space="preserve">26</w:t>
            </w:r>
          </w:p>
        </w:tc>
        <w:tc>
          <w:tcPr>
            <w:shd w:val="clear" w:color="auto" w:fill="F5F7FB"/>
          </w:tcPr>
          <w:p>
            <w:pPr>
              <w:pStyle w:val="Compact"/>
            </w:pPr>
            <w:r>
              <w:rPr>
                <w:sz w:val="17"/>
              </w:rPr>
              <w:t xml:space="preserve">Vendeur d’opérateur délégué comme point agréé ; base légale de la taxe journalière des transports</w:t>
            </w:r>
          </w:p>
        </w:tc>
        <w:tc>
          <w:tcPr>
            <w:shd w:val="clear" w:color="auto" w:fill="F5F7FB"/>
          </w:tcPr>
          <w:p>
            <w:pPr>
              <w:pStyle w:val="Compact"/>
            </w:pPr>
            <w:r>
              <w:rPr>
                <w:b/>
                <w:bCs/>
                <w:sz w:val="17"/>
              </w:rPr>
              <w:t xml:space="preserve">J25</w:t>
            </w:r>
          </w:p>
        </w:tc>
      </w:tr>
      <w:tr>
        <w:tc>
          <w:tcPr/>
          <w:p>
            <w:pPr>
              <w:pStyle w:val="Compact"/>
            </w:pPr>
            <w:r>
              <w:rPr>
                <w:sz w:val="17"/>
              </w:rPr>
              <w:t xml:space="preserve">27</w:t>
            </w:r>
          </w:p>
        </w:tc>
        <w:tc>
          <w:tcPr/>
          <w:p>
            <w:pPr>
              <w:pStyle w:val="Compact"/>
            </w:pPr>
            <w:r>
              <w:rPr>
                <w:sz w:val="17"/>
              </w:rPr>
              <w:t xml:space="preserve">Texte CALCU (déclaration obligatoire des comptes, transmission bancaire, preuve, responsabilité, secret bancaire)</w:t>
            </w:r>
          </w:p>
        </w:tc>
        <w:tc>
          <w:tcPr/>
          <w:p>
            <w:pPr>
              <w:pStyle w:val="Compact"/>
            </w:pPr>
            <w:r>
              <w:rPr>
                <w:b/>
                <w:bCs/>
                <w:sz w:val="17"/>
              </w:rPr>
              <w:t xml:space="preserve">J26</w:t>
            </w:r>
          </w:p>
        </w:tc>
      </w:tr>
      <w:tr>
        <w:tc>
          <w:tcPr>
            <w:shd w:val="clear" w:color="auto" w:fill="F5F7FB"/>
          </w:tcPr>
          <w:p>
            <w:pPr>
              <w:pStyle w:val="Compact"/>
            </w:pPr>
            <w:r>
              <w:rPr>
                <w:sz w:val="17"/>
              </w:rPr>
              <w:t xml:space="preserve">28</w:t>
            </w:r>
          </w:p>
        </w:tc>
        <w:tc>
          <w:tcPr>
            <w:shd w:val="clear" w:color="auto" w:fill="F5F7FB"/>
          </w:tcPr>
          <w:p>
            <w:pPr>
              <w:pStyle w:val="Compact"/>
            </w:pPr>
            <w:r>
              <w:rPr>
                <w:sz w:val="17"/>
              </w:rPr>
              <w:t xml:space="preserve">Acte NFIU (immatriculation obligatoire, interdiction de mise en bail d’un bien non immatriculé)</w:t>
            </w:r>
          </w:p>
        </w:tc>
        <w:tc>
          <w:tcPr>
            <w:shd w:val="clear" w:color="auto" w:fill="F5F7FB"/>
          </w:tcPr>
          <w:p>
            <w:pPr>
              <w:pStyle w:val="Compact"/>
            </w:pPr>
            <w:r>
              <w:rPr>
                <w:b/>
                <w:bCs/>
                <w:sz w:val="17"/>
              </w:rPr>
              <w:t xml:space="preserve">J27</w:t>
            </w:r>
          </w:p>
        </w:tc>
      </w:tr>
      <w:tr>
        <w:tc>
          <w:tcPr/>
          <w:p>
            <w:pPr>
              <w:pStyle w:val="Compact"/>
            </w:pPr>
            <w:r>
              <w:rPr>
                <w:sz w:val="17"/>
              </w:rPr>
              <w:t xml:space="preserve">29</w:t>
            </w:r>
          </w:p>
        </w:tc>
        <w:tc>
          <w:tcPr/>
          <w:p>
            <w:pPr>
              <w:pStyle w:val="Compact"/>
            </w:pPr>
            <w:r>
              <w:rPr>
                <w:sz w:val="17"/>
              </w:rPr>
              <w:t xml:space="preserve">Pass wewa : base légale, redevable, tarif, articulation, supports, coopératives, pouvoirs de contrôle</w:t>
            </w:r>
          </w:p>
        </w:tc>
        <w:tc>
          <w:tcPr/>
          <w:p>
            <w:pPr>
              <w:pStyle w:val="Compact"/>
            </w:pPr>
            <w:r>
              <w:rPr>
                <w:b/>
                <w:bCs/>
                <w:sz w:val="17"/>
              </w:rPr>
              <w:t xml:space="preserve">J28</w:t>
            </w:r>
          </w:p>
        </w:tc>
      </w:tr>
    </w:tbl>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584"/>
        <w:gridCol w:w="1584"/>
        <w:gridCol w:w="1584"/>
        <w:gridCol w:w="1584"/>
        <w:gridCol w:w="1584"/>
      </w:tblGrid>
      <w:tr>
        <w:trPr>
          <w:tblHeader w:val="on"/>
        </w:trPr>
        <w:tc>
          <w:tcPr>
            <w:shd w:val="clear" w:color="auto" w:fill="232C6B"/>
          </w:tcPr>
          <w:p>
            <w:pPr>
              <w:pStyle w:val="Compact"/>
            </w:pPr>
            <w:r>
              <w:rPr>
                <w:b/>
                <w:color w:val="FFFFFF"/>
                <w:sz w:val="17"/>
              </w:rPr>
              <w:t xml:space="preserve">#</w:t>
            </w:r>
          </w:p>
        </w:tc>
        <w:tc>
          <w:tcPr>
            <w:shd w:val="clear" w:color="auto" w:fill="232C6B"/>
          </w:tcPr>
          <w:p>
            <w:pPr>
              <w:pStyle w:val="Compact"/>
            </w:pPr>
            <w:r>
              <w:rPr>
                <w:b/>
                <w:color w:val="FFFFFF"/>
                <w:sz w:val="17"/>
              </w:rPr>
              <w:t xml:space="preserve">Question</w:t>
            </w:r>
          </w:p>
        </w:tc>
        <w:tc>
          <w:tcPr>
            <w:shd w:val="clear" w:color="auto" w:fill="232C6B"/>
          </w:tcPr>
          <w:p>
            <w:pPr>
              <w:pStyle w:val="Compact"/>
            </w:pPr>
            <w:r>
              <w:rPr>
                <w:b/>
                <w:color w:val="FFFFFF"/>
                <w:sz w:val="17"/>
              </w:rPr>
              <w:t xml:space="preserve">Autorité responsable</w:t>
            </w:r>
          </w:p>
        </w:tc>
        <w:tc>
          <w:tcPr>
            <w:shd w:val="clear" w:color="auto" w:fill="232C6B"/>
          </w:tcPr>
          <w:p>
            <w:pPr>
              <w:pStyle w:val="Compact"/>
            </w:pPr>
            <w:r>
              <w:rPr>
                <w:b/>
                <w:color w:val="FFFFFF"/>
                <w:sz w:val="17"/>
              </w:rPr>
              <w:t xml:space="preserve">Hypothèse intérimaire sûre</w:t>
            </w:r>
          </w:p>
        </w:tc>
        <w:tc>
          <w:tcPr>
            <w:shd w:val="clear" w:color="auto" w:fill="232C6B"/>
          </w:tcPr>
          <w:p>
            <w:pPr>
              <w:pStyle w:val="Compact"/>
            </w:pPr>
            <w:r>
              <w:rPr>
                <w:b/>
                <w:color w:val="FFFFFF"/>
                <w:sz w:val="17"/>
              </w:rPr>
              <w:t xml:space="preserve">Verrou technique</w:t>
            </w:r>
          </w:p>
        </w:tc>
      </w:tr>
      <w:tr>
        <w:tc>
          <w:tcPr/>
          <w:p>
            <w:pPr>
              <w:pStyle w:val="Compact"/>
            </w:pPr>
            <w:r>
              <w:rPr>
                <w:sz w:val="17"/>
              </w:rPr>
              <w:t xml:space="preserve">J17</w:t>
            </w:r>
          </w:p>
        </w:tc>
        <w:tc>
          <w:tcPr/>
          <w:p>
            <w:pPr>
              <w:pStyle w:val="Compact"/>
            </w:pPr>
            <w:r>
              <w:rPr>
                <w:sz w:val="17"/>
              </w:rPr>
              <w:t xml:space="preserve">Délai maximal entre quittance provisoire et quittance définitive ; effet d’un règlement non constaté</w:t>
            </w:r>
          </w:p>
        </w:tc>
        <w:tc>
          <w:tcPr/>
          <w:p>
            <w:pPr>
              <w:pStyle w:val="Compact"/>
            </w:pPr>
            <w:r>
              <w:rPr>
                <w:sz w:val="17"/>
              </w:rPr>
              <w:t xml:space="preserve">Services juridiques ; Trésor</w:t>
            </w:r>
          </w:p>
        </w:tc>
        <w:tc>
          <w:tcPr/>
          <w:p>
            <w:pPr>
              <w:pStyle w:val="Compact"/>
            </w:pPr>
            <w:r>
              <w:rPr>
                <w:sz w:val="17"/>
              </w:rPr>
              <w:t xml:space="preserve">Délai de conception : J+2 ouvrés, puis exception « règlement manquant » ; le contribuable de bonne foi n’est jamais privé de ses droits (§ 18.6)</w:t>
            </w:r>
          </w:p>
        </w:tc>
        <w:tc>
          <w:tcPr/>
          <w:p>
            <w:pPr>
              <w:pStyle w:val="Compact"/>
            </w:pPr>
            <w:r>
              <w:rPr>
                <w:sz w:val="17"/>
              </w:rPr>
              <w:t xml:space="preserve">Paramètre</w:t>
            </w:r>
            <w:r>
              <w:rPr>
                <w:sz w:val="17"/>
              </w:rPr>
              <w:t xml:space="preserve"> </w:t>
            </w:r>
            <w:r>
              <w:rPr>
                <w:rStyle w:val="VerbatimChar"/>
                <w:sz w:val="17"/>
              </w:rPr>
              <w:t xml:space="preserve">receipt_finalization_max_delay</w:t>
            </w:r>
            <w:r>
              <w:rPr>
                <w:sz w:val="17"/>
              </w:rPr>
              <w:t xml:space="preserve"> </w:t>
            </w:r>
            <w:r>
              <w:rPr>
                <w:sz w:val="17"/>
              </w:rPr>
              <w:t xml:space="preserve">certifié ; tant qu’il ne l’est pas, la quittance provisoire porte la mention « en attente de règlement » sans date d’échéance</w:t>
            </w:r>
          </w:p>
        </w:tc>
      </w:tr>
      <w:tr>
        <w:tc>
          <w:tcPr>
            <w:shd w:val="clear" w:color="auto" w:fill="F5F7FB"/>
          </w:tcPr>
          <w:p>
            <w:pPr>
              <w:pStyle w:val="Compact"/>
            </w:pPr>
            <w:r>
              <w:rPr>
                <w:sz w:val="17"/>
              </w:rPr>
              <w:t xml:space="preserve">J18</w:t>
            </w:r>
          </w:p>
        </w:tc>
        <w:tc>
          <w:tcPr>
            <w:shd w:val="clear" w:color="auto" w:fill="F5F7FB"/>
          </w:tcPr>
          <w:p>
            <w:pPr>
              <w:pStyle w:val="Compact"/>
            </w:pPr>
            <w:r>
              <w:rPr>
                <w:sz w:val="17"/>
              </w:rPr>
              <w:t xml:space="preserve">Valeur du consentement par empreinte, enregistrement vocal ou témoin ; régime de la donnée biométrique</w:t>
            </w:r>
          </w:p>
        </w:tc>
        <w:tc>
          <w:tcPr>
            <w:shd w:val="clear" w:color="auto" w:fill="F5F7FB"/>
          </w:tcPr>
          <w:p>
            <w:pPr>
              <w:pStyle w:val="Compact"/>
            </w:pPr>
            <w:r>
              <w:rPr>
                <w:sz w:val="17"/>
              </w:rPr>
              <w:t xml:space="preserve">Services juridiques ; autorité (intérimaire) de protection des données</w:t>
            </w:r>
          </w:p>
        </w:tc>
        <w:tc>
          <w:tcPr>
            <w:shd w:val="clear" w:color="auto" w:fill="F5F7FB"/>
          </w:tcPr>
          <w:p>
            <w:pPr>
              <w:pStyle w:val="Compact"/>
            </w:pPr>
            <w:r>
              <w:rPr>
                <w:sz w:val="17"/>
              </w:rPr>
              <w:t xml:space="preserve">Consentement par enregistrement vocal ou témoin identifié ; empreinte seulement comme</w:t>
            </w:r>
            <w:r>
              <w:rPr>
                <w:sz w:val="17"/>
              </w:rPr>
              <w:t xml:space="preserve"> </w:t>
            </w:r>
            <w:r>
              <w:rPr>
                <w:b/>
                <w:bCs/>
                <w:sz w:val="17"/>
              </w:rPr>
              <w:t xml:space="preserve">marque</w:t>
            </w:r>
            <w:r>
              <w:rPr>
                <w:sz w:val="17"/>
              </w:rPr>
              <w:t xml:space="preserve"> </w:t>
            </w:r>
            <w:r>
              <w:rPr>
                <w:sz w:val="17"/>
              </w:rPr>
              <w:t xml:space="preserve">de consentement, jamais comme identifiant de recherche</w:t>
            </w:r>
          </w:p>
        </w:tc>
        <w:tc>
          <w:tcPr>
            <w:shd w:val="clear" w:color="auto" w:fill="F5F7FB"/>
          </w:tcPr>
          <w:p>
            <w:pPr>
              <w:pStyle w:val="Compact"/>
            </w:pPr>
            <w:r>
              <w:rPr>
                <w:sz w:val="17"/>
              </w:rPr>
              <w:t xml:space="preserve">Capture d’empreinte désactivée tant que J18 n’est pas certifié ; image chiffrée liée au seul acte de consentement, jamais indexée ni comparée</w:t>
            </w:r>
          </w:p>
        </w:tc>
      </w:tr>
      <w:tr>
        <w:tc>
          <w:tcPr/>
          <w:p>
            <w:pPr>
              <w:pStyle w:val="Compact"/>
            </w:pPr>
            <w:r>
              <w:rPr>
                <w:sz w:val="17"/>
              </w:rPr>
              <w:t xml:space="preserve">J19</w:t>
            </w:r>
          </w:p>
        </w:tc>
        <w:tc>
          <w:tcPr/>
          <w:p>
            <w:pPr>
              <w:pStyle w:val="Compact"/>
            </w:pPr>
            <w:r>
              <w:rPr>
                <w:sz w:val="17"/>
              </w:rPr>
              <w:t xml:space="preserve">Délégation de missions de recensement, d’enrôlement et de constat à des sous-traitants privés ; obligations de protection des données</w:t>
            </w:r>
          </w:p>
        </w:tc>
        <w:tc>
          <w:tcPr/>
          <w:p>
            <w:pPr>
              <w:pStyle w:val="Compact"/>
            </w:pPr>
            <w:r>
              <w:rPr>
                <w:sz w:val="17"/>
              </w:rPr>
              <w:t xml:space="preserve">Services juridiques ; Fonction publique ; régies</w:t>
            </w:r>
          </w:p>
        </w:tc>
        <w:tc>
          <w:tcPr/>
          <w:p>
            <w:pPr>
              <w:pStyle w:val="Compact"/>
            </w:pPr>
            <w:r>
              <w:rPr>
                <w:sz w:val="17"/>
              </w:rPr>
              <w:t xml:space="preserve">Les sous-traitants</w:t>
            </w:r>
            <w:r>
              <w:rPr>
                <w:sz w:val="17"/>
              </w:rPr>
              <w:t xml:space="preserve"> </w:t>
            </w:r>
            <w:r>
              <w:rPr>
                <w:b/>
                <w:bCs/>
                <w:sz w:val="17"/>
              </w:rPr>
              <w:t xml:space="preserve">observent et documentent</w:t>
            </w:r>
            <w:r>
              <w:rPr>
                <w:sz w:val="17"/>
              </w:rPr>
              <w:t xml:space="preserve"> </w:t>
            </w:r>
            <w:r>
              <w:rPr>
                <w:sz w:val="17"/>
              </w:rPr>
              <w:t xml:space="preserve">(statut probant OBSERVÉ) ; tout procès-verbal, notification légale ou constat opposable est validé et signé par un agent public habilité</w:t>
            </w:r>
          </w:p>
        </w:tc>
        <w:tc>
          <w:tcPr/>
          <w:p>
            <w:pPr>
              <w:pStyle w:val="Compact"/>
            </w:pPr>
            <w:r>
              <w:rPr>
                <w:sz w:val="17"/>
              </w:rPr>
              <w:t xml:space="preserve">Rôle « agent sous-traitant » sans permission de signature d’acte ; convention de sous-traitance de données obligatoire avant activation du lot</w:t>
            </w:r>
          </w:p>
        </w:tc>
      </w:tr>
      <w:tr>
        <w:tc>
          <w:tcPr>
            <w:shd w:val="clear" w:color="auto" w:fill="F5F7FB"/>
          </w:tcPr>
          <w:p>
            <w:pPr>
              <w:pStyle w:val="Compact"/>
            </w:pPr>
            <w:r>
              <w:rPr>
                <w:sz w:val="17"/>
              </w:rPr>
              <w:t xml:space="preserve">J20</w:t>
            </w:r>
          </w:p>
        </w:tc>
        <w:tc>
          <w:tcPr>
            <w:shd w:val="clear" w:color="auto" w:fill="F5F7FB"/>
          </w:tcPr>
          <w:p>
            <w:pPr>
              <w:pStyle w:val="Compact"/>
            </w:pPr>
            <w:r>
              <w:rPr>
                <w:sz w:val="17"/>
              </w:rPr>
              <w:t xml:space="preserve">Encaissement pour compte de la Ville par des agents de monnaie mobile et des guichets bancaires ; régime de la commission</w:t>
            </w:r>
          </w:p>
        </w:tc>
        <w:tc>
          <w:tcPr>
            <w:shd w:val="clear" w:color="auto" w:fill="F5F7FB"/>
          </w:tcPr>
          <w:p>
            <w:pPr>
              <w:pStyle w:val="Compact"/>
            </w:pPr>
            <w:r>
              <w:rPr>
                <w:sz w:val="17"/>
              </w:rPr>
              <w:t xml:space="preserve">Finances ; BCC ; Trésor</w:t>
            </w:r>
          </w:p>
        </w:tc>
        <w:tc>
          <w:tcPr>
            <w:shd w:val="clear" w:color="auto" w:fill="F5F7FB"/>
          </w:tcPr>
          <w:p>
            <w:pPr>
              <w:pStyle w:val="Compact"/>
            </w:pPr>
            <w:r>
              <w:rPr>
                <w:sz w:val="17"/>
              </w:rPr>
              <w:t xml:space="preserve">Seuls des établissements régulés, sous convention, encaissent ; la commission n’est jamais déduite du montant dû (§ 20.1)</w:t>
            </w:r>
          </w:p>
        </w:tc>
        <w:tc>
          <w:tcPr>
            <w:shd w:val="clear" w:color="auto" w:fill="F5F7FB"/>
          </w:tcPr>
          <w:p>
            <w:pPr>
              <w:pStyle w:val="Compact"/>
            </w:pPr>
            <w:r>
              <w:rPr>
                <w:sz w:val="17"/>
              </w:rPr>
              <w:t xml:space="preserve">Point de paiement non activable sans convention signée et agrément vérifié</w:t>
            </w:r>
          </w:p>
        </w:tc>
      </w:tr>
      <w:tr>
        <w:tc>
          <w:tcPr/>
          <w:p>
            <w:pPr>
              <w:pStyle w:val="Compact"/>
            </w:pPr>
            <w:r>
              <w:rPr>
                <w:sz w:val="17"/>
              </w:rPr>
              <w:t xml:space="preserve">J21</w:t>
            </w:r>
          </w:p>
        </w:tc>
        <w:tc>
          <w:tcPr/>
          <w:p>
            <w:pPr>
              <w:pStyle w:val="Compact"/>
            </w:pPr>
            <w:r>
              <w:rPr>
                <w:sz w:val="17"/>
              </w:rPr>
              <w:t xml:space="preserve">Valeur juridique des titres dématérialisés (ticket, vignette, droit d’étal, pass) ; acte par module</w:t>
            </w:r>
          </w:p>
        </w:tc>
        <w:tc>
          <w:tcPr/>
          <w:p>
            <w:pPr>
              <w:pStyle w:val="Compact"/>
            </w:pPr>
            <w:r>
              <w:rPr>
                <w:sz w:val="17"/>
              </w:rPr>
              <w:t xml:space="preserve">Services juridiques ; entité responsable du module</w:t>
            </w:r>
          </w:p>
        </w:tc>
        <w:tc>
          <w:tcPr/>
          <w:p>
            <w:pPr>
              <w:pStyle w:val="Compact"/>
            </w:pPr>
            <w:r>
              <w:rPr>
                <w:sz w:val="17"/>
              </w:rPr>
              <w:t xml:space="preserve">Titre dématérialisé doublé d’une preuve imprimable ou SMS vérifiable</w:t>
            </w:r>
          </w:p>
        </w:tc>
        <w:tc>
          <w:tcPr/>
          <w:p>
            <w:pPr>
              <w:pStyle w:val="Compact"/>
            </w:pPr>
            <w:r>
              <w:rPr>
                <w:sz w:val="17"/>
              </w:rPr>
              <w:t xml:space="preserve">Type de titre non activable sans référence d’acte dans la fiche de configuration du module</w:t>
            </w:r>
          </w:p>
        </w:tc>
      </w:tr>
      <w:tr>
        <w:tc>
          <w:tcPr>
            <w:shd w:val="clear" w:color="auto" w:fill="F5F7FB"/>
          </w:tcPr>
          <w:p>
            <w:pPr>
              <w:pStyle w:val="Compact"/>
            </w:pPr>
            <w:r>
              <w:rPr>
                <w:sz w:val="17"/>
              </w:rPr>
              <w:t xml:space="preserve">J22</w:t>
            </w:r>
          </w:p>
        </w:tc>
        <w:tc>
          <w:tcPr>
            <w:shd w:val="clear" w:color="auto" w:fill="F5F7FB"/>
          </w:tcPr>
          <w:p>
            <w:pPr>
              <w:pStyle w:val="Compact"/>
            </w:pPr>
            <w:r>
              <w:rPr>
                <w:sz w:val="17"/>
              </w:rPr>
              <w:t xml:space="preserve">Compétences province / communes / opérateurs délégués pour les services partagés ; opposabilité de l’arbitrage</w:t>
            </w:r>
          </w:p>
        </w:tc>
        <w:tc>
          <w:tcPr>
            <w:shd w:val="clear" w:color="auto" w:fill="F5F7FB"/>
          </w:tcPr>
          <w:p>
            <w:pPr>
              <w:pStyle w:val="Compact"/>
            </w:pPr>
            <w:r>
              <w:rPr>
                <w:sz w:val="17"/>
              </w:rPr>
              <w:t xml:space="preserve">Services juridiques ; Comité juridique et tarifaire</w:t>
            </w:r>
          </w:p>
        </w:tc>
        <w:tc>
          <w:tcPr>
            <w:shd w:val="clear" w:color="auto" w:fill="F5F7FB"/>
          </w:tcPr>
          <w:p>
            <w:pPr>
              <w:pStyle w:val="Compact"/>
            </w:pPr>
            <w:r>
              <w:rPr>
                <w:sz w:val="17"/>
              </w:rPr>
              <w:t xml:space="preserve">Une seule revendication par fait générateur ; la seconde est bloquée et arbitrée (§ 10.3)</w:t>
            </w:r>
          </w:p>
        </w:tc>
        <w:tc>
          <w:tcPr>
            <w:shd w:val="clear" w:color="auto" w:fill="F5F7FB"/>
          </w:tcPr>
          <w:p>
            <w:pPr>
              <w:pStyle w:val="Compact"/>
            </w:pPr>
            <w:r>
              <w:rPr>
                <w:sz w:val="17"/>
              </w:rPr>
              <w:t xml:space="preserve">Blocage automatique de la seconde obligation ; aucune exposition au citoyen</w:t>
            </w:r>
          </w:p>
        </w:tc>
      </w:tr>
      <w:tr>
        <w:tc>
          <w:tcPr/>
          <w:p>
            <w:pPr>
              <w:pStyle w:val="Compact"/>
            </w:pPr>
            <w:r>
              <w:rPr>
                <w:sz w:val="17"/>
              </w:rPr>
              <w:t xml:space="preserve">J23</w:t>
            </w:r>
          </w:p>
        </w:tc>
        <w:tc>
          <w:tcPr/>
          <w:p>
            <w:pPr>
              <w:pStyle w:val="Compact"/>
            </w:pPr>
            <w:r>
              <w:rPr>
                <w:sz w:val="17"/>
              </w:rPr>
              <w:t xml:space="preserve">Mesures AVIA ; compétences respectives de la Ville, de la RVA, de la DGM et de l’aviation civile</w:t>
            </w:r>
          </w:p>
        </w:tc>
        <w:tc>
          <w:tcPr/>
          <w:p>
            <w:pPr>
              <w:pStyle w:val="Compact"/>
            </w:pPr>
            <w:r>
              <w:rPr>
                <w:sz w:val="17"/>
              </w:rPr>
              <w:t xml:space="preserve">Gouvernement provincial ; autorités aéroportuaires et migratoires</w:t>
            </w:r>
          </w:p>
        </w:tc>
        <w:tc>
          <w:tcPr/>
          <w:p>
            <w:pPr>
              <w:pStyle w:val="Compact"/>
            </w:pPr>
            <w:r>
              <w:rPr>
                <w:sz w:val="17"/>
              </w:rPr>
              <w:t xml:space="preserve">Rapprochement</w:t>
            </w:r>
            <w:r>
              <w:rPr>
                <w:sz w:val="17"/>
              </w:rPr>
              <w:t xml:space="preserve"> </w:t>
            </w:r>
            <w:r>
              <w:rPr>
                <w:b/>
                <w:bCs/>
                <w:sz w:val="17"/>
              </w:rPr>
              <w:t xml:space="preserve">informatif</w:t>
            </w:r>
            <w:r>
              <w:rPr>
                <w:sz w:val="17"/>
              </w:rPr>
              <w:t xml:space="preserve"> </w:t>
            </w:r>
            <w:r>
              <w:rPr>
                <w:sz w:val="17"/>
              </w:rPr>
              <w:t xml:space="preserve">; aucune mesure contraignante</w:t>
            </w:r>
          </w:p>
        </w:tc>
        <w:tc>
          <w:tcPr/>
          <w:p>
            <w:pPr>
              <w:pStyle w:val="Compact"/>
            </w:pPr>
            <w:r>
              <w:rPr>
                <w:sz w:val="17"/>
              </w:rPr>
              <w:t xml:space="preserve">Mesures non paramétrables sans arrêté certifié</w:t>
            </w:r>
          </w:p>
        </w:tc>
      </w:tr>
      <w:tr>
        <w:tc>
          <w:tcPr>
            <w:shd w:val="clear" w:color="auto" w:fill="F5F7FB"/>
          </w:tcPr>
          <w:p>
            <w:pPr>
              <w:pStyle w:val="Compact"/>
            </w:pPr>
            <w:r>
              <w:rPr>
                <w:sz w:val="17"/>
              </w:rPr>
              <w:t xml:space="preserve">J24</w:t>
            </w:r>
          </w:p>
        </w:tc>
        <w:tc>
          <w:tcPr>
            <w:shd w:val="clear" w:color="auto" w:fill="F5F7FB"/>
          </w:tcPr>
          <w:p>
            <w:pPr>
              <w:pStyle w:val="Compact"/>
            </w:pPr>
            <w:r>
              <w:rPr>
                <w:sz w:val="17"/>
              </w:rPr>
              <w:t xml:space="preserve">Zonage et tarifs du stationnement ; surréservation ; fourrière ; affectation des recettes</w:t>
            </w:r>
          </w:p>
        </w:tc>
        <w:tc>
          <w:tcPr>
            <w:shd w:val="clear" w:color="auto" w:fill="F5F7FB"/>
          </w:tcPr>
          <w:p>
            <w:pPr>
              <w:pStyle w:val="Compact"/>
            </w:pPr>
            <w:r>
              <w:rPr>
                <w:sz w:val="17"/>
              </w:rPr>
              <w:t xml:space="preserve">Ministère provincial des Transports ; Finances ; juridique</w:t>
            </w:r>
          </w:p>
        </w:tc>
        <w:tc>
          <w:tcPr>
            <w:shd w:val="clear" w:color="auto" w:fill="F5F7FB"/>
          </w:tcPr>
          <w:p>
            <w:pPr>
              <w:pStyle w:val="Compact"/>
            </w:pPr>
            <w:r>
              <w:rPr>
                <w:sz w:val="17"/>
              </w:rPr>
              <w:t xml:space="preserve">Stationnement payant uniquement dans les zones délimitées par acte ; surréservation désactivée ; affectation = engagement de programmation publié</w:t>
            </w:r>
          </w:p>
        </w:tc>
        <w:tc>
          <w:tcPr>
            <w:shd w:val="clear" w:color="auto" w:fill="F5F7FB"/>
          </w:tcPr>
          <w:p>
            <w:pPr>
              <w:pStyle w:val="Compact"/>
            </w:pPr>
            <w:r>
              <w:rPr>
                <w:sz w:val="17"/>
              </w:rPr>
              <w:t xml:space="preserve">Règles</w:t>
            </w:r>
            <w:r>
              <w:rPr>
                <w:sz w:val="17"/>
              </w:rPr>
              <w:t xml:space="preserve"> </w:t>
            </w:r>
            <w:r>
              <w:rPr>
                <w:rStyle w:val="VerbatimChar"/>
                <w:sz w:val="17"/>
              </w:rPr>
              <w:t xml:space="preserve">ACTE_REQUIS</w:t>
            </w:r>
            <w:r>
              <w:rPr>
                <w:sz w:val="17"/>
              </w:rPr>
              <w:t xml:space="preserve"> </w:t>
            </w:r>
            <w:r>
              <w:rPr>
                <w:sz w:val="17"/>
              </w:rPr>
              <w:t xml:space="preserve">; option de surréservation non activable</w:t>
            </w:r>
          </w:p>
        </w:tc>
      </w:tr>
      <w:tr>
        <w:tc>
          <w:tcPr/>
          <w:p>
            <w:pPr>
              <w:pStyle w:val="Compact"/>
            </w:pPr>
            <w:r>
              <w:rPr>
                <w:sz w:val="17"/>
              </w:rPr>
              <w:t xml:space="preserve">J25</w:t>
            </w:r>
          </w:p>
        </w:tc>
        <w:tc>
          <w:tcPr/>
          <w:p>
            <w:pPr>
              <w:pStyle w:val="Compact"/>
            </w:pPr>
            <w:r>
              <w:rPr>
                <w:sz w:val="17"/>
              </w:rPr>
              <w:t xml:space="preserve">Vendeurs d’opérateurs délégués comme points agréés ; base légale de la taxe journalière des transports</w:t>
            </w:r>
          </w:p>
        </w:tc>
        <w:tc>
          <w:tcPr/>
          <w:p>
            <w:pPr>
              <w:pStyle w:val="Compact"/>
            </w:pPr>
            <w:r>
              <w:rPr>
                <w:sz w:val="17"/>
              </w:rPr>
              <w:t xml:space="preserve">Finances ; BCC ; Transports</w:t>
            </w:r>
          </w:p>
        </w:tc>
        <w:tc>
          <w:tcPr/>
          <w:p>
            <w:pPr>
              <w:pStyle w:val="Compact"/>
            </w:pPr>
            <w:r>
              <w:rPr>
                <w:sz w:val="17"/>
              </w:rPr>
              <w:t xml:space="preserve">Vente en espèces uniquement par points agréés régulés ; taxe journalière non liquidée avant certification</w:t>
            </w:r>
          </w:p>
        </w:tc>
        <w:tc>
          <w:tcPr/>
          <w:p>
            <w:pPr>
              <w:pStyle w:val="Compact"/>
            </w:pPr>
            <w:r>
              <w:rPr>
                <w:sz w:val="17"/>
              </w:rPr>
              <w:t xml:space="preserve">Canal « vendeur délégué » désactivé sans agrément ; règle</w:t>
            </w:r>
            <w:r>
              <w:rPr>
                <w:sz w:val="17"/>
              </w:rPr>
              <w:t xml:space="preserve"> </w:t>
            </w:r>
            <w:r>
              <w:rPr>
                <w:rStyle w:val="VerbatimChar"/>
                <w:sz w:val="17"/>
              </w:rPr>
              <w:t xml:space="preserve">ACTE_REQUIS</w:t>
            </w:r>
          </w:p>
        </w:tc>
      </w:tr>
      <w:tr>
        <w:tc>
          <w:tcPr>
            <w:shd w:val="clear" w:color="auto" w:fill="F5F7FB"/>
          </w:tcPr>
          <w:p>
            <w:pPr>
              <w:pStyle w:val="Compact"/>
            </w:pPr>
            <w:r>
              <w:rPr>
                <w:sz w:val="17"/>
              </w:rPr>
              <w:t xml:space="preserve">J26</w:t>
            </w:r>
          </w:p>
        </w:tc>
        <w:tc>
          <w:tcPr>
            <w:shd w:val="clear" w:color="auto" w:fill="F5F7FB"/>
          </w:tcPr>
          <w:p>
            <w:pPr>
              <w:pStyle w:val="Compact"/>
            </w:pPr>
            <w:r>
              <w:rPr>
                <w:sz w:val="17"/>
              </w:rPr>
              <w:t xml:space="preserve">Texte CALCU : déclaration obligatoire des comptes publics, transmission bancaire, valeur de la preuve numérique, responsabilité des gestionnaires, secret bancaire</w:t>
            </w:r>
          </w:p>
        </w:tc>
        <w:tc>
          <w:tcPr>
            <w:shd w:val="clear" w:color="auto" w:fill="F5F7FB"/>
          </w:tcPr>
          <w:p>
            <w:pPr>
              <w:pStyle w:val="Compact"/>
            </w:pPr>
            <w:r>
              <w:rPr>
                <w:sz w:val="17"/>
              </w:rPr>
              <w:t xml:space="preserve">Gouvernement provincial ; ministère national des Finances ; BCC</w:t>
            </w:r>
          </w:p>
        </w:tc>
        <w:tc>
          <w:tcPr>
            <w:shd w:val="clear" w:color="auto" w:fill="F5F7FB"/>
          </w:tcPr>
          <w:p>
            <w:pPr>
              <w:pStyle w:val="Compact"/>
            </w:pPr>
            <w:r>
              <w:rPr>
                <w:sz w:val="17"/>
              </w:rPr>
              <w:t xml:space="preserve">Déclaration volontaire des entités pilotes ; aucune transmission bancaire sans convention</w:t>
            </w:r>
          </w:p>
        </w:tc>
        <w:tc>
          <w:tcPr>
            <w:shd w:val="clear" w:color="auto" w:fill="F5F7FB"/>
          </w:tcPr>
          <w:p>
            <w:pPr>
              <w:pStyle w:val="Compact"/>
            </w:pPr>
            <w:r>
              <w:rPr>
                <w:sz w:val="17"/>
              </w:rPr>
              <w:t xml:space="preserve">Connecteurs bancaires CALCU désactivés sans texte et convention</w:t>
            </w:r>
          </w:p>
        </w:tc>
      </w:tr>
      <w:tr>
        <w:tc>
          <w:tcPr/>
          <w:p>
            <w:pPr>
              <w:pStyle w:val="Compact"/>
            </w:pPr>
            <w:r>
              <w:rPr>
                <w:sz w:val="17"/>
              </w:rPr>
              <w:t xml:space="preserve">J27</w:t>
            </w:r>
          </w:p>
        </w:tc>
        <w:tc>
          <w:tcPr/>
          <w:p>
            <w:pPr>
              <w:pStyle w:val="Compact"/>
            </w:pPr>
            <w:r>
              <w:rPr>
                <w:sz w:val="17"/>
              </w:rPr>
              <w:t xml:space="preserve">Acte NFIU : immatriculation fiscale obligatoire, reconnaissance du QR, interdiction de mise en bail d’un bien non immatriculé</w:t>
            </w:r>
          </w:p>
        </w:tc>
        <w:tc>
          <w:tcPr/>
          <w:p>
            <w:pPr>
              <w:pStyle w:val="Compact"/>
            </w:pPr>
            <w:r>
              <w:rPr>
                <w:sz w:val="17"/>
              </w:rPr>
              <w:t xml:space="preserve">Assemblée provinciale ou Gouvernement provincial</w:t>
            </w:r>
          </w:p>
        </w:tc>
        <w:tc>
          <w:tcPr/>
          <w:p>
            <w:pPr>
              <w:pStyle w:val="Compact"/>
            </w:pPr>
            <w:r>
              <w:rPr>
                <w:sz w:val="17"/>
              </w:rPr>
              <w:t xml:space="preserve">Plaque posée à titre d’identification administrative, sans effet restrictif</w:t>
            </w:r>
          </w:p>
        </w:tc>
        <w:tc>
          <w:tcPr/>
          <w:p>
            <w:pPr>
              <w:pStyle w:val="Compact"/>
            </w:pPr>
            <w:r>
              <w:rPr>
                <w:sz w:val="17"/>
              </w:rPr>
              <w:t xml:space="preserve">Aucune restriction de location appliquée par le système</w:t>
            </w:r>
          </w:p>
        </w:tc>
      </w:tr>
      <w:tr>
        <w:tc>
          <w:tcPr>
            <w:shd w:val="clear" w:color="auto" w:fill="F5F7FB"/>
          </w:tcPr>
          <w:p>
            <w:pPr>
              <w:pStyle w:val="Compact"/>
            </w:pPr>
            <w:r>
              <w:rPr>
                <w:sz w:val="17"/>
              </w:rPr>
              <w:t xml:space="preserve">J28</w:t>
            </w:r>
          </w:p>
        </w:tc>
        <w:tc>
          <w:tcPr>
            <w:shd w:val="clear" w:color="auto" w:fill="F5F7FB"/>
          </w:tcPr>
          <w:p>
            <w:pPr>
              <w:pStyle w:val="Compact"/>
            </w:pPr>
            <w:r>
              <w:rPr>
                <w:sz w:val="17"/>
              </w:rPr>
              <w:t xml:space="preserve">Pass wewa : base légale, redevable, tarif, articulation avec vignette, autorisation de transport et prélèvements communaux, statut des gilets et autocollants, rôle des coopératives, pouvoirs de contrôle</w:t>
            </w:r>
          </w:p>
        </w:tc>
        <w:tc>
          <w:tcPr>
            <w:shd w:val="clear" w:color="auto" w:fill="F5F7FB"/>
          </w:tcPr>
          <w:p>
            <w:pPr>
              <w:pStyle w:val="Compact"/>
            </w:pPr>
            <w:r>
              <w:rPr>
                <w:sz w:val="17"/>
              </w:rPr>
              <w:t xml:space="preserve">Ministère provincial des Transports ; Finances ; communes</w:t>
            </w:r>
          </w:p>
        </w:tc>
        <w:tc>
          <w:tcPr>
            <w:shd w:val="clear" w:color="auto" w:fill="F5F7FB"/>
          </w:tcPr>
          <w:p>
            <w:pPr>
              <w:pStyle w:val="Compact"/>
            </w:pPr>
            <w:r>
              <w:rPr>
                <w:sz w:val="17"/>
              </w:rPr>
              <w:t xml:space="preserve">Enregistrement gratuit des motos et conducteurs (recensement) ; aucun pass payant ni contrôle avant acte</w:t>
            </w:r>
          </w:p>
        </w:tc>
        <w:tc>
          <w:tcPr>
            <w:shd w:val="clear" w:color="auto" w:fill="F5F7FB"/>
          </w:tcPr>
          <w:p>
            <w:pPr>
              <w:pStyle w:val="Compact"/>
            </w:pPr>
            <w:r>
              <w:rPr>
                <w:sz w:val="17"/>
              </w:rPr>
              <w:t xml:space="preserve">Règle du pass</w:t>
            </w:r>
            <w:r>
              <w:rPr>
                <w:sz w:val="17"/>
              </w:rPr>
              <w:t xml:space="preserve"> </w:t>
            </w:r>
            <w:r>
              <w:rPr>
                <w:rStyle w:val="VerbatimChar"/>
                <w:sz w:val="17"/>
              </w:rPr>
              <w:t xml:space="preserve">ACTE_REQUIS</w:t>
            </w:r>
            <w:r>
              <w:rPr>
                <w:sz w:val="17"/>
              </w:rPr>
              <w:t xml:space="preserve"> </w:t>
            </w:r>
            <w:r>
              <w:rPr>
                <w:sz w:val="17"/>
              </w:rPr>
              <w:t xml:space="preserve">; période de grâce paramétrable</w:t>
            </w:r>
          </w:p>
        </w:tc>
      </w:tr>
      <w:tr>
        <w:tc>
          <w:tcPr/>
          <w:p>
            <w:pPr>
              <w:pStyle w:val="Compact"/>
            </w:pPr>
            <w:r>
              <w:rPr>
                <w:sz w:val="17"/>
              </w:rPr>
              <w:t xml:space="preserve">J29</w:t>
            </w:r>
          </w:p>
        </w:tc>
        <w:tc>
          <w:tcPr/>
          <w:p>
            <w:pPr>
              <w:pStyle w:val="Compact"/>
            </w:pPr>
            <w:r>
              <w:rPr>
                <w:sz w:val="17"/>
              </w:rPr>
              <w:t xml:space="preserve">Financement des moyens physiques ; prise en charge des frais d’USSD, de SVI et de SMS « gratuits pour l’appelant »</w:t>
            </w:r>
          </w:p>
        </w:tc>
        <w:tc>
          <w:tcPr/>
          <w:p>
            <w:pPr>
              <w:pStyle w:val="Compact"/>
            </w:pPr>
            <w:r>
              <w:rPr>
                <w:sz w:val="17"/>
              </w:rPr>
              <w:t xml:space="preserve">Gouvernement provincial ; opérateurs ; partenaires</w:t>
            </w:r>
          </w:p>
        </w:tc>
        <w:tc>
          <w:tcPr/>
          <w:p>
            <w:pPr>
              <w:pStyle w:val="Compact"/>
            </w:pPr>
            <w:r>
              <w:rPr>
                <w:sz w:val="17"/>
              </w:rPr>
              <w:t xml:space="preserve">Conventions avec les opérateurs (numéros verts, codes courts) financées sur le budget du programme</w:t>
            </w:r>
          </w:p>
        </w:tc>
        <w:tc>
          <w:tcPr/>
          <w:p>
            <w:pPr>
              <w:pStyle w:val="Compact"/>
            </w:pPr>
            <w:r>
              <w:rPr>
                <w:sz w:val="17"/>
              </w:rPr>
              <w:t xml:space="preserve">Canal gratuit non annoncé au public tant que la convention n’est pas signée</w:t>
            </w:r>
          </w:p>
        </w:tc>
      </w:tr>
      <w:tr>
        <w:tc>
          <w:tcPr>
            <w:shd w:val="clear" w:color="auto" w:fill="F5F7FB"/>
          </w:tcPr>
          <w:p>
            <w:pPr>
              <w:pStyle w:val="Compact"/>
            </w:pPr>
            <w:r>
              <w:rPr>
                <w:sz w:val="17"/>
              </w:rPr>
              <w:t xml:space="preserve">J30</w:t>
            </w:r>
          </w:p>
        </w:tc>
        <w:tc>
          <w:tcPr>
            <w:shd w:val="clear" w:color="auto" w:fill="F5F7FB"/>
          </w:tcPr>
          <w:p>
            <w:pPr>
              <w:pStyle w:val="Compact"/>
            </w:pPr>
            <w:r>
              <w:rPr>
                <w:sz w:val="17"/>
              </w:rPr>
              <w:t xml:space="preserve">Base légale et cadrage sectoriel des verticales ports et fluvial</w:t>
            </w:r>
          </w:p>
        </w:tc>
        <w:tc>
          <w:tcPr>
            <w:shd w:val="clear" w:color="auto" w:fill="F5F7FB"/>
          </w:tcPr>
          <w:p>
            <w:pPr>
              <w:pStyle w:val="Compact"/>
            </w:pPr>
            <w:r>
              <w:rPr>
                <w:sz w:val="17"/>
              </w:rPr>
              <w:t xml:space="preserve">Transports ; autorités portuaires ; régies</w:t>
            </w:r>
          </w:p>
        </w:tc>
        <w:tc>
          <w:tcPr>
            <w:shd w:val="clear" w:color="auto" w:fill="F5F7FB"/>
          </w:tcPr>
          <w:p>
            <w:pPr>
              <w:pStyle w:val="Compact"/>
            </w:pPr>
            <w:r>
              <w:rPr>
                <w:sz w:val="17"/>
              </w:rPr>
              <w:t xml:space="preserve">Recensement des embarcations et quais sans liquidation</w:t>
            </w:r>
          </w:p>
        </w:tc>
        <w:tc>
          <w:tcPr>
            <w:shd w:val="clear" w:color="auto" w:fill="F5F7FB"/>
          </w:tcPr>
          <w:p>
            <w:pPr>
              <w:pStyle w:val="Compact"/>
            </w:pPr>
            <w:r>
              <w:rPr>
                <w:sz w:val="17"/>
              </w:rPr>
              <w:t xml:space="preserve">Modules 13 et 24 non activables avant certification</w:t>
            </w:r>
          </w:p>
        </w:tc>
      </w:tr>
    </w:tbl>
    <w:bookmarkEnd w:id="406"/>
    <w:bookmarkStart w:id="407" w:name="X95a7b4929ca6326ddf93f6d07ee6a6b8c756e8a"/>
    <w:p>
      <w:pPr>
        <w:pStyle w:val="Heading3"/>
      </w:pPr>
      <w:r>
        <w:t xml:space="preserve">H.3.3 Les sept points juridiques du Cahier (§ 6.4)</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Point</w:t>
            </w:r>
          </w:p>
        </w:tc>
        <w:tc>
          <w:tcPr>
            <w:shd w:val="clear" w:color="auto" w:fill="232C6B"/>
          </w:tcPr>
          <w:p>
            <w:pPr>
              <w:pStyle w:val="Compact"/>
            </w:pPr>
            <w:r>
              <w:rPr>
                <w:b/>
                <w:color w:val="FFFFFF"/>
                <w:sz w:val="17"/>
              </w:rPr>
              <w:t xml:space="preserve">Autorité</w:t>
            </w:r>
          </w:p>
        </w:tc>
        <w:tc>
          <w:tcPr>
            <w:shd w:val="clear" w:color="auto" w:fill="232C6B"/>
          </w:tcPr>
          <w:p>
            <w:pPr>
              <w:pStyle w:val="Compact"/>
            </w:pPr>
            <w:r>
              <w:rPr>
                <w:b/>
                <w:color w:val="FFFFFF"/>
                <w:sz w:val="17"/>
              </w:rPr>
              <w:t xml:space="preserve">Risque si non tranché</w:t>
            </w:r>
          </w:p>
        </w:tc>
        <w:tc>
          <w:tcPr>
            <w:shd w:val="clear" w:color="auto" w:fill="232C6B"/>
          </w:tcPr>
          <w:p>
            <w:pPr>
              <w:pStyle w:val="Compact"/>
            </w:pPr>
            <w:r>
              <w:rPr>
                <w:b/>
                <w:color w:val="FFFFFF"/>
                <w:sz w:val="17"/>
              </w:rPr>
              <w:t xml:space="preserve">v3.0</w:t>
            </w:r>
          </w:p>
        </w:tc>
      </w:tr>
      <w:tr>
        <w:tc>
          <w:tcPr/>
          <w:p>
            <w:pPr>
              <w:pStyle w:val="Compact"/>
            </w:pPr>
            <w:r>
              <w:rPr>
                <w:sz w:val="17"/>
              </w:rPr>
              <w:t xml:space="preserve">Statut consolidé des textes après l’OL 18/004</w:t>
            </w:r>
          </w:p>
        </w:tc>
        <w:tc>
          <w:tcPr/>
          <w:p>
            <w:pPr>
              <w:pStyle w:val="Compact"/>
            </w:pPr>
            <w:r>
              <w:rPr>
                <w:sz w:val="17"/>
              </w:rPr>
              <w:t xml:space="preserve">Service juridique</w:t>
            </w:r>
          </w:p>
        </w:tc>
        <w:tc>
          <w:tcPr/>
          <w:p>
            <w:pPr>
              <w:pStyle w:val="Compact"/>
            </w:pPr>
            <w:r>
              <w:rPr>
                <w:sz w:val="17"/>
              </w:rPr>
              <w:t xml:space="preserve">Texte abrogé appliqué</w:t>
            </w:r>
          </w:p>
        </w:tc>
        <w:tc>
          <w:tcPr/>
          <w:p>
            <w:pPr>
              <w:pStyle w:val="Compact"/>
            </w:pPr>
            <w:r>
              <w:rPr>
                <w:sz w:val="17"/>
              </w:rPr>
              <w:t xml:space="preserve">J1</w:t>
            </w:r>
          </w:p>
        </w:tc>
      </w:tr>
      <w:tr>
        <w:tc>
          <w:tcPr>
            <w:shd w:val="clear" w:color="auto" w:fill="F5F7FB"/>
          </w:tcPr>
          <w:p>
            <w:pPr>
              <w:pStyle w:val="Compact"/>
            </w:pPr>
            <w:r>
              <w:rPr>
                <w:sz w:val="17"/>
              </w:rPr>
              <w:t xml:space="preserve">Taux IRL et retenue par rang</w:t>
            </w:r>
          </w:p>
        </w:tc>
        <w:tc>
          <w:tcPr>
            <w:shd w:val="clear" w:color="auto" w:fill="F5F7FB"/>
          </w:tcPr>
          <w:p>
            <w:pPr>
              <w:pStyle w:val="Compact"/>
            </w:pPr>
            <w:r>
              <w:rPr>
                <w:sz w:val="17"/>
              </w:rPr>
              <w:t xml:space="preserve">Ministère provincial des Finances</w:t>
            </w:r>
          </w:p>
        </w:tc>
        <w:tc>
          <w:tcPr>
            <w:shd w:val="clear" w:color="auto" w:fill="F5F7FB"/>
          </w:tcPr>
          <w:p>
            <w:pPr>
              <w:pStyle w:val="Compact"/>
            </w:pPr>
            <w:r>
              <w:rPr>
                <w:sz w:val="17"/>
              </w:rPr>
              <w:t xml:space="preserve">Contentieux de masse</w:t>
            </w:r>
          </w:p>
        </w:tc>
        <w:tc>
          <w:tcPr>
            <w:shd w:val="clear" w:color="auto" w:fill="F5F7FB"/>
          </w:tcPr>
          <w:p>
            <w:pPr>
              <w:pStyle w:val="Compact"/>
            </w:pPr>
            <w:r>
              <w:rPr>
                <w:sz w:val="17"/>
              </w:rPr>
              <w:t xml:space="preserve">J3 ; § 6.4</w:t>
            </w:r>
          </w:p>
        </w:tc>
      </w:tr>
      <w:tr>
        <w:tc>
          <w:tcPr/>
          <w:p>
            <w:pPr>
              <w:pStyle w:val="Compact"/>
            </w:pPr>
            <w:r>
              <w:rPr>
                <w:sz w:val="17"/>
              </w:rPr>
              <w:t xml:space="preserve">Valeur de la quittance électronique et de la signature</w:t>
            </w:r>
          </w:p>
        </w:tc>
        <w:tc>
          <w:tcPr/>
          <w:p>
            <w:pPr>
              <w:pStyle w:val="Compact"/>
            </w:pPr>
            <w:r>
              <w:rPr>
                <w:sz w:val="17"/>
              </w:rPr>
              <w:t xml:space="preserve">Services juridiques ; Code du numérique</w:t>
            </w:r>
          </w:p>
        </w:tc>
        <w:tc>
          <w:tcPr/>
          <w:p>
            <w:pPr>
              <w:pStyle w:val="Compact"/>
            </w:pPr>
            <w:r>
              <w:rPr>
                <w:sz w:val="17"/>
              </w:rPr>
              <w:t xml:space="preserve">Preuve contestée</w:t>
            </w:r>
          </w:p>
        </w:tc>
        <w:tc>
          <w:tcPr/>
          <w:p>
            <w:pPr>
              <w:pStyle w:val="Compact"/>
            </w:pPr>
            <w:r>
              <w:rPr>
                <w:sz w:val="17"/>
              </w:rPr>
              <w:t xml:space="preserve">J7, J17</w:t>
            </w:r>
          </w:p>
        </w:tc>
      </w:tr>
      <w:tr>
        <w:tc>
          <w:tcPr>
            <w:shd w:val="clear" w:color="auto" w:fill="F5F7FB"/>
          </w:tcPr>
          <w:p>
            <w:pPr>
              <w:pStyle w:val="Compact"/>
            </w:pPr>
            <w:r>
              <w:rPr>
                <w:sz w:val="17"/>
              </w:rPr>
              <w:t xml:space="preserve">Base légale des échéanciers par monnaie mobile</w:t>
            </w:r>
          </w:p>
        </w:tc>
        <w:tc>
          <w:tcPr>
            <w:shd w:val="clear" w:color="auto" w:fill="F5F7FB"/>
          </w:tcPr>
          <w:p>
            <w:pPr>
              <w:pStyle w:val="Compact"/>
            </w:pPr>
            <w:r>
              <w:rPr>
                <w:sz w:val="17"/>
              </w:rPr>
              <w:t xml:space="preserve">Assemblée provinciale ou arrêté</w:t>
            </w:r>
          </w:p>
        </w:tc>
        <w:tc>
          <w:tcPr>
            <w:shd w:val="clear" w:color="auto" w:fill="F5F7FB"/>
          </w:tcPr>
          <w:p>
            <w:pPr>
              <w:pStyle w:val="Compact"/>
            </w:pPr>
            <w:r>
              <w:rPr>
                <w:sz w:val="17"/>
              </w:rPr>
              <w:t xml:space="preserve">Pas de paiement fractionné</w:t>
            </w:r>
          </w:p>
        </w:tc>
        <w:tc>
          <w:tcPr>
            <w:shd w:val="clear" w:color="auto" w:fill="F5F7FB"/>
          </w:tcPr>
          <w:p>
            <w:pPr>
              <w:pStyle w:val="Compact"/>
            </w:pPr>
            <w:r>
              <w:rPr>
                <w:sz w:val="17"/>
              </w:rPr>
              <w:t xml:space="preserve">J14 ; module 83</w:t>
            </w:r>
          </w:p>
        </w:tc>
      </w:tr>
      <w:tr>
        <w:tc>
          <w:tcPr/>
          <w:p>
            <w:pPr>
              <w:pStyle w:val="Compact"/>
            </w:pPr>
            <w:r>
              <w:rPr>
                <w:sz w:val="17"/>
              </w:rPr>
              <w:t xml:space="preserve">Partage des données énergie, eau, opérateurs</w:t>
            </w:r>
          </w:p>
        </w:tc>
        <w:tc>
          <w:tcPr/>
          <w:p>
            <w:pPr>
              <w:pStyle w:val="Compact"/>
            </w:pPr>
            <w:r>
              <w:rPr>
                <w:sz w:val="17"/>
              </w:rPr>
              <w:t xml:space="preserve">Autorité de protection des données</w:t>
            </w:r>
          </w:p>
        </w:tc>
        <w:tc>
          <w:tcPr/>
          <w:p>
            <w:pPr>
              <w:pStyle w:val="Compact"/>
            </w:pPr>
            <w:r>
              <w:rPr>
                <w:sz w:val="17"/>
              </w:rPr>
              <w:t xml:space="preserve">Blocage du recoupement</w:t>
            </w:r>
          </w:p>
        </w:tc>
        <w:tc>
          <w:tcPr/>
          <w:p>
            <w:pPr>
              <w:pStyle w:val="Compact"/>
            </w:pPr>
            <w:r>
              <w:rPr>
                <w:sz w:val="17"/>
              </w:rPr>
              <w:t xml:space="preserve">J13</w:t>
            </w:r>
          </w:p>
        </w:tc>
      </w:tr>
      <w:tr>
        <w:tc>
          <w:tcPr>
            <w:shd w:val="clear" w:color="auto" w:fill="F5F7FB"/>
          </w:tcPr>
          <w:p>
            <w:pPr>
              <w:pStyle w:val="Compact"/>
            </w:pPr>
            <w:r>
              <w:rPr>
                <w:sz w:val="17"/>
              </w:rPr>
              <w:t xml:space="preserve">Régime des incitations de performance des agents</w:t>
            </w:r>
          </w:p>
        </w:tc>
        <w:tc>
          <w:tcPr>
            <w:shd w:val="clear" w:color="auto" w:fill="F5F7FB"/>
          </w:tcPr>
          <w:p>
            <w:pPr>
              <w:pStyle w:val="Compact"/>
            </w:pPr>
            <w:r>
              <w:rPr>
                <w:sz w:val="17"/>
              </w:rPr>
              <w:t xml:space="preserve">LOFIP, édit, arrêté</w:t>
            </w:r>
          </w:p>
        </w:tc>
        <w:tc>
          <w:tcPr>
            <w:shd w:val="clear" w:color="auto" w:fill="F5F7FB"/>
          </w:tcPr>
          <w:p>
            <w:pPr>
              <w:pStyle w:val="Compact"/>
            </w:pPr>
            <w:r>
              <w:rPr>
                <w:sz w:val="17"/>
              </w:rPr>
              <w:t xml:space="preserve">Rémunération irrégulière</w:t>
            </w:r>
          </w:p>
        </w:tc>
        <w:tc>
          <w:tcPr>
            <w:shd w:val="clear" w:color="auto" w:fill="F5F7FB"/>
          </w:tcPr>
          <w:p>
            <w:pPr>
              <w:pStyle w:val="Compact"/>
            </w:pPr>
            <w:r>
              <w:rPr>
                <w:sz w:val="17"/>
              </w:rPr>
              <w:t xml:space="preserve">J10</w:t>
            </w:r>
          </w:p>
        </w:tc>
      </w:tr>
      <w:tr>
        <w:tc>
          <w:tcPr/>
          <w:p>
            <w:pPr>
              <w:pStyle w:val="Compact"/>
            </w:pPr>
            <w:r>
              <w:rPr>
                <w:sz w:val="17"/>
              </w:rPr>
              <w:t xml:space="preserve">Habilitation des agrégateurs de paiement</w:t>
            </w:r>
          </w:p>
        </w:tc>
        <w:tc>
          <w:tcPr/>
          <w:p>
            <w:pPr>
              <w:pStyle w:val="Compact"/>
            </w:pPr>
            <w:r>
              <w:rPr>
                <w:sz w:val="17"/>
              </w:rPr>
              <w:t xml:space="preserve">BCC</w:t>
            </w:r>
          </w:p>
        </w:tc>
        <w:tc>
          <w:tcPr/>
          <w:p>
            <w:pPr>
              <w:pStyle w:val="Compact"/>
            </w:pPr>
            <w:r>
              <w:rPr>
                <w:sz w:val="17"/>
              </w:rPr>
              <w:t xml:space="preserve">Canal illégal</w:t>
            </w:r>
          </w:p>
        </w:tc>
        <w:tc>
          <w:tcPr/>
          <w:p>
            <w:pPr>
              <w:pStyle w:val="Compact"/>
            </w:pPr>
            <w:r>
              <w:rPr>
                <w:sz w:val="17"/>
              </w:rPr>
              <w:t xml:space="preserve">J9</w:t>
            </w:r>
          </w:p>
        </w:tc>
      </w:tr>
    </w:tbl>
    <w:bookmarkEnd w:id="407"/>
    <w:bookmarkStart w:id="408" w:name="Xba3c1b1d3380a4e8e5be4dbf0c7883a640d6c75"/>
    <w:p>
      <w:pPr>
        <w:pStyle w:val="Heading3"/>
      </w:pPr>
      <w:r>
        <w:t xml:space="preserve">H.3.4 Reprise de l’existant et inventaire de référence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Exigence source</w:t>
            </w:r>
          </w:p>
        </w:tc>
        <w:tc>
          <w:tcPr>
            <w:shd w:val="clear" w:color="auto" w:fill="232C6B"/>
          </w:tcPr>
          <w:p>
            <w:pPr>
              <w:pStyle w:val="Compact"/>
            </w:pPr>
            <w:r>
              <w:rPr>
                <w:b/>
                <w:color w:val="FFFFFF"/>
                <w:sz w:val="17"/>
              </w:rPr>
              <w:t xml:space="preserve">Traitement v3.0</w:t>
            </w:r>
          </w:p>
        </w:tc>
      </w:tr>
      <w:tr>
        <w:tc>
          <w:tcPr/>
          <w:p>
            <w:pPr>
              <w:pStyle w:val="Compact"/>
            </w:pPr>
            <w:r>
              <w:rPr>
                <w:sz w:val="17"/>
              </w:rPr>
              <w:t xml:space="preserve">« MOSOLO reprend les comptes et l’historique d’e-DGRK dès le premier jour ; aucun système parallèle » (C § 7.5)</w:t>
            </w:r>
          </w:p>
        </w:tc>
        <w:tc>
          <w:tcPr/>
          <w:p>
            <w:pPr>
              <w:pStyle w:val="Compact"/>
            </w:pPr>
            <w:r>
              <w:rPr>
                <w:sz w:val="17"/>
              </w:rPr>
              <w:t xml:space="preserve">Remplacé par l’intégration ou la migration de la</w:t>
            </w:r>
            <w:r>
              <w:rPr>
                <w:sz w:val="17"/>
              </w:rPr>
              <w:t xml:space="preserve"> </w:t>
            </w:r>
            <w:r>
              <w:rPr>
                <w:b/>
                <w:bCs/>
                <w:sz w:val="17"/>
              </w:rPr>
              <w:t xml:space="preserve">plateforme de déclaration lancée en mars 2026</w:t>
            </w:r>
            <w:r>
              <w:rPr>
                <w:sz w:val="17"/>
              </w:rPr>
              <w:t xml:space="preserve"> </w:t>
            </w:r>
            <w:r>
              <w:rPr>
                <w:sz w:val="17"/>
              </w:rPr>
              <w:t xml:space="preserve">(§ 2.2, phase 1) ; l’exigence de fond est conservée :</w:t>
            </w:r>
            <w:r>
              <w:rPr>
                <w:sz w:val="17"/>
              </w:rPr>
              <w:t xml:space="preserve"> </w:t>
            </w:r>
            <w:r>
              <w:rPr>
                <w:b/>
                <w:bCs/>
                <w:sz w:val="17"/>
              </w:rPr>
              <w:t xml:space="preserve">import par lots</w:t>
            </w:r>
            <w:r>
              <w:rPr>
                <w:sz w:val="17"/>
              </w:rPr>
              <w:t xml:space="preserve"> </w:t>
            </w:r>
            <w:r>
              <w:rPr>
                <w:sz w:val="17"/>
              </w:rPr>
              <w:t xml:space="preserve">des comptes et de l’historique (module 2, « enrôlement par lots »), avec rapprochement anti-doublon et statut probant « importé — source régie » ; un seul système de référence par recette (R15)</w:t>
            </w:r>
          </w:p>
        </w:tc>
      </w:tr>
      <w:tr>
        <w:tc>
          <w:tcPr>
            <w:shd w:val="clear" w:color="auto" w:fill="F5F7FB"/>
          </w:tcPr>
          <w:p>
            <w:pPr>
              <w:pStyle w:val="Compact"/>
            </w:pPr>
            <w:r>
              <w:rPr>
                <w:sz w:val="17"/>
              </w:rPr>
              <w:t xml:space="preserve">Inventaire de référence : mode de perception, canal, compte, volumétrie, coût, déperdition, données disponibles, dépendances</w:t>
            </w:r>
          </w:p>
        </w:tc>
        <w:tc>
          <w:tcPr>
            <w:shd w:val="clear" w:color="auto" w:fill="F5F7FB"/>
          </w:tcPr>
          <w:p>
            <w:pPr>
              <w:pStyle w:val="Compact"/>
            </w:pPr>
            <w:r>
              <w:rPr>
                <w:sz w:val="17"/>
              </w:rPr>
              <w:t xml:space="preserve">Couvert (§ 7.5), complété par l’attribut</w:t>
            </w:r>
            <w:r>
              <w:rPr>
                <w:sz w:val="17"/>
              </w:rPr>
              <w:t xml:space="preserve"> </w:t>
            </w:r>
            <w:r>
              <w:rPr>
                <w:b/>
                <w:bCs/>
                <w:sz w:val="17"/>
              </w:rPr>
              <w:t xml:space="preserve">« dépendances »</w:t>
            </w:r>
            <w:r>
              <w:rPr>
                <w:sz w:val="17"/>
              </w:rPr>
              <w:t xml:space="preserve"> </w:t>
            </w:r>
            <w:r>
              <w:rPr>
                <w:sz w:val="17"/>
              </w:rPr>
              <w:t xml:space="preserve">(règles ou services conditionnant la recette, par exemple quitus ou vignette)</w:t>
            </w:r>
          </w:p>
        </w:tc>
      </w:tr>
      <w:tr>
        <w:tc>
          <w:tcPr/>
          <w:p>
            <w:pPr>
              <w:pStyle w:val="Compact"/>
            </w:pPr>
            <w:r>
              <w:rPr>
                <w:sz w:val="17"/>
              </w:rPr>
              <w:t xml:space="preserve">Taux budgétaire moyen 2025 de</w:t>
            </w:r>
            <w:r>
              <w:rPr>
                <w:sz w:val="17"/>
              </w:rPr>
              <w:t xml:space="preserve"> </w:t>
            </w:r>
            <w:r>
              <w:rPr>
                <w:b/>
                <w:bCs/>
                <w:sz w:val="17"/>
              </w:rPr>
              <w:t xml:space="preserve">2 859,2 CDF/USD</w:t>
            </w:r>
            <w:r>
              <w:rPr>
                <w:sz w:val="17"/>
              </w:rPr>
              <w:t xml:space="preserve"> </w:t>
            </w:r>
            <w:r>
              <w:rPr>
                <w:sz w:val="17"/>
              </w:rPr>
              <w:t xml:space="preserve">; cours BCC de</w:t>
            </w:r>
            <w:r>
              <w:rPr>
                <w:sz w:val="17"/>
              </w:rPr>
              <w:t xml:space="preserve"> </w:t>
            </w:r>
            <w:r>
              <w:rPr>
                <w:b/>
                <w:bCs/>
                <w:sz w:val="17"/>
              </w:rPr>
              <w:t xml:space="preserve">2 267,75 CDF/USD le 22 septembre 2026</w:t>
            </w:r>
          </w:p>
        </w:tc>
        <w:tc>
          <w:tcPr/>
          <w:p>
            <w:pPr>
              <w:pStyle w:val="Compact"/>
            </w:pPr>
            <w:r>
              <w:rPr>
                <w:sz w:val="17"/>
              </w:rPr>
              <w:t xml:space="preserve">[À VÉRIFIER] ; seul le taux désigné par la règle certifiée s’applique (module 89) ; tout scénario libellé en USD indique son taux (§ 38.3)</w:t>
            </w:r>
          </w:p>
        </w:tc>
      </w:tr>
    </w:tbl>
    <w:bookmarkEnd w:id="408"/>
    <w:bookmarkStart w:id="409" w:name="h.3.5-moteur-de-recoupement-compléments"/>
    <w:p>
      <w:pPr>
        <w:pStyle w:val="Heading3"/>
      </w:pPr>
      <w:r>
        <w:t xml:space="preserve">H.3.5 Moteur de recoupement : compléments</w:t>
      </w:r>
    </w:p>
    <w:p>
      <w:pPr>
        <w:pStyle w:val="FirstParagraph"/>
      </w:pPr>
      <w:r>
        <w:t xml:space="preserve">Chaque règle de recoupement produit une</w:t>
      </w:r>
      <w:r>
        <w:t xml:space="preserve"> </w:t>
      </w:r>
      <w:r>
        <w:rPr>
          <w:b/>
          <w:bCs/>
        </w:rPr>
        <w:t xml:space="preserve">liste de travail priorisée</w:t>
      </w:r>
      <w:r>
        <w:t xml:space="preserve">, jamais un avis d’imposition (§ 8.4). Deux signaux sources sont ajoutés au tableau du § 8.4 :</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Signal</w:t>
            </w:r>
          </w:p>
        </w:tc>
        <w:tc>
          <w:tcPr>
            <w:shd w:val="clear" w:color="auto" w:fill="232C6B"/>
          </w:tcPr>
          <w:p>
            <w:pPr>
              <w:pStyle w:val="Compact"/>
            </w:pPr>
            <w:r>
              <w:rPr>
                <w:b/>
                <w:color w:val="FFFFFF"/>
                <w:sz w:val="17"/>
              </w:rPr>
              <w:t xml:space="preserve">Règle</w:t>
            </w:r>
          </w:p>
        </w:tc>
        <w:tc>
          <w:tcPr>
            <w:shd w:val="clear" w:color="auto" w:fill="232C6B"/>
          </w:tcPr>
          <w:p>
            <w:pPr>
              <w:pStyle w:val="Compact"/>
            </w:pPr>
            <w:r>
              <w:rPr>
                <w:b/>
                <w:color w:val="FFFFFF"/>
                <w:sz w:val="17"/>
              </w:rPr>
              <w:t xml:space="preserve">Sortie (jamais une dette)</w:t>
            </w:r>
          </w:p>
        </w:tc>
      </w:tr>
      <w:tr>
        <w:tc>
          <w:tcPr/>
          <w:p>
            <w:pPr>
              <w:pStyle w:val="Compact"/>
            </w:pPr>
            <w:r>
              <w:rPr>
                <w:sz w:val="17"/>
              </w:rPr>
              <w:t xml:space="preserve">Immeuble multi-unités déclaré vacant, baux expirés, loyers atypiques, doublons</w:t>
            </w:r>
          </w:p>
        </w:tc>
        <w:tc>
          <w:tcPr/>
          <w:p>
            <w:pPr>
              <w:pStyle w:val="Compact"/>
            </w:pPr>
            <w:r>
              <w:rPr>
                <w:sz w:val="17"/>
              </w:rPr>
              <w:t xml:space="preserve">Incohérence répétée</w:t>
            </w:r>
          </w:p>
        </w:tc>
        <w:tc>
          <w:tcPr/>
          <w:p>
            <w:pPr>
              <w:pStyle w:val="Compact"/>
            </w:pPr>
            <w:r>
              <w:rPr>
                <w:sz w:val="17"/>
              </w:rPr>
              <w:t xml:space="preserve">Examen humain, puis mission autorisée</w:t>
            </w:r>
          </w:p>
        </w:tc>
      </w:tr>
      <w:tr>
        <w:tc>
          <w:tcPr>
            <w:shd w:val="clear" w:color="auto" w:fill="F5F7FB"/>
          </w:tcPr>
          <w:p>
            <w:pPr>
              <w:pStyle w:val="Compact"/>
            </w:pPr>
            <w:r>
              <w:rPr>
                <w:sz w:val="17"/>
              </w:rPr>
              <w:t xml:space="preserve">Entreprise demandant une autorisation provinciale</w:t>
            </w:r>
          </w:p>
        </w:tc>
        <w:tc>
          <w:tcPr>
            <w:shd w:val="clear" w:color="auto" w:fill="F5F7FB"/>
          </w:tcPr>
          <w:p>
            <w:pPr>
              <w:pStyle w:val="Compact"/>
            </w:pPr>
            <w:r>
              <w:rPr>
                <w:sz w:val="17"/>
              </w:rPr>
              <w:t xml:space="preserve">Pas de quitus valide</w:t>
            </w:r>
          </w:p>
        </w:tc>
        <w:tc>
          <w:tcPr>
            <w:shd w:val="clear" w:color="auto" w:fill="F5F7FB"/>
          </w:tcPr>
          <w:p>
            <w:pPr>
              <w:pStyle w:val="Compact"/>
            </w:pPr>
            <w:r>
              <w:rPr>
                <w:sz w:val="17"/>
              </w:rPr>
              <w:t xml:space="preserve">Service suspendu jusqu’à régularisation</w:t>
            </w:r>
            <w:r>
              <w:rPr>
                <w:sz w:val="17"/>
              </w:rPr>
              <w:t xml:space="preserve"> </w:t>
            </w:r>
            <w:r>
              <w:rPr>
                <w:b/>
                <w:bCs/>
                <w:sz w:val="17"/>
              </w:rPr>
              <w:t xml:space="preserve">seulement si l’acte de conditionnalité le prévoit</w:t>
            </w:r>
            <w:r>
              <w:rPr>
                <w:sz w:val="17"/>
              </w:rPr>
              <w:t xml:space="preserve"> </w:t>
            </w:r>
            <w:r>
              <w:rPr>
                <w:sz w:val="17"/>
              </w:rPr>
              <w:t xml:space="preserve">(J6) ; sinon simple information</w:t>
            </w:r>
          </w:p>
        </w:tc>
      </w:tr>
    </w:tbl>
    <w:bookmarkEnd w:id="409"/>
    <w:bookmarkEnd w:id="410"/>
    <w:bookmarkStart w:id="417" w:name="X1e6a27aa57c82f3528e925eb4b5cc52e6da9040"/>
    <w:p>
      <w:pPr>
        <w:pStyle w:val="Heading2"/>
      </w:pPr>
      <w:r>
        <w:t xml:space="preserve">H.4 Chapitres 9 et 10 — Compte unique et architecture multi-entités</w:t>
      </w:r>
    </w:p>
    <w:bookmarkStart w:id="411" w:name="h.4.1-compléments-au-compte-unique"/>
    <w:p>
      <w:pPr>
        <w:pStyle w:val="Heading3"/>
      </w:pPr>
      <w:r>
        <w:t xml:space="preserve">H.4.1 Compléments au compte unique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Exigence source</w:t>
            </w:r>
          </w:p>
        </w:tc>
        <w:tc>
          <w:tcPr>
            <w:shd w:val="clear" w:color="auto" w:fill="232C6B"/>
          </w:tcPr>
          <w:p>
            <w:pPr>
              <w:pStyle w:val="Compact"/>
            </w:pPr>
            <w:r>
              <w:rPr>
                <w:b/>
                <w:color w:val="FFFFFF"/>
                <w:sz w:val="17"/>
              </w:rPr>
              <w:t xml:space="preserve">Détail intégré</w:t>
            </w:r>
          </w:p>
        </w:tc>
        <w:tc>
          <w:tcPr>
            <w:shd w:val="clear" w:color="auto" w:fill="232C6B"/>
          </w:tcPr>
          <w:p>
            <w:pPr>
              <w:pStyle w:val="Compact"/>
            </w:pPr>
            <w:r>
              <w:rPr>
                <w:b/>
                <w:color w:val="FFFFFF"/>
                <w:sz w:val="17"/>
              </w:rPr>
              <w:t xml:space="preserve">Module</w:t>
            </w:r>
          </w:p>
        </w:tc>
      </w:tr>
      <w:tr>
        <w:tc>
          <w:tcPr/>
          <w:p>
            <w:pPr>
              <w:pStyle w:val="Compact"/>
            </w:pPr>
            <w:r>
              <w:rPr>
                <w:sz w:val="17"/>
              </w:rPr>
              <w:t xml:space="preserve">Vérification proportionnée au risque, inscription progressive</w:t>
            </w:r>
          </w:p>
        </w:tc>
        <w:tc>
          <w:tcPr/>
          <w:p>
            <w:pPr>
              <w:pStyle w:val="Compact"/>
            </w:pPr>
            <w:r>
              <w:rPr>
                <w:sz w:val="17"/>
              </w:rPr>
              <w:t xml:space="preserve">Le niveau exigé dépend de l’opération (consultation N0 ; déclaration N1 ; objet de forte valeur N2 ; mandat de tiers et quitus N3)</w:t>
            </w:r>
          </w:p>
        </w:tc>
        <w:tc>
          <w:tcPr/>
          <w:p>
            <w:pPr>
              <w:pStyle w:val="Compact"/>
            </w:pPr>
            <w:r>
              <w:rPr>
                <w:sz w:val="17"/>
              </w:rPr>
              <w:t xml:space="preserve">1, 2</w:t>
            </w:r>
          </w:p>
        </w:tc>
      </w:tr>
      <w:tr>
        <w:tc>
          <w:tcPr>
            <w:shd w:val="clear" w:color="auto" w:fill="F5F7FB"/>
          </w:tcPr>
          <w:p>
            <w:pPr>
              <w:pStyle w:val="Compact"/>
            </w:pPr>
            <w:r>
              <w:rPr>
                <w:sz w:val="17"/>
              </w:rPr>
              <w:t xml:space="preserve">Score de confiance par pièce</w:t>
            </w:r>
          </w:p>
        </w:tc>
        <w:tc>
          <w:tcPr>
            <w:shd w:val="clear" w:color="auto" w:fill="F5F7FB"/>
          </w:tcPr>
          <w:p>
            <w:pPr>
              <w:pStyle w:val="Compact"/>
            </w:pPr>
            <w:r>
              <w:rPr>
                <w:sz w:val="17"/>
              </w:rPr>
              <w:t xml:space="preserve">Chaque pièce reçoit un score (lecture automatique, OCR, cohérence) ; en dessous du seuil, revue humaine</w:t>
            </w:r>
          </w:p>
        </w:tc>
        <w:tc>
          <w:tcPr>
            <w:shd w:val="clear" w:color="auto" w:fill="F5F7FB"/>
          </w:tcPr>
          <w:p>
            <w:pPr>
              <w:pStyle w:val="Compact"/>
            </w:pPr>
            <w:r>
              <w:rPr>
                <w:sz w:val="17"/>
              </w:rPr>
              <w:t xml:space="preserve">2</w:t>
            </w:r>
          </w:p>
        </w:tc>
      </w:tr>
      <w:tr>
        <w:tc>
          <w:tcPr/>
          <w:p>
            <w:pPr>
              <w:pStyle w:val="Compact"/>
            </w:pPr>
            <w:r>
              <w:rPr>
                <w:sz w:val="17"/>
              </w:rPr>
              <w:t xml:space="preserve">Enrôlement par lots</w:t>
            </w:r>
          </w:p>
        </w:tc>
        <w:tc>
          <w:tcPr/>
          <w:p>
            <w:pPr>
              <w:pStyle w:val="Compact"/>
            </w:pPr>
            <w:r>
              <w:rPr>
                <w:sz w:val="17"/>
              </w:rPr>
              <w:t xml:space="preserve">Import de registres existants (plateforme de la régie, registres partenaires sous protocole) avec anti-doublon et statut probant de la source</w:t>
            </w:r>
          </w:p>
        </w:tc>
        <w:tc>
          <w:tcPr/>
          <w:p>
            <w:pPr>
              <w:pStyle w:val="Compact"/>
            </w:pPr>
            <w:r>
              <w:rPr>
                <w:sz w:val="17"/>
              </w:rPr>
              <w:t xml:space="preserve">2</w:t>
            </w:r>
          </w:p>
        </w:tc>
      </w:tr>
      <w:tr>
        <w:tc>
          <w:tcPr>
            <w:shd w:val="clear" w:color="auto" w:fill="F5F7FB"/>
          </w:tcPr>
          <w:p>
            <w:pPr>
              <w:pStyle w:val="Compact"/>
            </w:pPr>
            <w:r>
              <w:rPr>
                <w:sz w:val="17"/>
              </w:rPr>
              <w:t xml:space="preserve">Identifiants alternatifs et récupération contrôlée</w:t>
            </w:r>
          </w:p>
        </w:tc>
        <w:tc>
          <w:tcPr>
            <w:shd w:val="clear" w:color="auto" w:fill="F5F7FB"/>
          </w:tcPr>
          <w:p>
            <w:pPr>
              <w:pStyle w:val="Compact"/>
            </w:pPr>
            <w:r>
              <w:rPr>
                <w:sz w:val="17"/>
              </w:rPr>
              <w:t xml:space="preserve">Récupération par téléphone, pièce, guichet ; contrôle renforcé et vérification hors bande pour N2–N3 (§ 9.7)</w:t>
            </w:r>
          </w:p>
        </w:tc>
        <w:tc>
          <w:tcPr>
            <w:shd w:val="clear" w:color="auto" w:fill="F5F7FB"/>
          </w:tcPr>
          <w:p>
            <w:pPr>
              <w:pStyle w:val="Compact"/>
            </w:pPr>
            <w:r>
              <w:rPr>
                <w:sz w:val="17"/>
              </w:rPr>
              <w:t xml:space="preserve">1</w:t>
            </w:r>
          </w:p>
        </w:tc>
      </w:tr>
      <w:tr>
        <w:tc>
          <w:tcPr/>
          <w:p>
            <w:pPr>
              <w:pStyle w:val="Compact"/>
            </w:pPr>
            <w:r>
              <w:rPr>
                <w:sz w:val="17"/>
              </w:rPr>
              <w:t xml:space="preserve">Journalisation des modifications d’identité sensibles</w:t>
            </w:r>
          </w:p>
        </w:tc>
        <w:tc>
          <w:tcPr/>
          <w:p>
            <w:pPr>
              <w:pStyle w:val="Compact"/>
            </w:pPr>
            <w:r>
              <w:rPr>
                <w:sz w:val="17"/>
              </w:rPr>
              <w:t xml:space="preserve">Toute modification de nom, pièce, NIF, date de naissance produit un événement d’audit et une notification au titulaire</w:t>
            </w:r>
          </w:p>
        </w:tc>
        <w:tc>
          <w:tcPr/>
          <w:p>
            <w:pPr>
              <w:pStyle w:val="Compact"/>
            </w:pPr>
            <w:r>
              <w:rPr>
                <w:sz w:val="17"/>
              </w:rPr>
              <w:t xml:space="preserve">1</w:t>
            </w:r>
          </w:p>
        </w:tc>
      </w:tr>
      <w:tr>
        <w:tc>
          <w:tcPr>
            <w:shd w:val="clear" w:color="auto" w:fill="F5F7FB"/>
          </w:tcPr>
          <w:p>
            <w:pPr>
              <w:pStyle w:val="Compact"/>
            </w:pPr>
            <w:r>
              <w:rPr>
                <w:sz w:val="17"/>
              </w:rPr>
              <w:t xml:space="preserve">Personnes morales</w:t>
            </w:r>
          </w:p>
        </w:tc>
        <w:tc>
          <w:tcPr>
            <w:shd w:val="clear" w:color="auto" w:fill="F5F7FB"/>
          </w:tcPr>
          <w:p>
            <w:pPr>
              <w:pStyle w:val="Compact"/>
            </w:pPr>
            <w:r>
              <w:rPr>
                <w:sz w:val="17"/>
              </w:rPr>
              <w:t xml:space="preserve">NIF + RCCM + mandataires</w:t>
            </w:r>
            <w:r>
              <w:rPr>
                <w:sz w:val="17"/>
              </w:rPr>
              <w:t xml:space="preserve"> </w:t>
            </w:r>
            <w:r>
              <w:rPr>
                <w:b/>
                <w:bCs/>
                <w:sz w:val="17"/>
              </w:rPr>
              <w:t xml:space="preserve">nommément habilités</w:t>
            </w:r>
            <w:r>
              <w:rPr>
                <w:sz w:val="17"/>
              </w:rPr>
              <w:t xml:space="preserve"> </w:t>
            </w:r>
            <w:r>
              <w:rPr>
                <w:sz w:val="17"/>
              </w:rPr>
              <w:t xml:space="preserve">; séparation des droits préparer / valider / payer (§ 13.7)</w:t>
            </w:r>
          </w:p>
        </w:tc>
        <w:tc>
          <w:tcPr>
            <w:shd w:val="clear" w:color="auto" w:fill="F5F7FB"/>
          </w:tcPr>
          <w:p>
            <w:pPr>
              <w:pStyle w:val="Compact"/>
            </w:pPr>
            <w:r>
              <w:rPr>
                <w:sz w:val="17"/>
              </w:rPr>
              <w:t xml:space="preserve">1</w:t>
            </w:r>
          </w:p>
        </w:tc>
      </w:tr>
      <w:tr>
        <w:tc>
          <w:tcPr/>
          <w:p>
            <w:pPr>
              <w:pStyle w:val="Compact"/>
            </w:pPr>
            <w:r>
              <w:rPr>
                <w:sz w:val="17"/>
              </w:rPr>
              <w:t xml:space="preserve">Séparation profil contribuable / profil de travail</w:t>
            </w:r>
          </w:p>
        </w:tc>
        <w:tc>
          <w:tcPr/>
          <w:p>
            <w:pPr>
              <w:pStyle w:val="Compact"/>
            </w:pPr>
            <w:r>
              <w:rPr>
                <w:sz w:val="17"/>
              </w:rPr>
              <w:t xml:space="preserve">Une même personne physique peut être contribuable et agent public : deux profils distincts rattachés à la même identité,</w:t>
            </w:r>
            <w:r>
              <w:rPr>
                <w:sz w:val="17"/>
              </w:rPr>
              <w:t xml:space="preserve"> </w:t>
            </w:r>
            <w:r>
              <w:rPr>
                <w:b/>
                <w:bCs/>
                <w:sz w:val="17"/>
              </w:rPr>
              <w:t xml:space="preserve">sans croisement</w:t>
            </w:r>
            <w:r>
              <w:rPr>
                <w:sz w:val="17"/>
              </w:rPr>
              <w:t xml:space="preserve"> </w:t>
            </w:r>
            <w:r>
              <w:rPr>
                <w:sz w:val="17"/>
              </w:rPr>
              <w:t xml:space="preserve">; l’agent ne peut traiter ni son propre dossier ni celui de ses proches déclarés (module 91)</w:t>
            </w:r>
          </w:p>
        </w:tc>
        <w:tc>
          <w:tcPr/>
          <w:p>
            <w:pPr>
              <w:pStyle w:val="Compact"/>
            </w:pPr>
            <w:r>
              <w:rPr>
                <w:sz w:val="17"/>
              </w:rPr>
              <w:t xml:space="preserve">1, 74, 91</w:t>
            </w:r>
          </w:p>
        </w:tc>
      </w:tr>
      <w:tr>
        <w:tc>
          <w:tcPr>
            <w:shd w:val="clear" w:color="auto" w:fill="F5F7FB"/>
          </w:tcPr>
          <w:p>
            <w:pPr>
              <w:pStyle w:val="Compact"/>
            </w:pPr>
            <w:r>
              <w:rPr>
                <w:sz w:val="17"/>
              </w:rPr>
              <w:t xml:space="preserve">Session courte sur appareil partagé</w:t>
            </w:r>
          </w:p>
        </w:tc>
        <w:tc>
          <w:tcPr>
            <w:shd w:val="clear" w:color="auto" w:fill="F5F7FB"/>
          </w:tcPr>
          <w:p>
            <w:pPr>
              <w:pStyle w:val="Compact"/>
            </w:pPr>
            <w:r>
              <w:rPr>
                <w:sz w:val="17"/>
              </w:rPr>
              <w:t xml:space="preserve">Portail et application : verrouillage automatique, déconnexion rapide sur appareil déclaré partagé</w:t>
            </w:r>
          </w:p>
        </w:tc>
        <w:tc>
          <w:tcPr>
            <w:shd w:val="clear" w:color="auto" w:fill="F5F7FB"/>
          </w:tcPr>
          <w:p>
            <w:pPr>
              <w:pStyle w:val="Compact"/>
            </w:pPr>
            <w:r>
              <w:rPr>
                <w:sz w:val="17"/>
              </w:rPr>
              <w:t xml:space="preserve">3, 4</w:t>
            </w:r>
          </w:p>
        </w:tc>
      </w:tr>
    </w:tbl>
    <w:bookmarkEnd w:id="411"/>
    <w:bookmarkStart w:id="412" w:name="Xa792f49578559245327a7c3fe804018021a5806"/>
    <w:p>
      <w:pPr>
        <w:pStyle w:val="Heading3"/>
      </w:pPr>
      <w:r>
        <w:t xml:space="preserve">H.4.2 Architecture multi-entités (Cahier § 10A)</w:t>
      </w:r>
    </w:p>
    <w:p>
      <w:pPr>
        <w:pStyle w:val="FirstParagraph"/>
      </w:pPr>
      <w:r>
        <w:rPr>
          <w:b/>
          <w:bCs/>
        </w:rPr>
        <w:t xml:space="preserve">Principe : socle commun, espaces propres.</w:t>
      </w:r>
      <w:r>
        <w:t xml:space="preserve"> </w:t>
      </w:r>
      <w:r>
        <w:t xml:space="preserve">Le citoyen voit un seul compte ; chaque entité ne voit que ce que la loi lui attribue.</w:t>
      </w:r>
      <w:r>
        <w:t xml:space="preserve"> </w:t>
      </w:r>
      <w:r>
        <w:rPr>
          <w:b/>
          <w:bCs/>
        </w:rPr>
        <w:t xml:space="preserve">Chaque objet, règle, titre, paiement et événement porte l’identifiant de l’entité responsable</w:t>
      </w:r>
      <w:r>
        <w:t xml:space="preserve"> </w:t>
      </w:r>
      <w:r>
        <w:t xml:space="preserve">(</w:t>
      </w:r>
      <w:r>
        <w:rPr>
          <w:rStyle w:val="VerbatimChar"/>
        </w:rPr>
        <w:t xml:space="preserve">entity_scope</w:t>
      </w:r>
      <w:r>
        <w:t xml:space="preserve">, § 29.1) ; le cloisonnement est appliqué par le système (filtre par entité et par attributs), jamais par simple consigne.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Type d’entité</w:t>
            </w:r>
          </w:p>
        </w:tc>
        <w:tc>
          <w:tcPr>
            <w:shd w:val="clear" w:color="auto" w:fill="232C6B"/>
          </w:tcPr>
          <w:p>
            <w:pPr>
              <w:pStyle w:val="Compact"/>
            </w:pPr>
            <w:r>
              <w:rPr>
                <w:b/>
                <w:color w:val="FFFFFF"/>
                <w:sz w:val="17"/>
              </w:rPr>
              <w:t xml:space="preserve">Place dans MOSOLO</w:t>
            </w:r>
          </w:p>
        </w:tc>
        <w:tc>
          <w:tcPr>
            <w:shd w:val="clear" w:color="auto" w:fill="232C6B"/>
          </w:tcPr>
          <w:p>
            <w:pPr>
              <w:pStyle w:val="Compact"/>
            </w:pPr>
            <w:r>
              <w:rPr>
                <w:b/>
                <w:color w:val="FFFFFF"/>
                <w:sz w:val="17"/>
              </w:rPr>
              <w:t xml:space="preserve">Garde-fous spécifiques</w:t>
            </w:r>
          </w:p>
        </w:tc>
      </w:tr>
      <w:tr>
        <w:tc>
          <w:tcPr/>
          <w:p>
            <w:pPr>
              <w:pStyle w:val="Compact"/>
            </w:pPr>
            <w:r>
              <w:rPr>
                <w:sz w:val="17"/>
              </w:rPr>
              <w:t xml:space="preserve">Régies (DGIPK, DGTK, successeurs éventuels)</w:t>
            </w:r>
          </w:p>
        </w:tc>
        <w:tc>
          <w:tcPr/>
          <w:p>
            <w:pPr>
              <w:pStyle w:val="Compact"/>
            </w:pPr>
            <w:r>
              <w:rPr>
                <w:sz w:val="17"/>
              </w:rPr>
              <w:t xml:space="preserve">Administration compétente paramétrée par recette</w:t>
            </w:r>
          </w:p>
        </w:tc>
        <w:tc>
          <w:tcPr/>
          <w:p>
            <w:pPr>
              <w:pStyle w:val="Compact"/>
            </w:pPr>
            <w:r>
              <w:rPr>
                <w:sz w:val="17"/>
              </w:rPr>
              <w:t xml:space="preserve">Aucune régie ne voit les dossiers d’une autre</w:t>
            </w:r>
          </w:p>
        </w:tc>
      </w:tr>
      <w:tr>
        <w:tc>
          <w:tcPr>
            <w:shd w:val="clear" w:color="auto" w:fill="F5F7FB"/>
          </w:tcPr>
          <w:p>
            <w:pPr>
              <w:pStyle w:val="Compact"/>
            </w:pPr>
            <w:r>
              <w:rPr>
                <w:sz w:val="17"/>
              </w:rPr>
              <w:t xml:space="preserve">Ministères provinciaux</w:t>
            </w:r>
          </w:p>
        </w:tc>
        <w:tc>
          <w:tcPr>
            <w:shd w:val="clear" w:color="auto" w:fill="F5F7FB"/>
          </w:tcPr>
          <w:p>
            <w:pPr>
              <w:pStyle w:val="Compact"/>
            </w:pPr>
            <w:r>
              <w:rPr>
                <w:sz w:val="17"/>
              </w:rPr>
              <w:t xml:space="preserve">Accès par attributs aux modules rattachés</w:t>
            </w:r>
          </w:p>
        </w:tc>
        <w:tc>
          <w:tcPr>
            <w:shd w:val="clear" w:color="auto" w:fill="F5F7FB"/>
          </w:tcPr>
          <w:p>
            <w:pPr>
              <w:pStyle w:val="Compact"/>
            </w:pPr>
            <w:r>
              <w:rPr>
                <w:sz w:val="17"/>
              </w:rPr>
              <w:t xml:space="preserve">Aucune donnée hors compétence</w:t>
            </w:r>
          </w:p>
        </w:tc>
      </w:tr>
      <w:tr>
        <w:tc>
          <w:tcPr/>
          <w:p>
            <w:pPr>
              <w:pStyle w:val="Compact"/>
            </w:pPr>
            <w:r>
              <w:rPr>
                <w:sz w:val="17"/>
              </w:rPr>
              <w:t xml:space="preserve">Communes et ETD</w:t>
            </w:r>
          </w:p>
        </w:tc>
        <w:tc>
          <w:tcPr/>
          <w:p>
            <w:pPr>
              <w:pStyle w:val="Compact"/>
            </w:pPr>
            <w:r>
              <w:rPr>
                <w:sz w:val="17"/>
              </w:rPr>
              <w:t xml:space="preserve">Espace distinct (module 95), clés légales de répartition, refus des doublons, arbitrage</w:t>
            </w:r>
          </w:p>
        </w:tc>
        <w:tc>
          <w:tcPr/>
          <w:p>
            <w:pPr>
              <w:pStyle w:val="Compact"/>
            </w:pPr>
            <w:r>
              <w:rPr>
                <w:sz w:val="17"/>
              </w:rPr>
              <w:t xml:space="preserve">Pas de liquidation de recettes communales par la province</w:t>
            </w:r>
          </w:p>
        </w:tc>
      </w:tr>
      <w:tr>
        <w:tc>
          <w:tcPr>
            <w:shd w:val="clear" w:color="auto" w:fill="F5F7FB"/>
          </w:tcPr>
          <w:p>
            <w:pPr>
              <w:pStyle w:val="Compact"/>
            </w:pPr>
            <w:r>
              <w:rPr>
                <w:sz w:val="17"/>
              </w:rPr>
              <w:t xml:space="preserve">Services techniques (voirie, transport, environnement, urbanisme)</w:t>
            </w:r>
          </w:p>
        </w:tc>
        <w:tc>
          <w:tcPr>
            <w:shd w:val="clear" w:color="auto" w:fill="F5F7FB"/>
          </w:tcPr>
          <w:p>
            <w:pPr>
              <w:pStyle w:val="Compact"/>
            </w:pPr>
            <w:r>
              <w:rPr>
                <w:sz w:val="17"/>
              </w:rPr>
              <w:t xml:space="preserve">Autorisations conditionnées au quitus lorsqu’une règle l’exige</w:t>
            </w:r>
          </w:p>
        </w:tc>
        <w:tc>
          <w:tcPr>
            <w:shd w:val="clear" w:color="auto" w:fill="F5F7FB"/>
          </w:tcPr>
          <w:p>
            <w:pPr>
              <w:pStyle w:val="Compact"/>
            </w:pPr>
            <w:r>
              <w:rPr>
                <w:sz w:val="17"/>
              </w:rPr>
              <w:t xml:space="preserve">Vérification oui/non par API (R37)</w:t>
            </w:r>
          </w:p>
        </w:tc>
      </w:tr>
      <w:tr>
        <w:tc>
          <w:tcPr/>
          <w:p>
            <w:pPr>
              <w:pStyle w:val="Compact"/>
            </w:pPr>
            <w:r>
              <w:rPr>
                <w:sz w:val="17"/>
              </w:rPr>
              <w:t xml:space="preserve">Opérateurs délégués (stationnement, marchés, ports, gares routières, péages)</w:t>
            </w:r>
          </w:p>
        </w:tc>
        <w:tc>
          <w:tcPr/>
          <w:p>
            <w:pPr>
              <w:pStyle w:val="Compact"/>
            </w:pPr>
            <w:r>
              <w:rPr>
                <w:sz w:val="17"/>
              </w:rPr>
              <w:t xml:space="preserve">Émettent des titres</w:t>
            </w:r>
            <w:r>
              <w:rPr>
                <w:sz w:val="17"/>
              </w:rPr>
              <w:t xml:space="preserve"> </w:t>
            </w:r>
            <w:r>
              <w:rPr>
                <w:b/>
                <w:bCs/>
                <w:sz w:val="17"/>
              </w:rPr>
              <w:t xml:space="preserve">exclusivement via MOSOLO</w:t>
            </w:r>
            <w:r>
              <w:rPr>
                <w:sz w:val="17"/>
              </w:rPr>
              <w:t xml:space="preserve"> </w:t>
            </w:r>
            <w:r>
              <w:rPr>
                <w:sz w:val="17"/>
              </w:rPr>
              <w:t xml:space="preserve">; encaissement uniquement par points agréés, reversement direct au compte public, rapprochement</w:t>
            </w:r>
          </w:p>
        </w:tc>
        <w:tc>
          <w:tcPr/>
          <w:p>
            <w:pPr>
              <w:pStyle w:val="Compact"/>
            </w:pPr>
            <w:r>
              <w:rPr>
                <w:sz w:val="17"/>
              </w:rPr>
              <w:t xml:space="preserve">Un titre non émis par MOSOLO n’a aucune valeur (R30, § H.20)</w:t>
            </w:r>
          </w:p>
        </w:tc>
      </w:tr>
      <w:tr>
        <w:tc>
          <w:tcPr>
            <w:shd w:val="clear" w:color="auto" w:fill="F5F7FB"/>
          </w:tcPr>
          <w:p>
            <w:pPr>
              <w:pStyle w:val="Compact"/>
            </w:pPr>
            <w:r>
              <w:rPr>
                <w:sz w:val="17"/>
              </w:rPr>
              <w:t xml:space="preserve">Pouvoir central</w:t>
            </w:r>
          </w:p>
        </w:tc>
        <w:tc>
          <w:tcPr>
            <w:shd w:val="clear" w:color="auto" w:fill="F5F7FB"/>
          </w:tcPr>
          <w:p>
            <w:pPr>
              <w:pStyle w:val="Compact"/>
            </w:pPr>
            <w:r>
              <w:rPr>
                <w:sz w:val="17"/>
              </w:rPr>
              <w:t xml:space="preserve">Nomenclature OL 18/003 servant à exclure les doubles impositions</w:t>
            </w:r>
          </w:p>
        </w:tc>
        <w:tc>
          <w:tcPr>
            <w:shd w:val="clear" w:color="auto" w:fill="F5F7FB"/>
          </w:tcPr>
          <w:p>
            <w:pPr>
              <w:pStyle w:val="Compact"/>
            </w:pPr>
            <w:r>
              <w:rPr>
                <w:sz w:val="17"/>
              </w:rPr>
              <w:t xml:space="preserve">Aucune liquidation</w:t>
            </w:r>
          </w:p>
        </w:tc>
      </w:tr>
      <w:tr>
        <w:tc>
          <w:tcPr/>
          <w:p>
            <w:pPr>
              <w:pStyle w:val="Compact"/>
            </w:pPr>
            <w:r>
              <w:rPr>
                <w:sz w:val="17"/>
              </w:rPr>
              <w:t xml:space="preserve">Banques et prestataires de paiement</w:t>
            </w:r>
          </w:p>
        </w:tc>
        <w:tc>
          <w:tcPr/>
          <w:p>
            <w:pPr>
              <w:pStyle w:val="Compact"/>
            </w:pPr>
            <w:r>
              <w:rPr>
                <w:sz w:val="17"/>
              </w:rPr>
              <w:t xml:space="preserve">Contrats, délais, pénalités (module 88)</w:t>
            </w:r>
          </w:p>
        </w:tc>
        <w:tc>
          <w:tcPr/>
          <w:p>
            <w:pPr>
              <w:pStyle w:val="Compact"/>
            </w:pPr>
            <w:r>
              <w:rPr>
                <w:sz w:val="17"/>
              </w:rPr>
              <w:t xml:space="preserve">Aucun accès aux données fiscales au-delà de la référence</w:t>
            </w:r>
          </w:p>
        </w:tc>
      </w:tr>
      <w:tr>
        <w:tc>
          <w:tcPr>
            <w:shd w:val="clear" w:color="auto" w:fill="F5F7FB"/>
          </w:tcPr>
          <w:p>
            <w:pPr>
              <w:pStyle w:val="Compact"/>
            </w:pPr>
            <w:r>
              <w:rPr>
                <w:sz w:val="17"/>
              </w:rPr>
              <w:t xml:space="preserve">Sous-traitants terrain</w:t>
            </w:r>
          </w:p>
        </w:tc>
        <w:tc>
          <w:tcPr>
            <w:shd w:val="clear" w:color="auto" w:fill="F5F7FB"/>
          </w:tcPr>
          <w:p>
            <w:pPr>
              <w:pStyle w:val="Compact"/>
            </w:pPr>
            <w:r>
              <w:rPr>
                <w:sz w:val="17"/>
              </w:rPr>
              <w:t xml:space="preserve">Lots, équipes accréditées, contrôle qualité indépendant (§ H.8)</w:t>
            </w:r>
          </w:p>
        </w:tc>
        <w:tc>
          <w:tcPr>
            <w:shd w:val="clear" w:color="auto" w:fill="F5F7FB"/>
          </w:tcPr>
          <w:p>
            <w:pPr>
              <w:pStyle w:val="Compact"/>
            </w:pPr>
            <w:r>
              <w:rPr>
                <w:sz w:val="17"/>
              </w:rPr>
              <w:t xml:space="preserve">Aucun encaissement ; aucune auto-validation</w:t>
            </w:r>
          </w:p>
        </w:tc>
      </w:tr>
      <w:tr>
        <w:tc>
          <w:tcPr/>
          <w:p>
            <w:pPr>
              <w:pStyle w:val="Compact"/>
            </w:pPr>
            <w:r>
              <w:rPr>
                <w:sz w:val="17"/>
              </w:rPr>
              <w:t xml:space="preserve">Partenaires de données</w:t>
            </w:r>
          </w:p>
        </w:tc>
        <w:tc>
          <w:tcPr/>
          <w:p>
            <w:pPr>
              <w:pStyle w:val="Compact"/>
            </w:pPr>
            <w:r>
              <w:rPr>
                <w:sz w:val="17"/>
              </w:rPr>
              <w:t xml:space="preserve">Protocoles signés, minimisation</w:t>
            </w:r>
          </w:p>
        </w:tc>
        <w:tc>
          <w:tcPr/>
          <w:p>
            <w:pPr>
              <w:pStyle w:val="Compact"/>
            </w:pPr>
            <w:r>
              <w:rPr>
                <w:sz w:val="17"/>
              </w:rPr>
              <w:t xml:space="preserve">Connecteurs désactivés sans protocole (J13)</w:t>
            </w:r>
          </w:p>
        </w:tc>
      </w:tr>
      <w:tr>
        <w:tc>
          <w:tcPr>
            <w:shd w:val="clear" w:color="auto" w:fill="F5F7FB"/>
          </w:tcPr>
          <w:p>
            <w:pPr>
              <w:pStyle w:val="Compact"/>
            </w:pPr>
            <w:r>
              <w:rPr>
                <w:sz w:val="17"/>
              </w:rPr>
              <w:t xml:space="preserve">Citoyens et entreprises</w:t>
            </w:r>
          </w:p>
        </w:tc>
        <w:tc>
          <w:tcPr>
            <w:shd w:val="clear" w:color="auto" w:fill="F5F7FB"/>
          </w:tcPr>
          <w:p>
            <w:pPr>
              <w:pStyle w:val="Compact"/>
            </w:pPr>
            <w:r>
              <w:rPr>
                <w:sz w:val="17"/>
              </w:rPr>
              <w:t xml:space="preserve">Compte unique, preuve, recours</w:t>
            </w:r>
          </w:p>
        </w:tc>
        <w:tc>
          <w:tcPr>
            <w:shd w:val="clear" w:color="auto" w:fill="F5F7FB"/>
          </w:tcPr>
          <w:p>
            <w:pPr>
              <w:pStyle w:val="Compact"/>
            </w:pPr>
            <w:r>
              <w:rPr>
                <w:sz w:val="17"/>
              </w:rPr>
              <w:t xml:space="preserve">—</w:t>
            </w:r>
          </w:p>
        </w:tc>
      </w:tr>
      <w:tr>
        <w:tc>
          <w:tcPr/>
          <w:p>
            <w:pPr>
              <w:pStyle w:val="Compact"/>
            </w:pPr>
            <w:r>
              <w:rPr>
                <w:sz w:val="17"/>
              </w:rPr>
              <w:t xml:space="preserve">Audit, inspection, société civile</w:t>
            </w:r>
          </w:p>
        </w:tc>
        <w:tc>
          <w:tcPr/>
          <w:p>
            <w:pPr>
              <w:pStyle w:val="Compact"/>
            </w:pPr>
            <w:r>
              <w:rPr>
                <w:sz w:val="17"/>
              </w:rPr>
              <w:t xml:space="preserve">Lecture indépendante, journal inaltérable</w:t>
            </w:r>
          </w:p>
        </w:tc>
        <w:tc>
          <w:tcPr/>
          <w:p>
            <w:pPr>
              <w:pStyle w:val="Compact"/>
            </w:pPr>
            <w:r>
              <w:rPr>
                <w:sz w:val="17"/>
              </w:rPr>
              <w:t xml:space="preserve">Aucune modification possible</w:t>
            </w:r>
          </w:p>
        </w:tc>
      </w:tr>
    </w:tbl>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Relève du socle commun</w:t>
            </w:r>
          </w:p>
        </w:tc>
        <w:tc>
          <w:tcPr>
            <w:shd w:val="clear" w:color="auto" w:fill="232C6B"/>
          </w:tcPr>
          <w:p>
            <w:pPr>
              <w:pStyle w:val="Compact"/>
            </w:pPr>
            <w:r>
              <w:rPr>
                <w:b/>
                <w:color w:val="FFFFFF"/>
                <w:sz w:val="17"/>
              </w:rPr>
              <w:t xml:space="preserve">Relève de l’espace de chaque entité</w:t>
            </w:r>
          </w:p>
        </w:tc>
      </w:tr>
      <w:tr>
        <w:tc>
          <w:tcPr/>
          <w:p>
            <w:pPr>
              <w:pStyle w:val="Compact"/>
            </w:pPr>
            <w:r>
              <w:rPr>
                <w:sz w:val="17"/>
              </w:rPr>
              <w:t xml:space="preserve">Identité et compte unique</w:t>
            </w:r>
          </w:p>
        </w:tc>
        <w:tc>
          <w:tcPr/>
          <w:p>
            <w:pPr>
              <w:pStyle w:val="Compact"/>
            </w:pPr>
            <w:r>
              <w:rPr>
                <w:sz w:val="17"/>
              </w:rPr>
              <w:t xml:space="preserve">Recettes, règles et tarifs de sa compétence</w:t>
            </w:r>
          </w:p>
        </w:tc>
      </w:tr>
      <w:tr>
        <w:tc>
          <w:tcPr>
            <w:shd w:val="clear" w:color="auto" w:fill="F5F7FB"/>
          </w:tcPr>
          <w:p>
            <w:pPr>
              <w:pStyle w:val="Compact"/>
            </w:pPr>
            <w:r>
              <w:rPr>
                <w:sz w:val="17"/>
              </w:rPr>
              <w:t xml:space="preserve">Cadastre fiscal et identifiants géofiscaux</w:t>
            </w:r>
          </w:p>
        </w:tc>
        <w:tc>
          <w:tcPr>
            <w:shd w:val="clear" w:color="auto" w:fill="F5F7FB"/>
          </w:tcPr>
          <w:p>
            <w:pPr>
              <w:pStyle w:val="Compact"/>
            </w:pPr>
            <w:r>
              <w:rPr>
                <w:sz w:val="17"/>
              </w:rPr>
              <w:t xml:space="preserve">Workflows, circuits d’approbation, délais de service</w:t>
            </w:r>
          </w:p>
        </w:tc>
      </w:tr>
      <w:tr>
        <w:tc>
          <w:tcPr/>
          <w:p>
            <w:pPr>
              <w:pStyle w:val="Compact"/>
            </w:pPr>
            <w:r>
              <w:rPr>
                <w:sz w:val="17"/>
              </w:rPr>
              <w:t xml:space="preserve">Registre juridique et moteur de liquidation</w:t>
            </w:r>
          </w:p>
        </w:tc>
        <w:tc>
          <w:tcPr/>
          <w:p>
            <w:pPr>
              <w:pStyle w:val="Compact"/>
            </w:pPr>
            <w:r>
              <w:rPr>
                <w:sz w:val="17"/>
              </w:rPr>
              <w:t xml:space="preserve">Agents, équipes, sous-traitants, missions</w:t>
            </w:r>
          </w:p>
        </w:tc>
      </w:tr>
      <w:tr>
        <w:tc>
          <w:tcPr>
            <w:shd w:val="clear" w:color="auto" w:fill="F5F7FB"/>
          </w:tcPr>
          <w:p>
            <w:pPr>
              <w:pStyle w:val="Compact"/>
            </w:pPr>
            <w:r>
              <w:rPr>
                <w:sz w:val="17"/>
              </w:rPr>
              <w:t xml:space="preserve">Orchestration des paiements, grand livre, rapprochement</w:t>
            </w:r>
          </w:p>
        </w:tc>
        <w:tc>
          <w:tcPr>
            <w:shd w:val="clear" w:color="auto" w:fill="F5F7FB"/>
          </w:tcPr>
          <w:p>
            <w:pPr>
              <w:pStyle w:val="Compact"/>
            </w:pPr>
            <w:r>
              <w:rPr>
                <w:sz w:val="17"/>
              </w:rPr>
              <w:t xml:space="preserve">Comptes publics bénéficiaires propres, verrouillés dans le coffre</w:t>
            </w:r>
          </w:p>
        </w:tc>
      </w:tr>
      <w:tr>
        <w:tc>
          <w:tcPr/>
          <w:p>
            <w:pPr>
              <w:pStyle w:val="Compact"/>
            </w:pPr>
            <w:r>
              <w:rPr>
                <w:sz w:val="17"/>
              </w:rPr>
              <w:t xml:space="preserve">Moteur de titres et de preuves (§ H.11)</w:t>
            </w:r>
          </w:p>
        </w:tc>
        <w:tc>
          <w:tcPr/>
          <w:p>
            <w:pPr>
              <w:pStyle w:val="Compact"/>
            </w:pPr>
            <w:r>
              <w:rPr>
                <w:sz w:val="17"/>
              </w:rPr>
              <w:t xml:space="preserve">Types de titres, modèles de QR, règles de validité</w:t>
            </w:r>
          </w:p>
        </w:tc>
      </w:tr>
      <w:tr>
        <w:tc>
          <w:tcPr>
            <w:shd w:val="clear" w:color="auto" w:fill="F5F7FB"/>
          </w:tcPr>
          <w:p>
            <w:pPr>
              <w:pStyle w:val="Compact"/>
            </w:pPr>
            <w:r>
              <w:rPr>
                <w:sz w:val="17"/>
              </w:rPr>
              <w:t xml:space="preserve">Audit, sécurité, journal</w:t>
            </w:r>
          </w:p>
        </w:tc>
        <w:tc>
          <w:tcPr>
            <w:shd w:val="clear" w:color="auto" w:fill="F5F7FB"/>
          </w:tcPr>
          <w:p>
            <w:pPr>
              <w:pStyle w:val="Compact"/>
            </w:pPr>
            <w:r>
              <w:rPr>
                <w:sz w:val="17"/>
              </w:rPr>
              <w:t xml:space="preserve">Tableaux de bord de l’entité</w:t>
            </w:r>
          </w:p>
        </w:tc>
      </w:tr>
      <w:tr>
        <w:tc>
          <w:tcPr/>
          <w:p>
            <w:pPr>
              <w:pStyle w:val="Compact"/>
            </w:pPr>
            <w:r>
              <w:rPr>
                <w:sz w:val="17"/>
              </w:rPr>
              <w:t xml:space="preserve">Notifications, SVI, USSD, SMS</w:t>
            </w:r>
          </w:p>
        </w:tc>
        <w:tc>
          <w:tcPr/>
          <w:p>
            <w:pPr>
              <w:pStyle w:val="Compact"/>
            </w:pPr>
            <w:r>
              <w:rPr>
                <w:sz w:val="17"/>
              </w:rPr>
              <w:t xml:space="preserve">Modèles de messages et calendrier de campagnes (charte de l’entité, § 11.4.6)</w:t>
            </w:r>
          </w:p>
        </w:tc>
      </w:tr>
    </w:tbl>
    <w:p>
      <w:pPr>
        <w:pStyle w:val="BodyText"/>
      </w:pPr>
      <w:r>
        <w:rPr>
          <w:b/>
          <w:bCs/>
        </w:rPr>
        <w:t xml:space="preserve">Règles de coexistence complémentaires</w:t>
      </w:r>
      <w:r>
        <w:t xml:space="preserve"> </w:t>
      </w:r>
      <w:r>
        <w:t xml:space="preserve">(en plus du § 10.3) :</w:t>
      </w:r>
    </w:p>
    <w:p>
      <w:pPr>
        <w:pStyle w:val="Compact"/>
        <w:numPr>
          <w:ilvl w:val="0"/>
          <w:numId w:val="1025"/>
        </w:numPr>
      </w:pPr>
      <w:r>
        <w:rPr>
          <w:b/>
          <w:bCs/>
        </w:rPr>
        <w:t xml:space="preserve">Accords de niveau de service inter-entités</w:t>
      </w:r>
      <w:r>
        <w:t xml:space="preserve"> </w:t>
      </w:r>
      <w:r>
        <w:t xml:space="preserve">(instruction d’une demande, reversement d’une part légale, réponse à une vérification de quitus) : délais paramétrés, suivis et publiés au tableau des ministères (module 44) et au Comité de pilotage.</w:t>
      </w:r>
    </w:p>
    <w:p>
      <w:pPr>
        <w:pStyle w:val="Compact"/>
        <w:numPr>
          <w:ilvl w:val="0"/>
          <w:numId w:val="1025"/>
        </w:numPr>
      </w:pPr>
      <w:r>
        <w:rPr>
          <w:b/>
          <w:bCs/>
        </w:rPr>
        <w:t xml:space="preserve">Transparence de chaque obligation et de chaque titre</w:t>
      </w:r>
      <w:r>
        <w:t xml:space="preserve"> </w:t>
      </w:r>
      <w:r>
        <w:t xml:space="preserve">: le citoyen voit l’entité responsable, la base légale et la voie de recours.</w:t>
      </w:r>
    </w:p>
    <w:p>
      <w:pPr>
        <w:pStyle w:val="Compact"/>
        <w:numPr>
          <w:ilvl w:val="0"/>
          <w:numId w:val="1025"/>
        </w:numPr>
      </w:pPr>
      <w:r>
        <w:rPr>
          <w:b/>
          <w:bCs/>
        </w:rPr>
        <w:t xml:space="preserve">Échanges inter-entités par API contractualisées</w:t>
      </w:r>
      <w:r>
        <w:t xml:space="preserve"> </w:t>
      </w:r>
      <w:r>
        <w:t xml:space="preserve">uniquement (module 52), journalisés.</w:t>
      </w:r>
    </w:p>
    <w:bookmarkEnd w:id="412"/>
    <w:bookmarkStart w:id="416" w:name="h.4.3-fiche-de-configuration-de-module"/>
    <w:p>
      <w:pPr>
        <w:pStyle w:val="Heading3"/>
      </w:pPr>
      <w:r>
        <w:t xml:space="preserve">H.4.3 Fiche de configuration de module</w:t>
      </w:r>
    </w:p>
    <w:p>
      <w:pPr>
        <w:pStyle w:val="FirstParagraph"/>
      </w:pPr>
      <w:r>
        <w:t xml:space="preserve">L’ajout d’un service ou d’une entité se fait</w:t>
      </w:r>
      <w:r>
        <w:t xml:space="preserve"> </w:t>
      </w:r>
      <w:r>
        <w:rPr>
          <w:b/>
          <w:bCs/>
        </w:rPr>
        <w:t xml:space="preserve">sans redéveloppement</w:t>
      </w:r>
      <w:r>
        <w:t xml:space="preserve">, par une fiche de configuration validée en maker-checker par le programme, le juridique et l’entité, testée en environnement de recette, puis activée après seconde validation.</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Rubrique de la fiche</w:t>
            </w:r>
          </w:p>
        </w:tc>
        <w:tc>
          <w:tcPr>
            <w:shd w:val="clear" w:color="auto" w:fill="232C6B"/>
          </w:tcPr>
          <w:p>
            <w:pPr>
              <w:pStyle w:val="Compact"/>
            </w:pPr>
            <w:r>
              <w:rPr>
                <w:b/>
                <w:color w:val="FFFFFF"/>
                <w:sz w:val="17"/>
              </w:rPr>
              <w:t xml:space="preserve">Contenu</w:t>
            </w:r>
          </w:p>
        </w:tc>
        <w:tc>
          <w:tcPr>
            <w:shd w:val="clear" w:color="auto" w:fill="232C6B"/>
          </w:tcPr>
          <w:p>
            <w:pPr>
              <w:pStyle w:val="Compact"/>
            </w:pPr>
            <w:r>
              <w:rPr>
                <w:b/>
                <w:color w:val="FFFFFF"/>
                <w:sz w:val="17"/>
              </w:rPr>
              <w:t xml:space="preserve">Contrôle</w:t>
            </w:r>
          </w:p>
        </w:tc>
      </w:tr>
      <w:tr>
        <w:tc>
          <w:tcPr/>
          <w:p>
            <w:pPr>
              <w:pStyle w:val="Compact"/>
            </w:pPr>
            <w:r>
              <w:rPr>
                <w:sz w:val="17"/>
              </w:rPr>
              <w:t xml:space="preserve">Entité responsable</w:t>
            </w:r>
          </w:p>
        </w:tc>
        <w:tc>
          <w:tcPr/>
          <w:p>
            <w:pPr>
              <w:pStyle w:val="Compact"/>
            </w:pPr>
            <w:r>
              <w:rPr>
                <w:sz w:val="17"/>
              </w:rPr>
              <w:t xml:space="preserve">Administration, responsable de module, comptes bénéficiaires (alias du coffre)</w:t>
            </w:r>
          </w:p>
        </w:tc>
        <w:tc>
          <w:tcPr/>
          <w:p>
            <w:pPr>
              <w:pStyle w:val="Compact"/>
            </w:pPr>
            <w:r>
              <w:rPr>
                <w:sz w:val="17"/>
              </w:rPr>
              <w:t xml:space="preserve">Une seule entité responsable à un instant donné</w:t>
            </w:r>
          </w:p>
        </w:tc>
      </w:tr>
      <w:tr>
        <w:tc>
          <w:tcPr>
            <w:shd w:val="clear" w:color="auto" w:fill="F5F7FB"/>
          </w:tcPr>
          <w:p>
            <w:pPr>
              <w:pStyle w:val="Compact"/>
            </w:pPr>
            <w:r>
              <w:rPr>
                <w:sz w:val="17"/>
              </w:rPr>
              <w:t xml:space="preserve">Types d’objets</w:t>
            </w:r>
          </w:p>
        </w:tc>
        <w:tc>
          <w:tcPr>
            <w:shd w:val="clear" w:color="auto" w:fill="F5F7FB"/>
          </w:tcPr>
          <w:p>
            <w:pPr>
              <w:pStyle w:val="Compact"/>
            </w:pPr>
            <w:r>
              <w:rPr>
                <w:sz w:val="17"/>
              </w:rPr>
              <w:t xml:space="preserve">Catégories du référentiel (module 86)</w:t>
            </w:r>
          </w:p>
        </w:tc>
        <w:tc>
          <w:tcPr>
            <w:shd w:val="clear" w:color="auto" w:fill="F5F7FB"/>
          </w:tcPr>
          <w:p>
            <w:pPr>
              <w:pStyle w:val="Compact"/>
            </w:pPr>
            <w:r>
              <w:rPr>
                <w:sz w:val="17"/>
              </w:rPr>
              <w:t xml:space="preserve">Existence dans le référentiel</w:t>
            </w:r>
          </w:p>
        </w:tc>
      </w:tr>
      <w:tr>
        <w:tc>
          <w:tcPr/>
          <w:p>
            <w:pPr>
              <w:pStyle w:val="Compact"/>
            </w:pPr>
            <w:r>
              <w:rPr>
                <w:sz w:val="17"/>
              </w:rPr>
              <w:t xml:space="preserve">Règles</w:t>
            </w:r>
          </w:p>
        </w:tc>
        <w:tc>
          <w:tcPr/>
          <w:p>
            <w:pPr>
              <w:pStyle w:val="Compact"/>
            </w:pPr>
            <w:r>
              <w:rPr>
                <w:sz w:val="17"/>
              </w:rPr>
              <w:t xml:space="preserve">Références aux fiches de règles (§ 6.12)</w:t>
            </w:r>
          </w:p>
        </w:tc>
        <w:tc>
          <w:tcPr/>
          <w:p>
            <w:pPr>
              <w:pStyle w:val="Compact"/>
            </w:pPr>
            <w:r>
              <w:rPr>
                <w:sz w:val="17"/>
              </w:rPr>
              <w:t xml:space="preserve">Règles au statut</w:t>
            </w:r>
            <w:r>
              <w:rPr>
                <w:sz w:val="17"/>
              </w:rPr>
              <w:t xml:space="preserve"> </w:t>
            </w:r>
            <w:r>
              <w:rPr>
                <w:rStyle w:val="VerbatimChar"/>
                <w:sz w:val="17"/>
              </w:rPr>
              <w:t xml:space="preserve">ACTIVE</w:t>
            </w:r>
            <w:r>
              <w:rPr>
                <w:sz w:val="17"/>
              </w:rPr>
              <w:t xml:space="preserve"> </w:t>
            </w:r>
            <w:r>
              <w:rPr>
                <w:sz w:val="17"/>
              </w:rPr>
              <w:t xml:space="preserve">uniquement pour l’activation</w:t>
            </w:r>
          </w:p>
        </w:tc>
      </w:tr>
      <w:tr>
        <w:tc>
          <w:tcPr>
            <w:shd w:val="clear" w:color="auto" w:fill="F5F7FB"/>
          </w:tcPr>
          <w:p>
            <w:pPr>
              <w:pStyle w:val="Compact"/>
            </w:pPr>
            <w:r>
              <w:rPr>
                <w:sz w:val="17"/>
              </w:rPr>
              <w:t xml:space="preserve">Types de titres et de preuves</w:t>
            </w:r>
          </w:p>
        </w:tc>
        <w:tc>
          <w:tcPr>
            <w:shd w:val="clear" w:color="auto" w:fill="F5F7FB"/>
          </w:tcPr>
          <w:p>
            <w:pPr>
              <w:pStyle w:val="Compact"/>
            </w:pPr>
            <w:r>
              <w:rPr>
                <w:sz w:val="17"/>
              </w:rPr>
              <w:t xml:space="preserve">Catalogue § H.11.4</w:t>
            </w:r>
          </w:p>
        </w:tc>
        <w:tc>
          <w:tcPr>
            <w:shd w:val="clear" w:color="auto" w:fill="F5F7FB"/>
          </w:tcPr>
          <w:p>
            <w:pPr>
              <w:pStyle w:val="Compact"/>
            </w:pPr>
            <w:r>
              <w:rPr>
                <w:sz w:val="17"/>
              </w:rPr>
              <w:t xml:space="preserve">Référence d’acte (J21)</w:t>
            </w:r>
          </w:p>
        </w:tc>
      </w:tr>
      <w:tr>
        <w:tc>
          <w:tcPr/>
          <w:p>
            <w:pPr>
              <w:pStyle w:val="Compact"/>
            </w:pPr>
            <w:r>
              <w:rPr>
                <w:sz w:val="17"/>
              </w:rPr>
              <w:t xml:space="preserve">Modèle de validité</w:t>
            </w:r>
          </w:p>
        </w:tc>
        <w:tc>
          <w:tcPr/>
          <w:p>
            <w:pPr>
              <w:pStyle w:val="Compact"/>
            </w:pPr>
            <w:r>
              <w:rPr>
                <w:sz w:val="17"/>
              </w:rPr>
              <w:t xml:space="preserve">Horaire, journalier, hebdomadaire, mensuel, annuel, par usage, par événement, abonnement, conditionnel</w:t>
            </w:r>
          </w:p>
        </w:tc>
        <w:tc>
          <w:tcPr/>
          <w:p>
            <w:pPr>
              <w:pStyle w:val="Compact"/>
            </w:pPr>
            <w:r>
              <w:rPr>
                <w:sz w:val="17"/>
              </w:rPr>
              <w:t xml:space="preserve">§ H.11.3</w:t>
            </w:r>
          </w:p>
        </w:tc>
      </w:tr>
      <w:tr>
        <w:tc>
          <w:tcPr>
            <w:shd w:val="clear" w:color="auto" w:fill="F5F7FB"/>
          </w:tcPr>
          <w:p>
            <w:pPr>
              <w:pStyle w:val="Compact"/>
            </w:pPr>
            <w:r>
              <w:rPr>
                <w:sz w:val="17"/>
              </w:rPr>
              <w:t xml:space="preserve">Mécanismes de preuve</w:t>
            </w:r>
          </w:p>
        </w:tc>
        <w:tc>
          <w:tcPr>
            <w:shd w:val="clear" w:color="auto" w:fill="F5F7FB"/>
          </w:tcPr>
          <w:p>
            <w:pPr>
              <w:pStyle w:val="Compact"/>
            </w:pPr>
            <w:r>
              <w:rPr>
                <w:sz w:val="17"/>
              </w:rPr>
              <w:t xml:space="preserve">QR dynamique ou statique, plaque, vignette, SMS, carte, reçu imprimé, lecture automatique de plaque (LPR)</w:t>
            </w:r>
          </w:p>
        </w:tc>
        <w:tc>
          <w:tcPr>
            <w:shd w:val="clear" w:color="auto" w:fill="F5F7FB"/>
          </w:tcPr>
          <w:p>
            <w:pPr>
              <w:pStyle w:val="Compact"/>
            </w:pPr>
            <w:r>
              <w:rPr>
                <w:sz w:val="17"/>
              </w:rPr>
              <w:t xml:space="preserve">—</w:t>
            </w:r>
          </w:p>
        </w:tc>
      </w:tr>
      <w:tr>
        <w:tc>
          <w:tcPr/>
          <w:p>
            <w:pPr>
              <w:pStyle w:val="Compact"/>
            </w:pPr>
            <w:r>
              <w:rPr>
                <w:sz w:val="17"/>
              </w:rPr>
              <w:t xml:space="preserve">Règles d’usage</w:t>
            </w:r>
          </w:p>
        </w:tc>
        <w:tc>
          <w:tcPr/>
          <w:p>
            <w:pPr>
              <w:pStyle w:val="Compact"/>
            </w:pPr>
            <w:r>
              <w:rPr>
                <w:sz w:val="17"/>
              </w:rPr>
              <w:t xml:space="preserve">Unique ou multiple, zone, transférabilité (défaut : non transférable), tolérance, prolongation, remboursement</w:t>
            </w:r>
          </w:p>
        </w:tc>
        <w:tc>
          <w:tcPr/>
          <w:p>
            <w:pPr>
              <w:pStyle w:val="Compact"/>
            </w:pPr>
            <w:r>
              <w:rPr>
                <w:sz w:val="17"/>
              </w:rPr>
              <w:t xml:space="preserve">—</w:t>
            </w:r>
          </w:p>
        </w:tc>
      </w:tr>
      <w:tr>
        <w:tc>
          <w:tcPr>
            <w:shd w:val="clear" w:color="auto" w:fill="F5F7FB"/>
          </w:tcPr>
          <w:p>
            <w:pPr>
              <w:pStyle w:val="Compact"/>
            </w:pPr>
            <w:r>
              <w:rPr>
                <w:sz w:val="17"/>
              </w:rPr>
              <w:t xml:space="preserve">Canaux</w:t>
            </w:r>
          </w:p>
        </w:tc>
        <w:tc>
          <w:tcPr>
            <w:shd w:val="clear" w:color="auto" w:fill="F5F7FB"/>
          </w:tcPr>
          <w:p>
            <w:pPr>
              <w:pStyle w:val="Compact"/>
            </w:pPr>
            <w:r>
              <w:rPr>
                <w:sz w:val="17"/>
              </w:rPr>
              <w:t xml:space="preserve">Application, USSD, SVI, guichet, point de paiement agréé, agent (sans encaissement), terminal</w:t>
            </w:r>
          </w:p>
        </w:tc>
        <w:tc>
          <w:tcPr>
            <w:shd w:val="clear" w:color="auto" w:fill="F5F7FB"/>
          </w:tcPr>
          <w:p>
            <w:pPr>
              <w:pStyle w:val="Compact"/>
            </w:pPr>
            <w:r>
              <w:rPr>
                <w:sz w:val="17"/>
              </w:rPr>
              <w:t xml:space="preserve">Canal de paiement activé seulement sur agrément (J9)</w:t>
            </w:r>
          </w:p>
        </w:tc>
      </w:tr>
      <w:tr>
        <w:tc>
          <w:tcPr/>
          <w:p>
            <w:pPr>
              <w:pStyle w:val="Compact"/>
            </w:pPr>
            <w:r>
              <w:rPr>
                <w:sz w:val="17"/>
              </w:rPr>
              <w:t xml:space="preserve">Workflows terrain</w:t>
            </w:r>
          </w:p>
        </w:tc>
        <w:tc>
          <w:tcPr/>
          <w:p>
            <w:pPr>
              <w:pStyle w:val="Compact"/>
            </w:pPr>
            <w:r>
              <w:rPr>
                <w:sz w:val="17"/>
              </w:rPr>
              <w:t xml:space="preserve">Missions, constats, contrôles</w:t>
            </w:r>
          </w:p>
        </w:tc>
        <w:tc>
          <w:tcPr/>
          <w:p>
            <w:pPr>
              <w:pStyle w:val="Compact"/>
            </w:pPr>
            <w:r>
              <w:rPr>
                <w:sz w:val="17"/>
              </w:rPr>
              <w:t xml:space="preserve">Circuit RW1 pour toute mesure défavorable</w:t>
            </w:r>
          </w:p>
        </w:tc>
      </w:tr>
      <w:tr>
        <w:tc>
          <w:tcPr>
            <w:shd w:val="clear" w:color="auto" w:fill="F5F7FB"/>
          </w:tcPr>
          <w:p>
            <w:pPr>
              <w:pStyle w:val="Compact"/>
            </w:pPr>
            <w:r>
              <w:rPr>
                <w:sz w:val="17"/>
              </w:rPr>
              <w:t xml:space="preserve">Tableaux de bord</w:t>
            </w:r>
          </w:p>
        </w:tc>
        <w:tc>
          <w:tcPr>
            <w:shd w:val="clear" w:color="auto" w:fill="F5F7FB"/>
          </w:tcPr>
          <w:p>
            <w:pPr>
              <w:pStyle w:val="Compact"/>
            </w:pPr>
            <w:r>
              <w:rPr>
                <w:sz w:val="17"/>
              </w:rPr>
              <w:t xml:space="preserve">Indicateurs du module</w:t>
            </w:r>
          </w:p>
        </w:tc>
        <w:tc>
          <w:tcPr>
            <w:shd w:val="clear" w:color="auto" w:fill="F5F7FB"/>
          </w:tcPr>
          <w:p>
            <w:pPr>
              <w:pStyle w:val="Compact"/>
            </w:pPr>
            <w:r>
              <w:rPr>
                <w:sz w:val="17"/>
              </w:rPr>
              <w:t xml:space="preserve">—</w:t>
            </w:r>
          </w:p>
        </w:tc>
      </w:tr>
      <w:tr>
        <w:tc>
          <w:tcPr/>
          <w:p>
            <w:pPr>
              <w:pStyle w:val="Compact"/>
            </w:pPr>
            <w:r>
              <w:rPr>
                <w:sz w:val="17"/>
              </w:rPr>
              <w:t xml:space="preserve">Dépendances</w:t>
            </w:r>
          </w:p>
        </w:tc>
        <w:tc>
          <w:tcPr/>
          <w:p>
            <w:pPr>
              <w:pStyle w:val="Compact"/>
            </w:pPr>
            <w:r>
              <w:rPr>
                <w:sz w:val="17"/>
              </w:rPr>
              <w:t xml:space="preserve">Conditions inter-entités (quitus, vignette)</w:t>
            </w:r>
          </w:p>
        </w:tc>
        <w:tc>
          <w:tcPr/>
          <w:p>
            <w:pPr>
              <w:pStyle w:val="Compact"/>
            </w:pPr>
            <w:r>
              <w:rPr>
                <w:sz w:val="17"/>
              </w:rPr>
              <w:t xml:space="preserve">Règles versionnées visibles du citoyen</w:t>
            </w:r>
          </w:p>
        </w:tc>
      </w:tr>
    </w:tbl>
    <w:p>
      <w:pPr>
        <w:pStyle w:val="BodyText"/>
      </w:pPr>
      <w:r>
        <w:drawing>
          <wp:inline>
            <wp:extent cx="6108700" cy="13777774"/>
            <wp:effectExtent b="0" l="0" r="0" t="0"/>
            <wp:docPr descr="" title="" id="414" name="Picture"/>
            <a:graphic>
              <a:graphicData uri="http://schemas.openxmlformats.org/drawingml/2006/picture">
                <pic:pic>
                  <pic:nvPicPr>
                    <pic:cNvPr descr="figures/mermaid/mmd-a16304bbef7e.png" id="415" name="Picture"/>
                    <pic:cNvPicPr>
                      <a:picLocks noChangeArrowheads="1" noChangeAspect="1"/>
                    </pic:cNvPicPr>
                  </pic:nvPicPr>
                  <pic:blipFill>
                    <a:blip r:embed="rId413"/>
                    <a:stretch>
                      <a:fillRect/>
                    </a:stretch>
                  </pic:blipFill>
                  <pic:spPr bwMode="auto">
                    <a:xfrm>
                      <a:off x="0" y="0"/>
                      <a:ext cx="6108700" cy="13777774"/>
                    </a:xfrm>
                    <a:prstGeom prst="rect">
                      <a:avLst/>
                    </a:prstGeom>
                    <a:noFill/>
                    <a:ln w="9525">
                      <a:noFill/>
                      <a:headEnd/>
                      <a:tailEnd/>
                    </a:ln>
                  </pic:spPr>
                </pic:pic>
              </a:graphicData>
            </a:graphic>
          </wp:inline>
        </w:drawing>
      </w:r>
    </w:p>
    <w:p>
      <w:pPr>
        <w:pStyle w:val="BodyText"/>
      </w:pPr>
      <w:r>
        <w:t xml:space="preserve">Critère d’acceptation (AC-ENT-02, § H.21) : aucun module n’est activé sans fiche approuvée et recette réussie ; deux entités revendiquant le même fait générateur, le même objet et la même période → la seconde obligation est bloquée, un dossier d’arbitrage est ouvert,</w:t>
      </w:r>
      <w:r>
        <w:t xml:space="preserve"> </w:t>
      </w:r>
      <w:r>
        <w:rPr>
          <w:b/>
          <w:bCs/>
        </w:rPr>
        <w:t xml:space="preserve">aucune double obligation n’est exposée au citoyen</w:t>
      </w:r>
      <w:r>
        <w:t xml:space="preserve"> </w:t>
      </w:r>
      <w:r>
        <w:t xml:space="preserve">(AC-LEG-04).</w:t>
      </w:r>
    </w:p>
    <w:bookmarkEnd w:id="416"/>
    <w:bookmarkEnd w:id="417"/>
    <w:bookmarkStart w:id="421" w:name="Xdaf85de975bb73ae39c43ce8fd05582255527e0"/>
    <w:p>
      <w:pPr>
        <w:pStyle w:val="Heading2"/>
      </w:pPr>
      <w:r>
        <w:t xml:space="preserve">H.5 Chapitre 11 — Catalogue des modules et verticales</w:t>
      </w:r>
    </w:p>
    <w:bookmarkStart w:id="418" w:name="X618cceb4c970973e616deeeb8ac68754a879b4f"/>
    <w:p>
      <w:pPr>
        <w:pStyle w:val="Heading3"/>
      </w:pPr>
      <w:r>
        <w:t xml:space="preserve">H.5.1 Correspondance avec le plan directeur KIN-RECETTES (M01 à M20)</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KIN-RECETTES</w:t>
            </w:r>
          </w:p>
        </w:tc>
        <w:tc>
          <w:tcPr>
            <w:shd w:val="clear" w:color="auto" w:fill="232C6B"/>
          </w:tcPr>
          <w:p>
            <w:pPr>
              <w:pStyle w:val="Compact"/>
            </w:pPr>
            <w:r>
              <w:rPr>
                <w:b/>
                <w:color w:val="FFFFFF"/>
                <w:sz w:val="17"/>
              </w:rPr>
              <w:t xml:space="preserve">Fonction</w:t>
            </w:r>
          </w:p>
        </w:tc>
        <w:tc>
          <w:tcPr>
            <w:shd w:val="clear" w:color="auto" w:fill="232C6B"/>
          </w:tcPr>
          <w:p>
            <w:pPr>
              <w:pStyle w:val="Compact"/>
            </w:pPr>
            <w:r>
              <w:rPr>
                <w:b/>
                <w:color w:val="FFFFFF"/>
                <w:sz w:val="17"/>
              </w:rPr>
              <w:t xml:space="preserve">Modules MOSOLO</w:t>
            </w:r>
          </w:p>
        </w:tc>
      </w:tr>
      <w:tr>
        <w:tc>
          <w:tcPr/>
          <w:p>
            <w:pPr>
              <w:pStyle w:val="Compact"/>
            </w:pPr>
            <w:r>
              <w:rPr>
                <w:sz w:val="17"/>
              </w:rPr>
              <w:t xml:space="preserve">M01</w:t>
            </w:r>
          </w:p>
        </w:tc>
        <w:tc>
          <w:tcPr/>
          <w:p>
            <w:pPr>
              <w:pStyle w:val="Compact"/>
            </w:pPr>
            <w:r>
              <w:rPr>
                <w:sz w:val="17"/>
              </w:rPr>
              <w:t xml:space="preserve">Identité et enrôlement</w:t>
            </w:r>
          </w:p>
        </w:tc>
        <w:tc>
          <w:tcPr/>
          <w:p>
            <w:pPr>
              <w:pStyle w:val="Compact"/>
            </w:pPr>
            <w:r>
              <w:rPr>
                <w:sz w:val="17"/>
              </w:rPr>
              <w:t xml:space="preserve">1, 2</w:t>
            </w:r>
          </w:p>
        </w:tc>
      </w:tr>
      <w:tr>
        <w:tc>
          <w:tcPr>
            <w:shd w:val="clear" w:color="auto" w:fill="F5F7FB"/>
          </w:tcPr>
          <w:p>
            <w:pPr>
              <w:pStyle w:val="Compact"/>
            </w:pPr>
            <w:r>
              <w:rPr>
                <w:sz w:val="17"/>
              </w:rPr>
              <w:t xml:space="preserve">M02</w:t>
            </w:r>
          </w:p>
        </w:tc>
        <w:tc>
          <w:tcPr>
            <w:shd w:val="clear" w:color="auto" w:fill="F5F7FB"/>
          </w:tcPr>
          <w:p>
            <w:pPr>
              <w:pStyle w:val="Compact"/>
            </w:pPr>
            <w:r>
              <w:rPr>
                <w:sz w:val="17"/>
              </w:rPr>
              <w:t xml:space="preserve">Relations contribuable–objet</w:t>
            </w:r>
          </w:p>
        </w:tc>
        <w:tc>
          <w:tcPr>
            <w:shd w:val="clear" w:color="auto" w:fill="F5F7FB"/>
          </w:tcPr>
          <w:p>
            <w:pPr>
              <w:pStyle w:val="Compact"/>
            </w:pPr>
            <w:r>
              <w:rPr>
                <w:sz w:val="17"/>
              </w:rPr>
              <w:t xml:space="preserve">7</w:t>
            </w:r>
          </w:p>
        </w:tc>
      </w:tr>
      <w:tr>
        <w:tc>
          <w:tcPr/>
          <w:p>
            <w:pPr>
              <w:pStyle w:val="Compact"/>
            </w:pPr>
            <w:r>
              <w:rPr>
                <w:sz w:val="17"/>
              </w:rPr>
              <w:t xml:space="preserve">M03</w:t>
            </w:r>
          </w:p>
        </w:tc>
        <w:tc>
          <w:tcPr/>
          <w:p>
            <w:pPr>
              <w:pStyle w:val="Compact"/>
            </w:pPr>
            <w:r>
              <w:rPr>
                <w:sz w:val="17"/>
              </w:rPr>
              <w:t xml:space="preserve">Cadastre et SIG</w:t>
            </w:r>
          </w:p>
        </w:tc>
        <w:tc>
          <w:tcPr/>
          <w:p>
            <w:pPr>
              <w:pStyle w:val="Compact"/>
            </w:pPr>
            <w:r>
              <w:rPr>
                <w:sz w:val="17"/>
              </w:rPr>
              <w:t xml:space="preserve">8</w:t>
            </w:r>
          </w:p>
        </w:tc>
      </w:tr>
      <w:tr>
        <w:tc>
          <w:tcPr>
            <w:shd w:val="clear" w:color="auto" w:fill="F5F7FB"/>
          </w:tcPr>
          <w:p>
            <w:pPr>
              <w:pStyle w:val="Compact"/>
            </w:pPr>
            <w:r>
              <w:rPr>
                <w:sz w:val="17"/>
              </w:rPr>
              <w:t xml:space="preserve">M04</w:t>
            </w:r>
          </w:p>
        </w:tc>
        <w:tc>
          <w:tcPr>
            <w:shd w:val="clear" w:color="auto" w:fill="F5F7FB"/>
          </w:tcPr>
          <w:p>
            <w:pPr>
              <w:pStyle w:val="Compact"/>
            </w:pPr>
            <w:r>
              <w:rPr>
                <w:sz w:val="17"/>
              </w:rPr>
              <w:t xml:space="preserve">Registre des règles</w:t>
            </w:r>
          </w:p>
        </w:tc>
        <w:tc>
          <w:tcPr>
            <w:shd w:val="clear" w:color="auto" w:fill="F5F7FB"/>
          </w:tcPr>
          <w:p>
            <w:pPr>
              <w:pStyle w:val="Compact"/>
            </w:pPr>
            <w:r>
              <w:rPr>
                <w:sz w:val="17"/>
              </w:rPr>
              <w:t xml:space="preserve">26</w:t>
            </w:r>
          </w:p>
        </w:tc>
      </w:tr>
      <w:tr>
        <w:tc>
          <w:tcPr/>
          <w:p>
            <w:pPr>
              <w:pStyle w:val="Compact"/>
            </w:pPr>
            <w:r>
              <w:rPr>
                <w:sz w:val="17"/>
              </w:rPr>
              <w:t xml:space="preserve">M05</w:t>
            </w:r>
          </w:p>
        </w:tc>
        <w:tc>
          <w:tcPr/>
          <w:p>
            <w:pPr>
              <w:pStyle w:val="Compact"/>
            </w:pPr>
            <w:r>
              <w:rPr>
                <w:sz w:val="17"/>
              </w:rPr>
              <w:t xml:space="preserve">Liquidation</w:t>
            </w:r>
          </w:p>
        </w:tc>
        <w:tc>
          <w:tcPr/>
          <w:p>
            <w:pPr>
              <w:pStyle w:val="Compact"/>
            </w:pPr>
            <w:r>
              <w:rPr>
                <w:sz w:val="17"/>
              </w:rPr>
              <w:t xml:space="preserve">27</w:t>
            </w:r>
          </w:p>
        </w:tc>
      </w:tr>
      <w:tr>
        <w:tc>
          <w:tcPr>
            <w:shd w:val="clear" w:color="auto" w:fill="F5F7FB"/>
          </w:tcPr>
          <w:p>
            <w:pPr>
              <w:pStyle w:val="Compact"/>
            </w:pPr>
            <w:r>
              <w:rPr>
                <w:sz w:val="17"/>
              </w:rPr>
              <w:t xml:space="preserve">M06</w:t>
            </w:r>
          </w:p>
        </w:tc>
        <w:tc>
          <w:tcPr>
            <w:shd w:val="clear" w:color="auto" w:fill="F5F7FB"/>
          </w:tcPr>
          <w:p>
            <w:pPr>
              <w:pStyle w:val="Compact"/>
            </w:pPr>
            <w:r>
              <w:rPr>
                <w:sz w:val="17"/>
              </w:rPr>
              <w:t xml:space="preserve">Facturation publique, échéances, acomptes autorisés</w:t>
            </w:r>
          </w:p>
        </w:tc>
        <w:tc>
          <w:tcPr>
            <w:shd w:val="clear" w:color="auto" w:fill="F5F7FB"/>
          </w:tcPr>
          <w:p>
            <w:pPr>
              <w:pStyle w:val="Compact"/>
            </w:pPr>
            <w:r>
              <w:rPr>
                <w:sz w:val="17"/>
              </w:rPr>
              <w:t xml:space="preserve">27, 32 (échéanciers : 83)</w:t>
            </w:r>
          </w:p>
        </w:tc>
      </w:tr>
      <w:tr>
        <w:tc>
          <w:tcPr/>
          <w:p>
            <w:pPr>
              <w:pStyle w:val="Compact"/>
            </w:pPr>
            <w:r>
              <w:rPr>
                <w:sz w:val="17"/>
              </w:rPr>
              <w:t xml:space="preserve">M07</w:t>
            </w:r>
          </w:p>
        </w:tc>
        <w:tc>
          <w:tcPr/>
          <w:p>
            <w:pPr>
              <w:pStyle w:val="Compact"/>
            </w:pPr>
            <w:r>
              <w:rPr>
                <w:sz w:val="17"/>
              </w:rPr>
              <w:t xml:space="preserve">Paiements</w:t>
            </w:r>
          </w:p>
        </w:tc>
        <w:tc>
          <w:tcPr/>
          <w:p>
            <w:pPr>
              <w:pStyle w:val="Compact"/>
            </w:pPr>
            <w:r>
              <w:rPr>
                <w:sz w:val="17"/>
              </w:rPr>
              <w:t xml:space="preserve">28</w:t>
            </w:r>
          </w:p>
        </w:tc>
      </w:tr>
      <w:tr>
        <w:tc>
          <w:tcPr>
            <w:shd w:val="clear" w:color="auto" w:fill="F5F7FB"/>
          </w:tcPr>
          <w:p>
            <w:pPr>
              <w:pStyle w:val="Compact"/>
            </w:pPr>
            <w:r>
              <w:rPr>
                <w:sz w:val="17"/>
              </w:rPr>
              <w:t xml:space="preserve">M08</w:t>
            </w:r>
          </w:p>
        </w:tc>
        <w:tc>
          <w:tcPr>
            <w:shd w:val="clear" w:color="auto" w:fill="F5F7FB"/>
          </w:tcPr>
          <w:p>
            <w:pPr>
              <w:pStyle w:val="Compact"/>
            </w:pPr>
            <w:r>
              <w:rPr>
                <w:sz w:val="17"/>
              </w:rPr>
              <w:t xml:space="preserve">Rapprochement et grand livre</w:t>
            </w:r>
          </w:p>
        </w:tc>
        <w:tc>
          <w:tcPr>
            <w:shd w:val="clear" w:color="auto" w:fill="F5F7FB"/>
          </w:tcPr>
          <w:p>
            <w:pPr>
              <w:pStyle w:val="Compact"/>
            </w:pPr>
            <w:r>
              <w:rPr>
                <w:sz w:val="17"/>
              </w:rPr>
              <w:t xml:space="preserve">30, 59</w:t>
            </w:r>
          </w:p>
        </w:tc>
      </w:tr>
      <w:tr>
        <w:tc>
          <w:tcPr/>
          <w:p>
            <w:pPr>
              <w:pStyle w:val="Compact"/>
            </w:pPr>
            <w:r>
              <w:rPr>
                <w:sz w:val="17"/>
              </w:rPr>
              <w:t xml:space="preserve">M09</w:t>
            </w:r>
          </w:p>
        </w:tc>
        <w:tc>
          <w:tcPr/>
          <w:p>
            <w:pPr>
              <w:pStyle w:val="Compact"/>
            </w:pPr>
            <w:r>
              <w:rPr>
                <w:sz w:val="17"/>
              </w:rPr>
              <w:t xml:space="preserve">Quittances</w:t>
            </w:r>
          </w:p>
        </w:tc>
        <w:tc>
          <w:tcPr/>
          <w:p>
            <w:pPr>
              <w:pStyle w:val="Compact"/>
            </w:pPr>
            <w:r>
              <w:rPr>
                <w:sz w:val="17"/>
              </w:rPr>
              <w:t xml:space="preserve">31</w:t>
            </w:r>
          </w:p>
        </w:tc>
      </w:tr>
      <w:tr>
        <w:tc>
          <w:tcPr>
            <w:shd w:val="clear" w:color="auto" w:fill="F5F7FB"/>
          </w:tcPr>
          <w:p>
            <w:pPr>
              <w:pStyle w:val="Compact"/>
            </w:pPr>
            <w:r>
              <w:rPr>
                <w:sz w:val="17"/>
              </w:rPr>
              <w:t xml:space="preserve">M10</w:t>
            </w:r>
          </w:p>
        </w:tc>
        <w:tc>
          <w:tcPr>
            <w:shd w:val="clear" w:color="auto" w:fill="F5F7FB"/>
          </w:tcPr>
          <w:p>
            <w:pPr>
              <w:pStyle w:val="Compact"/>
            </w:pPr>
            <w:r>
              <w:rPr>
                <w:sz w:val="17"/>
              </w:rPr>
              <w:t xml:space="preserve">Terrain, inspection, équipements</w:t>
            </w:r>
          </w:p>
        </w:tc>
        <w:tc>
          <w:tcPr>
            <w:shd w:val="clear" w:color="auto" w:fill="F5F7FB"/>
          </w:tcPr>
          <w:p>
            <w:pPr>
              <w:pStyle w:val="Compact"/>
            </w:pPr>
            <w:r>
              <w:rPr>
                <w:sz w:val="17"/>
              </w:rPr>
              <w:t xml:space="preserve">34, 35, 58</w:t>
            </w:r>
          </w:p>
        </w:tc>
      </w:tr>
      <w:tr>
        <w:tc>
          <w:tcPr/>
          <w:p>
            <w:pPr>
              <w:pStyle w:val="Compact"/>
            </w:pPr>
            <w:r>
              <w:rPr>
                <w:sz w:val="17"/>
              </w:rPr>
              <w:t xml:space="preserve">M11</w:t>
            </w:r>
          </w:p>
        </w:tc>
        <w:tc>
          <w:tcPr/>
          <w:p>
            <w:pPr>
              <w:pStyle w:val="Compact"/>
            </w:pPr>
            <w:r>
              <w:rPr>
                <w:sz w:val="17"/>
              </w:rPr>
              <w:t xml:space="preserve">Arriérés et recouvrement</w:t>
            </w:r>
          </w:p>
        </w:tc>
        <w:tc>
          <w:tcPr/>
          <w:p>
            <w:pPr>
              <w:pStyle w:val="Compact"/>
            </w:pPr>
            <w:r>
              <w:rPr>
                <w:sz w:val="17"/>
              </w:rPr>
              <w:t xml:space="preserve">32, 33</w:t>
            </w:r>
          </w:p>
        </w:tc>
      </w:tr>
      <w:tr>
        <w:tc>
          <w:tcPr>
            <w:shd w:val="clear" w:color="auto" w:fill="F5F7FB"/>
          </w:tcPr>
          <w:p>
            <w:pPr>
              <w:pStyle w:val="Compact"/>
            </w:pPr>
            <w:r>
              <w:rPr>
                <w:sz w:val="17"/>
              </w:rPr>
              <w:t xml:space="preserve">M12</w:t>
            </w:r>
          </w:p>
        </w:tc>
        <w:tc>
          <w:tcPr>
            <w:shd w:val="clear" w:color="auto" w:fill="F5F7FB"/>
          </w:tcPr>
          <w:p>
            <w:pPr>
              <w:pStyle w:val="Compact"/>
            </w:pPr>
            <w:r>
              <w:rPr>
                <w:sz w:val="17"/>
              </w:rPr>
              <w:t xml:space="preserve">Recours</w:t>
            </w:r>
          </w:p>
        </w:tc>
        <w:tc>
          <w:tcPr>
            <w:shd w:val="clear" w:color="auto" w:fill="F5F7FB"/>
          </w:tcPr>
          <w:p>
            <w:pPr>
              <w:pStyle w:val="Compact"/>
            </w:pPr>
            <w:r>
              <w:rPr>
                <w:sz w:val="17"/>
              </w:rPr>
              <w:t xml:space="preserve">37</w:t>
            </w:r>
          </w:p>
        </w:tc>
      </w:tr>
      <w:tr>
        <w:tc>
          <w:tcPr/>
          <w:p>
            <w:pPr>
              <w:pStyle w:val="Compact"/>
            </w:pPr>
            <w:r>
              <w:rPr>
                <w:sz w:val="17"/>
              </w:rPr>
              <w:t xml:space="preserve">M13</w:t>
            </w:r>
          </w:p>
        </w:tc>
        <w:tc>
          <w:tcPr/>
          <w:p>
            <w:pPr>
              <w:pStyle w:val="Compact"/>
            </w:pPr>
            <w:r>
              <w:rPr>
                <w:sz w:val="17"/>
              </w:rPr>
              <w:t xml:space="preserve">Anti-fraude</w:t>
            </w:r>
          </w:p>
        </w:tc>
        <w:tc>
          <w:tcPr/>
          <w:p>
            <w:pPr>
              <w:pStyle w:val="Compact"/>
            </w:pPr>
            <w:r>
              <w:rPr>
                <w:sz w:val="17"/>
              </w:rPr>
              <w:t xml:space="preserve">40</w:t>
            </w:r>
          </w:p>
        </w:tc>
      </w:tr>
      <w:tr>
        <w:tc>
          <w:tcPr>
            <w:shd w:val="clear" w:color="auto" w:fill="F5F7FB"/>
          </w:tcPr>
          <w:p>
            <w:pPr>
              <w:pStyle w:val="Compact"/>
            </w:pPr>
            <w:r>
              <w:rPr>
                <w:sz w:val="17"/>
              </w:rPr>
              <w:t xml:space="preserve">M14</w:t>
            </w:r>
          </w:p>
        </w:tc>
        <w:tc>
          <w:tcPr>
            <w:shd w:val="clear" w:color="auto" w:fill="F5F7FB"/>
          </w:tcPr>
          <w:p>
            <w:pPr>
              <w:pStyle w:val="Compact"/>
            </w:pPr>
            <w:r>
              <w:rPr>
                <w:sz w:val="17"/>
              </w:rPr>
              <w:t xml:space="preserve">Tableaux de bord</w:t>
            </w:r>
          </w:p>
        </w:tc>
        <w:tc>
          <w:tcPr>
            <w:shd w:val="clear" w:color="auto" w:fill="F5F7FB"/>
          </w:tcPr>
          <w:p>
            <w:pPr>
              <w:pStyle w:val="Compact"/>
            </w:pPr>
            <w:r>
              <w:rPr>
                <w:sz w:val="17"/>
              </w:rPr>
              <w:t xml:space="preserve">41 à 45</w:t>
            </w:r>
          </w:p>
        </w:tc>
      </w:tr>
      <w:tr>
        <w:tc>
          <w:tcPr/>
          <w:p>
            <w:pPr>
              <w:pStyle w:val="Compact"/>
            </w:pPr>
            <w:r>
              <w:rPr>
                <w:sz w:val="17"/>
              </w:rPr>
              <w:t xml:space="preserve">M15</w:t>
            </w:r>
          </w:p>
        </w:tc>
        <w:tc>
          <w:tcPr/>
          <w:p>
            <w:pPr>
              <w:pStyle w:val="Compact"/>
            </w:pPr>
            <w:r>
              <w:rPr>
                <w:sz w:val="17"/>
              </w:rPr>
              <w:t xml:space="preserve">Audit</w:t>
            </w:r>
          </w:p>
        </w:tc>
        <w:tc>
          <w:tcPr/>
          <w:p>
            <w:pPr>
              <w:pStyle w:val="Compact"/>
            </w:pPr>
            <w:r>
              <w:rPr>
                <w:sz w:val="17"/>
              </w:rPr>
              <w:t xml:space="preserve">46</w:t>
            </w:r>
          </w:p>
        </w:tc>
      </w:tr>
      <w:tr>
        <w:tc>
          <w:tcPr>
            <w:shd w:val="clear" w:color="auto" w:fill="F5F7FB"/>
          </w:tcPr>
          <w:p>
            <w:pPr>
              <w:pStyle w:val="Compact"/>
            </w:pPr>
            <w:r>
              <w:rPr>
                <w:sz w:val="17"/>
              </w:rPr>
              <w:t xml:space="preserve">M16</w:t>
            </w:r>
          </w:p>
        </w:tc>
        <w:tc>
          <w:tcPr>
            <w:shd w:val="clear" w:color="auto" w:fill="F5F7FB"/>
          </w:tcPr>
          <w:p>
            <w:pPr>
              <w:pStyle w:val="Compact"/>
            </w:pPr>
            <w:r>
              <w:rPr>
                <w:sz w:val="17"/>
              </w:rPr>
              <w:t xml:space="preserve">Accès</w:t>
            </w:r>
          </w:p>
        </w:tc>
        <w:tc>
          <w:tcPr>
            <w:shd w:val="clear" w:color="auto" w:fill="F5F7FB"/>
          </w:tcPr>
          <w:p>
            <w:pPr>
              <w:pStyle w:val="Compact"/>
            </w:pPr>
            <w:r>
              <w:rPr>
                <w:sz w:val="17"/>
              </w:rPr>
              <w:t xml:space="preserve">51, 74</w:t>
            </w:r>
          </w:p>
        </w:tc>
      </w:tr>
      <w:tr>
        <w:tc>
          <w:tcPr/>
          <w:p>
            <w:pPr>
              <w:pStyle w:val="Compact"/>
            </w:pPr>
            <w:r>
              <w:rPr>
                <w:sz w:val="17"/>
              </w:rPr>
              <w:t xml:space="preserve">M17</w:t>
            </w:r>
          </w:p>
        </w:tc>
        <w:tc>
          <w:tcPr/>
          <w:p>
            <w:pPr>
              <w:pStyle w:val="Compact"/>
            </w:pPr>
            <w:r>
              <w:rPr>
                <w:sz w:val="17"/>
              </w:rPr>
              <w:t xml:space="preserve">API</w:t>
            </w:r>
          </w:p>
        </w:tc>
        <w:tc>
          <w:tcPr/>
          <w:p>
            <w:pPr>
              <w:pStyle w:val="Compact"/>
            </w:pPr>
            <w:r>
              <w:rPr>
                <w:sz w:val="17"/>
              </w:rPr>
              <w:t xml:space="preserve">52</w:t>
            </w:r>
          </w:p>
        </w:tc>
      </w:tr>
      <w:tr>
        <w:tc>
          <w:tcPr>
            <w:shd w:val="clear" w:color="auto" w:fill="F5F7FB"/>
          </w:tcPr>
          <w:p>
            <w:pPr>
              <w:pStyle w:val="Compact"/>
            </w:pPr>
            <w:r>
              <w:rPr>
                <w:sz w:val="17"/>
              </w:rPr>
              <w:t xml:space="preserve">M18</w:t>
            </w:r>
          </w:p>
        </w:tc>
        <w:tc>
          <w:tcPr>
            <w:shd w:val="clear" w:color="auto" w:fill="F5F7FB"/>
          </w:tcPr>
          <w:p>
            <w:pPr>
              <w:pStyle w:val="Compact"/>
            </w:pPr>
            <w:r>
              <w:rPr>
                <w:sz w:val="17"/>
              </w:rPr>
              <w:t xml:space="preserve">Notifications (SMS, push, courriel, WhatsApp autorisé)</w:t>
            </w:r>
          </w:p>
        </w:tc>
        <w:tc>
          <w:tcPr>
            <w:shd w:val="clear" w:color="auto" w:fill="F5F7FB"/>
          </w:tcPr>
          <w:p>
            <w:pPr>
              <w:pStyle w:val="Compact"/>
            </w:pPr>
            <w:r>
              <w:rPr>
                <w:sz w:val="17"/>
              </w:rPr>
              <w:t xml:space="preserve">39 (§ 11.4)</w:t>
            </w:r>
          </w:p>
        </w:tc>
      </w:tr>
      <w:tr>
        <w:tc>
          <w:tcPr/>
          <w:p>
            <w:pPr>
              <w:pStyle w:val="Compact"/>
            </w:pPr>
            <w:r>
              <w:rPr>
                <w:sz w:val="17"/>
              </w:rPr>
              <w:t xml:space="preserve">M19</w:t>
            </w:r>
          </w:p>
        </w:tc>
        <w:tc>
          <w:tcPr/>
          <w:p>
            <w:pPr>
              <w:pStyle w:val="Compact"/>
            </w:pPr>
            <w:r>
              <w:rPr>
                <w:sz w:val="17"/>
              </w:rPr>
              <w:t xml:space="preserve">Pièces, OCR, signature</w:t>
            </w:r>
          </w:p>
        </w:tc>
        <w:tc>
          <w:tcPr/>
          <w:p>
            <w:pPr>
              <w:pStyle w:val="Compact"/>
            </w:pPr>
            <w:r>
              <w:rPr>
                <w:sz w:val="17"/>
              </w:rPr>
              <w:t xml:space="preserve">38</w:t>
            </w:r>
          </w:p>
        </w:tc>
      </w:tr>
      <w:tr>
        <w:tc>
          <w:tcPr>
            <w:shd w:val="clear" w:color="auto" w:fill="F5F7FB"/>
          </w:tcPr>
          <w:p>
            <w:pPr>
              <w:pStyle w:val="Compact"/>
            </w:pPr>
            <w:r>
              <w:rPr>
                <w:sz w:val="17"/>
              </w:rPr>
              <w:t xml:space="preserve">M20</w:t>
            </w:r>
          </w:p>
        </w:tc>
        <w:tc>
          <w:tcPr>
            <w:shd w:val="clear" w:color="auto" w:fill="F5F7FB"/>
          </w:tcPr>
          <w:p>
            <w:pPr>
              <w:pStyle w:val="Compact"/>
            </w:pPr>
            <w:r>
              <w:rPr>
                <w:sz w:val="17"/>
              </w:rPr>
              <w:t xml:space="preserve">Communes, zones, calendriers, devises, langues</w:t>
            </w:r>
          </w:p>
        </w:tc>
        <w:tc>
          <w:tcPr>
            <w:shd w:val="clear" w:color="auto" w:fill="F5F7FB"/>
          </w:tcPr>
          <w:p>
            <w:pPr>
              <w:pStyle w:val="Compact"/>
            </w:pPr>
            <w:r>
              <w:rPr>
                <w:sz w:val="17"/>
              </w:rPr>
              <w:t xml:space="preserve">53, 72, 85, 86, 89</w:t>
            </w:r>
          </w:p>
        </w:tc>
      </w:tr>
    </w:tbl>
    <w:bookmarkEnd w:id="418"/>
    <w:bookmarkStart w:id="419" w:name="X92dda51f0bc2a14320353531dc70ee2a5980abb"/>
    <w:p>
      <w:pPr>
        <w:pStyle w:val="Heading3"/>
      </w:pPr>
      <w:r>
        <w:t xml:space="preserve">H.5.2 Réalignement des releases et requalification du module 73</w:t>
      </w:r>
    </w:p>
    <w:p>
      <w:pPr>
        <w:pStyle w:val="FirstParagraph"/>
      </w:pPr>
      <w:r>
        <w:t xml:space="preserve">Les releases de la Spécification fonctionnelle (R1 à R4, où R1 regroupait V0.1, V0.5 et V1.0) ne correspondent pas au calendrier v3.0 (R0 à R4, § 43).</w:t>
      </w:r>
      <w:r>
        <w:t xml:space="preserve"> </w:t>
      </w:r>
      <w:r>
        <w:rPr>
          <w:b/>
          <w:bCs/>
        </w:rPr>
        <w:t xml:space="preserve">Les releases v3.0 prévalent</w:t>
      </w:r>
      <w:r>
        <w:t xml:space="preserve"> </w:t>
      </w:r>
      <w:r>
        <w:t xml:space="preserve">(ARB-66) ; le § H.28 donne pour chaque module la release source et la release v3.0. Le</w:t>
      </w:r>
      <w:r>
        <w:t xml:space="preserve"> </w:t>
      </w:r>
      <w:r>
        <w:rPr>
          <w:b/>
          <w:bCs/>
        </w:rPr>
        <w:t xml:space="preserve">module 73</w:t>
      </w:r>
      <w:r>
        <w:t xml:space="preserve"> </w:t>
      </w:r>
      <w:r>
        <w:t xml:space="preserve">passe de « Répartition des recettes (clé 10/10/10/70, deux flux de décaissement) » à «</w:t>
      </w:r>
      <w:r>
        <w:t xml:space="preserve"> </w:t>
      </w:r>
      <w:r>
        <w:rPr>
          <w:b/>
          <w:bCs/>
        </w:rPr>
        <w:t xml:space="preserve">Répartition légale des recettes</w:t>
      </w:r>
      <w:r>
        <w:t xml:space="preserve"> </w:t>
      </w:r>
      <w:r>
        <w:t xml:space="preserve">» : calcul, sur recettes rapprochées, des seules parts prévues par un texte (province, ETD, pouvoir central le cas échéant), sans aucun flux vers un compte privé (ARB-67).</w:t>
      </w:r>
    </w:p>
    <w:bookmarkEnd w:id="419"/>
    <w:bookmarkStart w:id="420" w:name="X8dd2185cc193957050fabda100e40e1141b5ab1"/>
    <w:p>
      <w:pPr>
        <w:pStyle w:val="Heading3"/>
      </w:pPr>
      <w:r>
        <w:t xml:space="preserve">H.5.3 Les dix-sept verticales : composition réconciliée</w:t>
      </w:r>
    </w:p>
    <w:p>
      <w:pPr>
        <w:pStyle w:val="FirstParagraph"/>
      </w:pPr>
      <w:r>
        <w:t xml:space="preserve">Le Cahier listait 17 verticales, la Spécification en annonçait 16 et en décrivait 17, le Dossier Gouverneur en comptait 16 (sans billetterie), la v3.0 en présente 15 (Markets et Public Domain fusionnés, billetterie absente).</w:t>
      </w:r>
      <w:r>
        <w:t xml:space="preserve"> </w:t>
      </w:r>
      <w:r>
        <w:rPr>
          <w:b/>
          <w:bCs/>
        </w:rPr>
        <w:t xml:space="preserve">L’Annexe H retient les 17 verticales</w:t>
      </w:r>
      <w:r>
        <w:t xml:space="preserve"> </w:t>
      </w:r>
      <w:r>
        <w:t xml:space="preserve">avec la composition suivante (union des sources, modules 82 à 95 ajoutés lorsque pertinents) ; le détail figure au § H.27.</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320"/>
        <w:gridCol w:w="1320"/>
        <w:gridCol w:w="1320"/>
        <w:gridCol w:w="1320"/>
        <w:gridCol w:w="1320"/>
        <w:gridCol w:w="1320"/>
      </w:tblGrid>
      <w:tr>
        <w:trPr>
          <w:tblHeader w:val="on"/>
        </w:trPr>
        <w:tc>
          <w:tcPr>
            <w:shd w:val="clear" w:color="auto" w:fill="232C6B"/>
          </w:tcPr>
          <w:p>
            <w:pPr>
              <w:pStyle w:val="Compact"/>
            </w:pPr>
            <w:r>
              <w:rPr>
                <w:b/>
                <w:color w:val="FFFFFF"/>
                <w:sz w:val="17"/>
              </w:rPr>
              <w:t xml:space="preserve">#</w:t>
            </w:r>
          </w:p>
        </w:tc>
        <w:tc>
          <w:tcPr>
            <w:shd w:val="clear" w:color="auto" w:fill="232C6B"/>
          </w:tcPr>
          <w:p>
            <w:pPr>
              <w:pStyle w:val="Compact"/>
            </w:pPr>
            <w:r>
              <w:rPr>
                <w:b/>
                <w:color w:val="FFFFFF"/>
                <w:sz w:val="17"/>
              </w:rPr>
              <w:t xml:space="preserve">Verticale</w:t>
            </w:r>
          </w:p>
        </w:tc>
        <w:tc>
          <w:tcPr>
            <w:shd w:val="clear" w:color="auto" w:fill="232C6B"/>
          </w:tcPr>
          <w:p>
            <w:pPr>
              <w:pStyle w:val="Compact"/>
            </w:pPr>
            <w:r>
              <w:rPr>
                <w:b/>
                <w:color w:val="FFFFFF"/>
                <w:sz w:val="17"/>
              </w:rPr>
              <w:t xml:space="preserve">C § 11.1</w:t>
            </w:r>
          </w:p>
        </w:tc>
        <w:tc>
          <w:tcPr>
            <w:shd w:val="clear" w:color="auto" w:fill="232C6B"/>
          </w:tcPr>
          <w:p>
            <w:pPr>
              <w:pStyle w:val="Compact"/>
            </w:pPr>
            <w:r>
              <w:rPr>
                <w:b/>
                <w:color w:val="FFFFFF"/>
                <w:sz w:val="17"/>
              </w:rPr>
              <w:t xml:space="preserve">SF Partie V</w:t>
            </w:r>
          </w:p>
        </w:tc>
        <w:tc>
          <w:tcPr>
            <w:shd w:val="clear" w:color="auto" w:fill="232C6B"/>
          </w:tcPr>
          <w:p>
            <w:pPr>
              <w:pStyle w:val="Compact"/>
            </w:pPr>
            <w:r>
              <w:rPr>
                <w:b/>
                <w:color w:val="FFFFFF"/>
                <w:sz w:val="17"/>
              </w:rPr>
              <w:t xml:space="preserve">v3.0 § 11.3</w:t>
            </w:r>
          </w:p>
        </w:tc>
        <w:tc>
          <w:tcPr>
            <w:shd w:val="clear" w:color="auto" w:fill="232C6B"/>
          </w:tcPr>
          <w:p>
            <w:pPr>
              <w:pStyle w:val="Compact"/>
            </w:pPr>
            <w:r>
              <w:rPr>
                <w:b/>
                <w:color w:val="FFFFFF"/>
                <w:sz w:val="17"/>
              </w:rPr>
              <w:t xml:space="preserve">Composition retenue</w:t>
            </w:r>
          </w:p>
        </w:tc>
      </w:tr>
      <w:tr>
        <w:tc>
          <w:tcPr/>
          <w:p>
            <w:pPr>
              <w:pStyle w:val="Compact"/>
            </w:pPr>
            <w:r>
              <w:rPr>
                <w:sz w:val="17"/>
              </w:rPr>
              <w:t xml:space="preserve">1</w:t>
            </w:r>
          </w:p>
        </w:tc>
        <w:tc>
          <w:tcPr/>
          <w:p>
            <w:pPr>
              <w:pStyle w:val="Compact"/>
            </w:pPr>
            <w:r>
              <w:rPr>
                <w:sz w:val="17"/>
              </w:rPr>
              <w:t xml:space="preserve">Property</w:t>
            </w:r>
          </w:p>
        </w:tc>
        <w:tc>
          <w:tcPr/>
          <w:p>
            <w:pPr>
              <w:pStyle w:val="Compact"/>
            </w:pPr>
            <w:r>
              <w:rPr>
                <w:sz w:val="17"/>
              </w:rPr>
              <w:t xml:space="preserve">7, 8, 9</w:t>
            </w:r>
          </w:p>
        </w:tc>
        <w:tc>
          <w:tcPr/>
          <w:p>
            <w:pPr>
              <w:pStyle w:val="Compact"/>
            </w:pPr>
            <w:r>
              <w:rPr>
                <w:sz w:val="17"/>
              </w:rPr>
              <w:t xml:space="preserve">7, 8, 9, 79</w:t>
            </w:r>
          </w:p>
        </w:tc>
        <w:tc>
          <w:tcPr/>
          <w:p>
            <w:pPr>
              <w:pStyle w:val="Compact"/>
            </w:pPr>
            <w:r>
              <w:rPr>
                <w:sz w:val="17"/>
              </w:rPr>
              <w:t xml:space="preserve">7, 8, 9, 79</w:t>
            </w:r>
          </w:p>
        </w:tc>
        <w:tc>
          <w:tcPr/>
          <w:p>
            <w:pPr>
              <w:pStyle w:val="Compact"/>
            </w:pPr>
            <w:r>
              <w:rPr>
                <w:sz w:val="17"/>
              </w:rPr>
              <w:t xml:space="preserve">7, 8, 9, 34, 79, 82</w:t>
            </w:r>
          </w:p>
        </w:tc>
      </w:tr>
      <w:tr>
        <w:tc>
          <w:tcPr>
            <w:shd w:val="clear" w:color="auto" w:fill="F5F7FB"/>
          </w:tcPr>
          <w:p>
            <w:pPr>
              <w:pStyle w:val="Compact"/>
            </w:pPr>
            <w:r>
              <w:rPr>
                <w:sz w:val="17"/>
              </w:rPr>
              <w:t xml:space="preserve">2</w:t>
            </w:r>
          </w:p>
        </w:tc>
        <w:tc>
          <w:tcPr>
            <w:shd w:val="clear" w:color="auto" w:fill="F5F7FB"/>
          </w:tcPr>
          <w:p>
            <w:pPr>
              <w:pStyle w:val="Compact"/>
            </w:pPr>
            <w:r>
              <w:rPr>
                <w:sz w:val="17"/>
              </w:rPr>
              <w:t xml:space="preserve">Rental</w:t>
            </w:r>
          </w:p>
        </w:tc>
        <w:tc>
          <w:tcPr>
            <w:shd w:val="clear" w:color="auto" w:fill="F5F7FB"/>
          </w:tcPr>
          <w:p>
            <w:pPr>
              <w:pStyle w:val="Compact"/>
            </w:pPr>
            <w:r>
              <w:rPr>
                <w:sz w:val="17"/>
              </w:rPr>
              <w:t xml:space="preserve">9</w:t>
            </w:r>
          </w:p>
        </w:tc>
        <w:tc>
          <w:tcPr>
            <w:shd w:val="clear" w:color="auto" w:fill="F5F7FB"/>
          </w:tcPr>
          <w:p>
            <w:pPr>
              <w:pStyle w:val="Compact"/>
            </w:pPr>
            <w:r>
              <w:rPr>
                <w:sz w:val="17"/>
              </w:rPr>
              <w:t xml:space="preserve">9, 79</w:t>
            </w:r>
          </w:p>
        </w:tc>
        <w:tc>
          <w:tcPr>
            <w:shd w:val="clear" w:color="auto" w:fill="F5F7FB"/>
          </w:tcPr>
          <w:p>
            <w:pPr>
              <w:pStyle w:val="Compact"/>
            </w:pPr>
            <w:r>
              <w:rPr>
                <w:sz w:val="17"/>
              </w:rPr>
              <w:t xml:space="preserve">9</w:t>
            </w:r>
          </w:p>
        </w:tc>
        <w:tc>
          <w:tcPr>
            <w:shd w:val="clear" w:color="auto" w:fill="F5F7FB"/>
          </w:tcPr>
          <w:p>
            <w:pPr>
              <w:pStyle w:val="Compact"/>
            </w:pPr>
            <w:r>
              <w:rPr>
                <w:sz w:val="17"/>
              </w:rPr>
              <w:t xml:space="preserve">9, 79, 61</w:t>
            </w:r>
          </w:p>
        </w:tc>
      </w:tr>
      <w:tr>
        <w:tc>
          <w:tcPr/>
          <w:p>
            <w:pPr>
              <w:pStyle w:val="Compact"/>
            </w:pPr>
            <w:r>
              <w:rPr>
                <w:sz w:val="17"/>
              </w:rPr>
              <w:t xml:space="preserve">3</w:t>
            </w:r>
          </w:p>
        </w:tc>
        <w:tc>
          <w:tcPr/>
          <w:p>
            <w:pPr>
              <w:pStyle w:val="Compact"/>
            </w:pPr>
            <w:r>
              <w:rPr>
                <w:sz w:val="17"/>
              </w:rPr>
              <w:t xml:space="preserve">Business</w:t>
            </w:r>
          </w:p>
        </w:tc>
        <w:tc>
          <w:tcPr/>
          <w:p>
            <w:pPr>
              <w:pStyle w:val="Compact"/>
            </w:pPr>
            <w:r>
              <w:rPr>
                <w:sz w:val="17"/>
              </w:rPr>
              <w:t xml:space="preserve">10, 17, 56</w:t>
            </w:r>
          </w:p>
        </w:tc>
        <w:tc>
          <w:tcPr/>
          <w:p>
            <w:pPr>
              <w:pStyle w:val="Compact"/>
            </w:pPr>
            <w:r>
              <w:rPr>
                <w:sz w:val="17"/>
              </w:rPr>
              <w:t xml:space="preserve">10, 17, 56</w:t>
            </w:r>
          </w:p>
        </w:tc>
        <w:tc>
          <w:tcPr/>
          <w:p>
            <w:pPr>
              <w:pStyle w:val="Compact"/>
            </w:pPr>
            <w:r>
              <w:rPr>
                <w:sz w:val="17"/>
              </w:rPr>
              <w:t xml:space="preserve">10, 17, 56</w:t>
            </w:r>
          </w:p>
        </w:tc>
        <w:tc>
          <w:tcPr/>
          <w:p>
            <w:pPr>
              <w:pStyle w:val="Compact"/>
            </w:pPr>
            <w:r>
              <w:rPr>
                <w:sz w:val="17"/>
              </w:rPr>
              <w:t xml:space="preserve">10, 17, 56</w:t>
            </w:r>
          </w:p>
        </w:tc>
      </w:tr>
      <w:tr>
        <w:tc>
          <w:tcPr>
            <w:shd w:val="clear" w:color="auto" w:fill="F5F7FB"/>
          </w:tcPr>
          <w:p>
            <w:pPr>
              <w:pStyle w:val="Compact"/>
            </w:pPr>
            <w:r>
              <w:rPr>
                <w:sz w:val="17"/>
              </w:rPr>
              <w:t xml:space="preserve">4</w:t>
            </w:r>
          </w:p>
        </w:tc>
        <w:tc>
          <w:tcPr>
            <w:shd w:val="clear" w:color="auto" w:fill="F5F7FB"/>
          </w:tcPr>
          <w:p>
            <w:pPr>
              <w:pStyle w:val="Compact"/>
            </w:pPr>
            <w:r>
              <w:rPr>
                <w:sz w:val="17"/>
              </w:rPr>
              <w:t xml:space="preserve">Mobility</w:t>
            </w:r>
          </w:p>
        </w:tc>
        <w:tc>
          <w:tcPr>
            <w:shd w:val="clear" w:color="auto" w:fill="F5F7FB"/>
          </w:tcPr>
          <w:p>
            <w:pPr>
              <w:pStyle w:val="Compact"/>
            </w:pPr>
            <w:r>
              <w:rPr>
                <w:sz w:val="17"/>
              </w:rPr>
              <w:t xml:space="preserve">11, 12, 25</w:t>
            </w:r>
          </w:p>
        </w:tc>
        <w:tc>
          <w:tcPr>
            <w:shd w:val="clear" w:color="auto" w:fill="F5F7FB"/>
          </w:tcPr>
          <w:p>
            <w:pPr>
              <w:pStyle w:val="Compact"/>
            </w:pPr>
            <w:r>
              <w:rPr>
                <w:sz w:val="17"/>
              </w:rPr>
              <w:t xml:space="preserve">11, 12, 25, 76</w:t>
            </w:r>
          </w:p>
        </w:tc>
        <w:tc>
          <w:tcPr>
            <w:shd w:val="clear" w:color="auto" w:fill="F5F7FB"/>
          </w:tcPr>
          <w:p>
            <w:pPr>
              <w:pStyle w:val="Compact"/>
            </w:pPr>
            <w:r>
              <w:rPr>
                <w:sz w:val="17"/>
              </w:rPr>
              <w:t xml:space="preserve">11, 12, 13, 25, 81</w:t>
            </w:r>
          </w:p>
        </w:tc>
        <w:tc>
          <w:tcPr>
            <w:shd w:val="clear" w:color="auto" w:fill="F5F7FB"/>
          </w:tcPr>
          <w:p>
            <w:pPr>
              <w:pStyle w:val="Compact"/>
            </w:pPr>
            <w:r>
              <w:rPr>
                <w:sz w:val="17"/>
              </w:rPr>
              <w:t xml:space="preserve">11, 12, 25, 76, 82</w:t>
            </w:r>
          </w:p>
        </w:tc>
      </w:tr>
      <w:tr>
        <w:tc>
          <w:tcPr/>
          <w:p>
            <w:pPr>
              <w:pStyle w:val="Compact"/>
            </w:pPr>
            <w:r>
              <w:rPr>
                <w:sz w:val="17"/>
              </w:rPr>
              <w:t xml:space="preserve">5</w:t>
            </w:r>
          </w:p>
        </w:tc>
        <w:tc>
          <w:tcPr/>
          <w:p>
            <w:pPr>
              <w:pStyle w:val="Compact"/>
            </w:pPr>
            <w:r>
              <w:rPr>
                <w:sz w:val="17"/>
              </w:rPr>
              <w:t xml:space="preserve">Parking (ParkSmart)</w:t>
            </w:r>
          </w:p>
        </w:tc>
        <w:tc>
          <w:tcPr/>
          <w:p>
            <w:pPr>
              <w:pStyle w:val="Compact"/>
            </w:pPr>
            <w:r>
              <w:rPr>
                <w:sz w:val="17"/>
              </w:rPr>
              <w:t xml:space="preserve">14, 75</w:t>
            </w:r>
          </w:p>
        </w:tc>
        <w:tc>
          <w:tcPr/>
          <w:p>
            <w:pPr>
              <w:pStyle w:val="Compact"/>
            </w:pPr>
            <w:r>
              <w:rPr>
                <w:sz w:val="17"/>
              </w:rPr>
              <w:t xml:space="preserve">14, 75, 76</w:t>
            </w:r>
          </w:p>
        </w:tc>
        <w:tc>
          <w:tcPr/>
          <w:p>
            <w:pPr>
              <w:pStyle w:val="Compact"/>
            </w:pPr>
            <w:r>
              <w:rPr>
                <w:sz w:val="17"/>
              </w:rPr>
              <w:t xml:space="preserve">14, 75</w:t>
            </w:r>
          </w:p>
        </w:tc>
        <w:tc>
          <w:tcPr/>
          <w:p>
            <w:pPr>
              <w:pStyle w:val="Compact"/>
            </w:pPr>
            <w:r>
              <w:rPr>
                <w:sz w:val="17"/>
              </w:rPr>
              <w:t xml:space="preserve">14, 70, 71, 75, 76</w:t>
            </w:r>
          </w:p>
        </w:tc>
      </w:tr>
      <w:tr>
        <w:tc>
          <w:tcPr>
            <w:shd w:val="clear" w:color="auto" w:fill="F5F7FB"/>
          </w:tcPr>
          <w:p>
            <w:pPr>
              <w:pStyle w:val="Compact"/>
            </w:pPr>
            <w:r>
              <w:rPr>
                <w:sz w:val="17"/>
              </w:rPr>
              <w:t xml:space="preserve">6</w:t>
            </w:r>
          </w:p>
        </w:tc>
        <w:tc>
          <w:tcPr>
            <w:shd w:val="clear" w:color="auto" w:fill="F5F7FB"/>
          </w:tcPr>
          <w:p>
            <w:pPr>
              <w:pStyle w:val="Compact"/>
            </w:pPr>
            <w:r>
              <w:rPr>
                <w:sz w:val="17"/>
              </w:rPr>
              <w:t xml:space="preserve">Advertising (KIN PUB CONTROL)</w:t>
            </w:r>
          </w:p>
        </w:tc>
        <w:tc>
          <w:tcPr>
            <w:shd w:val="clear" w:color="auto" w:fill="F5F7FB"/>
          </w:tcPr>
          <w:p>
            <w:pPr>
              <w:pStyle w:val="Compact"/>
            </w:pPr>
            <w:r>
              <w:rPr>
                <w:sz w:val="17"/>
              </w:rPr>
              <w:t xml:space="preserve">15, 77</w:t>
            </w:r>
          </w:p>
        </w:tc>
        <w:tc>
          <w:tcPr>
            <w:shd w:val="clear" w:color="auto" w:fill="F5F7FB"/>
          </w:tcPr>
          <w:p>
            <w:pPr>
              <w:pStyle w:val="Compact"/>
            </w:pPr>
            <w:r>
              <w:rPr>
                <w:sz w:val="17"/>
              </w:rPr>
              <w:t xml:space="preserve">15, 77</w:t>
            </w:r>
          </w:p>
        </w:tc>
        <w:tc>
          <w:tcPr>
            <w:shd w:val="clear" w:color="auto" w:fill="F5F7FB"/>
          </w:tcPr>
          <w:p>
            <w:pPr>
              <w:pStyle w:val="Compact"/>
            </w:pPr>
            <w:r>
              <w:rPr>
                <w:sz w:val="17"/>
              </w:rPr>
              <w:t xml:space="preserve">15, 77</w:t>
            </w:r>
          </w:p>
        </w:tc>
        <w:tc>
          <w:tcPr>
            <w:shd w:val="clear" w:color="auto" w:fill="F5F7FB"/>
          </w:tcPr>
          <w:p>
            <w:pPr>
              <w:pStyle w:val="Compact"/>
            </w:pPr>
            <w:r>
              <w:rPr>
                <w:sz w:val="17"/>
              </w:rPr>
              <w:t xml:space="preserve">15, 35, 77</w:t>
            </w:r>
          </w:p>
        </w:tc>
      </w:tr>
      <w:tr>
        <w:tc>
          <w:tcPr/>
          <w:p>
            <w:pPr>
              <w:pStyle w:val="Compact"/>
            </w:pPr>
            <w:r>
              <w:rPr>
                <w:sz w:val="17"/>
              </w:rPr>
              <w:t xml:space="preserve">7</w:t>
            </w:r>
          </w:p>
        </w:tc>
        <w:tc>
          <w:tcPr/>
          <w:p>
            <w:pPr>
              <w:pStyle w:val="Compact"/>
            </w:pPr>
            <w:r>
              <w:rPr>
                <w:sz w:val="17"/>
              </w:rPr>
              <w:t xml:space="preserve">Telecom</w:t>
            </w:r>
          </w:p>
        </w:tc>
        <w:tc>
          <w:tcPr/>
          <w:p>
            <w:pPr>
              <w:pStyle w:val="Compact"/>
            </w:pPr>
            <w:r>
              <w:rPr>
                <w:sz w:val="17"/>
              </w:rPr>
              <w:t xml:space="preserve">16</w:t>
            </w:r>
          </w:p>
        </w:tc>
        <w:tc>
          <w:tcPr/>
          <w:p>
            <w:pPr>
              <w:pStyle w:val="Compact"/>
            </w:pPr>
            <w:r>
              <w:rPr>
                <w:sz w:val="17"/>
              </w:rPr>
              <w:t xml:space="preserve">16, 56</w:t>
            </w:r>
          </w:p>
        </w:tc>
        <w:tc>
          <w:tcPr/>
          <w:p>
            <w:pPr>
              <w:pStyle w:val="Compact"/>
            </w:pPr>
            <w:r>
              <w:rPr>
                <w:sz w:val="17"/>
              </w:rPr>
              <w:t xml:space="preserve">16</w:t>
            </w:r>
          </w:p>
        </w:tc>
        <w:tc>
          <w:tcPr/>
          <w:p>
            <w:pPr>
              <w:pStyle w:val="Compact"/>
            </w:pPr>
            <w:r>
              <w:rPr>
                <w:sz w:val="17"/>
              </w:rPr>
              <w:t xml:space="preserve">16, 56</w:t>
            </w:r>
          </w:p>
        </w:tc>
      </w:tr>
      <w:tr>
        <w:tc>
          <w:tcPr>
            <w:shd w:val="clear" w:color="auto" w:fill="F5F7FB"/>
          </w:tcPr>
          <w:p>
            <w:pPr>
              <w:pStyle w:val="Compact"/>
            </w:pPr>
            <w:r>
              <w:rPr>
                <w:sz w:val="17"/>
              </w:rPr>
              <w:t xml:space="preserve">8</w:t>
            </w:r>
          </w:p>
        </w:tc>
        <w:tc>
          <w:tcPr>
            <w:shd w:val="clear" w:color="auto" w:fill="F5F7FB"/>
          </w:tcPr>
          <w:p>
            <w:pPr>
              <w:pStyle w:val="Compact"/>
            </w:pPr>
            <w:r>
              <w:rPr>
                <w:sz w:val="17"/>
              </w:rPr>
              <w:t xml:space="preserve">Markets</w:t>
            </w:r>
          </w:p>
        </w:tc>
        <w:tc>
          <w:tcPr>
            <w:shd w:val="clear" w:color="auto" w:fill="F5F7FB"/>
          </w:tcPr>
          <w:p>
            <w:pPr>
              <w:pStyle w:val="Compact"/>
            </w:pPr>
            <w:r>
              <w:rPr>
                <w:sz w:val="17"/>
              </w:rPr>
              <w:t xml:space="preserve">20</w:t>
            </w:r>
          </w:p>
        </w:tc>
        <w:tc>
          <w:tcPr>
            <w:shd w:val="clear" w:color="auto" w:fill="F5F7FB"/>
          </w:tcPr>
          <w:p>
            <w:pPr>
              <w:pStyle w:val="Compact"/>
            </w:pPr>
            <w:r>
              <w:rPr>
                <w:sz w:val="17"/>
              </w:rPr>
              <w:t xml:space="preserve">20, 76</w:t>
            </w:r>
          </w:p>
        </w:tc>
        <w:tc>
          <w:tcPr>
            <w:shd w:val="clear" w:color="auto" w:fill="F5F7FB"/>
          </w:tcPr>
          <w:p>
            <w:pPr>
              <w:pStyle w:val="Compact"/>
            </w:pPr>
            <w:r>
              <w:rPr>
                <w:sz w:val="17"/>
              </w:rPr>
              <w:t xml:space="preserve">20</w:t>
            </w:r>
          </w:p>
        </w:tc>
        <w:tc>
          <w:tcPr>
            <w:shd w:val="clear" w:color="auto" w:fill="F5F7FB"/>
          </w:tcPr>
          <w:p>
            <w:pPr>
              <w:pStyle w:val="Compact"/>
            </w:pPr>
            <w:r>
              <w:rPr>
                <w:sz w:val="17"/>
              </w:rPr>
              <w:t xml:space="preserve">20, 70, 71, 76</w:t>
            </w:r>
          </w:p>
        </w:tc>
      </w:tr>
      <w:tr>
        <w:tc>
          <w:tcPr/>
          <w:p>
            <w:pPr>
              <w:pStyle w:val="Compact"/>
            </w:pPr>
            <w:r>
              <w:rPr>
                <w:sz w:val="17"/>
              </w:rPr>
              <w:t xml:space="preserve">9</w:t>
            </w:r>
          </w:p>
        </w:tc>
        <w:tc>
          <w:tcPr/>
          <w:p>
            <w:pPr>
              <w:pStyle w:val="Compact"/>
            </w:pPr>
            <w:r>
              <w:rPr>
                <w:sz w:val="17"/>
              </w:rPr>
              <w:t xml:space="preserve">Public Domain</w:t>
            </w:r>
          </w:p>
        </w:tc>
        <w:tc>
          <w:tcPr/>
          <w:p>
            <w:pPr>
              <w:pStyle w:val="Compact"/>
            </w:pPr>
            <w:r>
              <w:rPr>
                <w:sz w:val="17"/>
              </w:rPr>
              <w:t xml:space="preserve">19, 20</w:t>
            </w:r>
          </w:p>
        </w:tc>
        <w:tc>
          <w:tcPr/>
          <w:p>
            <w:pPr>
              <w:pStyle w:val="Compact"/>
            </w:pPr>
            <w:r>
              <w:rPr>
                <w:sz w:val="17"/>
              </w:rPr>
              <w:t xml:space="preserve">19, 20</w:t>
            </w:r>
          </w:p>
        </w:tc>
        <w:tc>
          <w:tcPr/>
          <w:p>
            <w:pPr>
              <w:pStyle w:val="Compact"/>
            </w:pPr>
            <w:r>
              <w:rPr>
                <w:sz w:val="17"/>
              </w:rPr>
              <w:t xml:space="preserve">(fusionné)</w:t>
            </w:r>
          </w:p>
        </w:tc>
        <w:tc>
          <w:tcPr/>
          <w:p>
            <w:pPr>
              <w:pStyle w:val="Compact"/>
            </w:pPr>
            <w:r>
              <w:rPr>
                <w:sz w:val="17"/>
              </w:rPr>
              <w:t xml:space="preserve">19, 20, 70</w:t>
            </w:r>
          </w:p>
        </w:tc>
      </w:tr>
      <w:tr>
        <w:tc>
          <w:tcPr>
            <w:shd w:val="clear" w:color="auto" w:fill="F5F7FB"/>
          </w:tcPr>
          <w:p>
            <w:pPr>
              <w:pStyle w:val="Compact"/>
            </w:pPr>
            <w:r>
              <w:rPr>
                <w:sz w:val="17"/>
              </w:rPr>
              <w:t xml:space="preserve">10</w:t>
            </w:r>
          </w:p>
        </w:tc>
        <w:tc>
          <w:tcPr>
            <w:shd w:val="clear" w:color="auto" w:fill="F5F7FB"/>
          </w:tcPr>
          <w:p>
            <w:pPr>
              <w:pStyle w:val="Compact"/>
            </w:pPr>
            <w:r>
              <w:rPr>
                <w:sz w:val="17"/>
              </w:rPr>
              <w:t xml:space="preserve">Environment</w:t>
            </w:r>
          </w:p>
        </w:tc>
        <w:tc>
          <w:tcPr>
            <w:shd w:val="clear" w:color="auto" w:fill="F5F7FB"/>
          </w:tcPr>
          <w:p>
            <w:pPr>
              <w:pStyle w:val="Compact"/>
            </w:pPr>
            <w:r>
              <w:rPr>
                <w:sz w:val="17"/>
              </w:rPr>
              <w:t xml:space="preserve">18, 19</w:t>
            </w:r>
          </w:p>
        </w:tc>
        <w:tc>
          <w:tcPr>
            <w:shd w:val="clear" w:color="auto" w:fill="F5F7FB"/>
          </w:tcPr>
          <w:p>
            <w:pPr>
              <w:pStyle w:val="Compact"/>
            </w:pPr>
            <w:r>
              <w:rPr>
                <w:sz w:val="17"/>
              </w:rPr>
              <w:t xml:space="preserve">18, 19</w:t>
            </w:r>
          </w:p>
        </w:tc>
        <w:tc>
          <w:tcPr>
            <w:shd w:val="clear" w:color="auto" w:fill="F5F7FB"/>
          </w:tcPr>
          <w:p>
            <w:pPr>
              <w:pStyle w:val="Compact"/>
            </w:pPr>
            <w:r>
              <w:rPr>
                <w:sz w:val="17"/>
              </w:rPr>
              <w:t xml:space="preserve">18, 19</w:t>
            </w:r>
          </w:p>
        </w:tc>
        <w:tc>
          <w:tcPr>
            <w:shd w:val="clear" w:color="auto" w:fill="F5F7FB"/>
          </w:tcPr>
          <w:p>
            <w:pPr>
              <w:pStyle w:val="Compact"/>
            </w:pPr>
            <w:r>
              <w:rPr>
                <w:sz w:val="17"/>
              </w:rPr>
              <w:t xml:space="preserve">18, 19, 92</w:t>
            </w:r>
          </w:p>
        </w:tc>
      </w:tr>
      <w:tr>
        <w:tc>
          <w:tcPr/>
          <w:p>
            <w:pPr>
              <w:pStyle w:val="Compact"/>
            </w:pPr>
            <w:r>
              <w:rPr>
                <w:sz w:val="17"/>
              </w:rPr>
              <w:t xml:space="preserve">11</w:t>
            </w:r>
          </w:p>
        </w:tc>
        <w:tc>
          <w:tcPr/>
          <w:p>
            <w:pPr>
              <w:pStyle w:val="Compact"/>
            </w:pPr>
            <w:r>
              <w:rPr>
                <w:sz w:val="17"/>
              </w:rPr>
              <w:t xml:space="preserve">Ports</w:t>
            </w:r>
          </w:p>
        </w:tc>
        <w:tc>
          <w:tcPr/>
          <w:p>
            <w:pPr>
              <w:pStyle w:val="Compact"/>
            </w:pPr>
            <w:r>
              <w:rPr>
                <w:sz w:val="17"/>
              </w:rPr>
              <w:t xml:space="preserve">13, 24</w:t>
            </w:r>
          </w:p>
        </w:tc>
        <w:tc>
          <w:tcPr/>
          <w:p>
            <w:pPr>
              <w:pStyle w:val="Compact"/>
            </w:pPr>
            <w:r>
              <w:rPr>
                <w:sz w:val="17"/>
              </w:rPr>
              <w:t xml:space="preserve">13, 24</w:t>
            </w:r>
          </w:p>
        </w:tc>
        <w:tc>
          <w:tcPr/>
          <w:p>
            <w:pPr>
              <w:pStyle w:val="Compact"/>
            </w:pPr>
            <w:r>
              <w:rPr>
                <w:sz w:val="17"/>
              </w:rPr>
              <w:t xml:space="preserve">13, 24</w:t>
            </w:r>
          </w:p>
        </w:tc>
        <w:tc>
          <w:tcPr/>
          <w:p>
            <w:pPr>
              <w:pStyle w:val="Compact"/>
            </w:pPr>
            <w:r>
              <w:rPr>
                <w:sz w:val="17"/>
              </w:rPr>
              <w:t xml:space="preserve">13, 24, 70, 71</w:t>
            </w:r>
          </w:p>
        </w:tc>
      </w:tr>
      <w:tr>
        <w:tc>
          <w:tcPr>
            <w:shd w:val="clear" w:color="auto" w:fill="F5F7FB"/>
          </w:tcPr>
          <w:p>
            <w:pPr>
              <w:pStyle w:val="Compact"/>
            </w:pPr>
            <w:r>
              <w:rPr>
                <w:sz w:val="17"/>
              </w:rPr>
              <w:t xml:space="preserve">12</w:t>
            </w:r>
          </w:p>
        </w:tc>
        <w:tc>
          <w:tcPr>
            <w:shd w:val="clear" w:color="auto" w:fill="F5F7FB"/>
          </w:tcPr>
          <w:p>
            <w:pPr>
              <w:pStyle w:val="Compact"/>
            </w:pPr>
            <w:r>
              <w:rPr>
                <w:sz w:val="17"/>
              </w:rPr>
              <w:t xml:space="preserve">AVIA (KIN-AVIA FISCUS)</w:t>
            </w:r>
          </w:p>
        </w:tc>
        <w:tc>
          <w:tcPr>
            <w:shd w:val="clear" w:color="auto" w:fill="F5F7FB"/>
          </w:tcPr>
          <w:p>
            <w:pPr>
              <w:pStyle w:val="Compact"/>
            </w:pPr>
            <w:r>
              <w:rPr>
                <w:sz w:val="17"/>
              </w:rPr>
              <w:t xml:space="preserve">62, 78</w:t>
            </w:r>
          </w:p>
        </w:tc>
        <w:tc>
          <w:tcPr>
            <w:shd w:val="clear" w:color="auto" w:fill="F5F7FB"/>
          </w:tcPr>
          <w:p>
            <w:pPr>
              <w:pStyle w:val="Compact"/>
            </w:pPr>
            <w:r>
              <w:rPr>
                <w:sz w:val="17"/>
              </w:rPr>
              <w:t xml:space="preserve">62, 78</w:t>
            </w:r>
          </w:p>
        </w:tc>
        <w:tc>
          <w:tcPr>
            <w:shd w:val="clear" w:color="auto" w:fill="F5F7FB"/>
          </w:tcPr>
          <w:p>
            <w:pPr>
              <w:pStyle w:val="Compact"/>
            </w:pPr>
            <w:r>
              <w:rPr>
                <w:sz w:val="17"/>
              </w:rPr>
              <w:t xml:space="preserve">62, 78</w:t>
            </w:r>
          </w:p>
        </w:tc>
        <w:tc>
          <w:tcPr>
            <w:shd w:val="clear" w:color="auto" w:fill="F5F7FB"/>
          </w:tcPr>
          <w:p>
            <w:pPr>
              <w:pStyle w:val="Compact"/>
            </w:pPr>
            <w:r>
              <w:rPr>
                <w:sz w:val="17"/>
              </w:rPr>
              <w:t xml:space="preserve">62, 78, 52</w:t>
            </w:r>
          </w:p>
        </w:tc>
      </w:tr>
      <w:tr>
        <w:tc>
          <w:tcPr/>
          <w:p>
            <w:pPr>
              <w:pStyle w:val="Compact"/>
            </w:pPr>
            <w:r>
              <w:rPr>
                <w:sz w:val="17"/>
              </w:rPr>
              <w:t xml:space="preserve">13</w:t>
            </w:r>
          </w:p>
        </w:tc>
        <w:tc>
          <w:tcPr/>
          <w:p>
            <w:pPr>
              <w:pStyle w:val="Compact"/>
            </w:pPr>
            <w:r>
              <w:rPr>
                <w:sz w:val="17"/>
              </w:rPr>
              <w:t xml:space="preserve">Events</w:t>
            </w:r>
          </w:p>
        </w:tc>
        <w:tc>
          <w:tcPr/>
          <w:p>
            <w:pPr>
              <w:pStyle w:val="Compact"/>
            </w:pPr>
            <w:r>
              <w:rPr>
                <w:sz w:val="17"/>
              </w:rPr>
              <w:t xml:space="preserve">21</w:t>
            </w:r>
          </w:p>
        </w:tc>
        <w:tc>
          <w:tcPr/>
          <w:p>
            <w:pPr>
              <w:pStyle w:val="Compact"/>
            </w:pPr>
            <w:r>
              <w:rPr>
                <w:sz w:val="17"/>
              </w:rPr>
              <w:t xml:space="preserve">21, 76</w:t>
            </w:r>
          </w:p>
        </w:tc>
        <w:tc>
          <w:tcPr/>
          <w:p>
            <w:pPr>
              <w:pStyle w:val="Compact"/>
            </w:pPr>
            <w:r>
              <w:rPr>
                <w:sz w:val="17"/>
              </w:rPr>
              <w:t xml:space="preserve">21</w:t>
            </w:r>
          </w:p>
        </w:tc>
        <w:tc>
          <w:tcPr/>
          <w:p>
            <w:pPr>
              <w:pStyle w:val="Compact"/>
            </w:pPr>
            <w:r>
              <w:rPr>
                <w:sz w:val="17"/>
              </w:rPr>
              <w:t xml:space="preserve">21, 70, 76</w:t>
            </w:r>
          </w:p>
        </w:tc>
      </w:tr>
      <w:tr>
        <w:tc>
          <w:tcPr>
            <w:shd w:val="clear" w:color="auto" w:fill="F5F7FB"/>
          </w:tcPr>
          <w:p>
            <w:pPr>
              <w:pStyle w:val="Compact"/>
            </w:pPr>
            <w:r>
              <w:rPr>
                <w:sz w:val="17"/>
              </w:rPr>
              <w:t xml:space="preserve">14</w:t>
            </w:r>
          </w:p>
        </w:tc>
        <w:tc>
          <w:tcPr>
            <w:shd w:val="clear" w:color="auto" w:fill="F5F7FB"/>
          </w:tcPr>
          <w:p>
            <w:pPr>
              <w:pStyle w:val="Compact"/>
            </w:pPr>
            <w:r>
              <w:rPr>
                <w:sz w:val="17"/>
              </w:rPr>
              <w:t xml:space="preserve">Construction</w:t>
            </w:r>
          </w:p>
        </w:tc>
        <w:tc>
          <w:tcPr>
            <w:shd w:val="clear" w:color="auto" w:fill="F5F7FB"/>
          </w:tcPr>
          <w:p>
            <w:pPr>
              <w:pStyle w:val="Compact"/>
            </w:pPr>
            <w:r>
              <w:rPr>
                <w:sz w:val="17"/>
              </w:rPr>
              <w:t xml:space="preserve">22</w:t>
            </w:r>
          </w:p>
        </w:tc>
        <w:tc>
          <w:tcPr>
            <w:shd w:val="clear" w:color="auto" w:fill="F5F7FB"/>
          </w:tcPr>
          <w:p>
            <w:pPr>
              <w:pStyle w:val="Compact"/>
            </w:pPr>
            <w:r>
              <w:rPr>
                <w:sz w:val="17"/>
              </w:rPr>
              <w:t xml:space="preserve">19, 22</w:t>
            </w:r>
          </w:p>
        </w:tc>
        <w:tc>
          <w:tcPr>
            <w:shd w:val="clear" w:color="auto" w:fill="F5F7FB"/>
          </w:tcPr>
          <w:p>
            <w:pPr>
              <w:pStyle w:val="Compact"/>
            </w:pPr>
            <w:r>
              <w:rPr>
                <w:sz w:val="17"/>
              </w:rPr>
              <w:t xml:space="preserve">22, 82</w:t>
            </w:r>
          </w:p>
        </w:tc>
        <w:tc>
          <w:tcPr>
            <w:shd w:val="clear" w:color="auto" w:fill="F5F7FB"/>
          </w:tcPr>
          <w:p>
            <w:pPr>
              <w:pStyle w:val="Compact"/>
            </w:pPr>
            <w:r>
              <w:rPr>
                <w:sz w:val="17"/>
              </w:rPr>
              <w:t xml:space="preserve">19, 22, 82</w:t>
            </w:r>
          </w:p>
        </w:tc>
      </w:tr>
      <w:tr>
        <w:tc>
          <w:tcPr/>
          <w:p>
            <w:pPr>
              <w:pStyle w:val="Compact"/>
            </w:pPr>
            <w:r>
              <w:rPr>
                <w:sz w:val="17"/>
              </w:rPr>
              <w:t xml:space="preserve">15</w:t>
            </w:r>
          </w:p>
        </w:tc>
        <w:tc>
          <w:tcPr/>
          <w:p>
            <w:pPr>
              <w:pStyle w:val="Compact"/>
            </w:pPr>
            <w:r>
              <w:rPr>
                <w:sz w:val="17"/>
              </w:rPr>
              <w:t xml:space="preserve">Assets</w:t>
            </w:r>
          </w:p>
        </w:tc>
        <w:tc>
          <w:tcPr/>
          <w:p>
            <w:pPr>
              <w:pStyle w:val="Compact"/>
            </w:pPr>
            <w:r>
              <w:rPr>
                <w:sz w:val="17"/>
              </w:rPr>
              <w:t xml:space="preserve">48, 61</w:t>
            </w:r>
          </w:p>
        </w:tc>
        <w:tc>
          <w:tcPr/>
          <w:p>
            <w:pPr>
              <w:pStyle w:val="Compact"/>
            </w:pPr>
            <w:r>
              <w:rPr>
                <w:sz w:val="17"/>
              </w:rPr>
              <w:t xml:space="preserve">48, 61</w:t>
            </w:r>
          </w:p>
        </w:tc>
        <w:tc>
          <w:tcPr/>
          <w:p>
            <w:pPr>
              <w:pStyle w:val="Compact"/>
            </w:pPr>
            <w:r>
              <w:rPr>
                <w:sz w:val="17"/>
              </w:rPr>
              <w:t xml:space="preserve">61, 92</w:t>
            </w:r>
          </w:p>
        </w:tc>
        <w:tc>
          <w:tcPr/>
          <w:p>
            <w:pPr>
              <w:pStyle w:val="Compact"/>
            </w:pPr>
            <w:r>
              <w:rPr>
                <w:sz w:val="17"/>
              </w:rPr>
              <w:t xml:space="preserve">48, 61, 92</w:t>
            </w:r>
          </w:p>
        </w:tc>
      </w:tr>
      <w:tr>
        <w:tc>
          <w:tcPr>
            <w:shd w:val="clear" w:color="auto" w:fill="F5F7FB"/>
          </w:tcPr>
          <w:p>
            <w:pPr>
              <w:pStyle w:val="Compact"/>
            </w:pPr>
            <w:r>
              <w:rPr>
                <w:sz w:val="17"/>
              </w:rPr>
              <w:t xml:space="preserve">16</w:t>
            </w:r>
          </w:p>
        </w:tc>
        <w:tc>
          <w:tcPr>
            <w:shd w:val="clear" w:color="auto" w:fill="F5F7FB"/>
          </w:tcPr>
          <w:p>
            <w:pPr>
              <w:pStyle w:val="Compact"/>
            </w:pPr>
            <w:r>
              <w:rPr>
                <w:sz w:val="17"/>
              </w:rPr>
              <w:t xml:space="preserve">Billetterie et moto-taxis (RakaPay, wewa)</w:t>
            </w:r>
          </w:p>
        </w:tc>
        <w:tc>
          <w:tcPr>
            <w:shd w:val="clear" w:color="auto" w:fill="F5F7FB"/>
          </w:tcPr>
          <w:p>
            <w:pPr>
              <w:pStyle w:val="Compact"/>
            </w:pPr>
            <w:r>
              <w:rPr>
                <w:sz w:val="17"/>
              </w:rPr>
              <w:t xml:space="preserve">12, 14, 20, 25, 76, 81</w:t>
            </w:r>
          </w:p>
        </w:tc>
        <w:tc>
          <w:tcPr>
            <w:shd w:val="clear" w:color="auto" w:fill="F5F7FB"/>
          </w:tcPr>
          <w:p>
            <w:pPr>
              <w:pStyle w:val="Compact"/>
            </w:pPr>
            <w:r>
              <w:rPr>
                <w:sz w:val="17"/>
              </w:rPr>
              <w:t xml:space="preserve">idem</w:t>
            </w:r>
          </w:p>
        </w:tc>
        <w:tc>
          <w:tcPr>
            <w:shd w:val="clear" w:color="auto" w:fill="F5F7FB"/>
          </w:tcPr>
          <w:p>
            <w:pPr>
              <w:pStyle w:val="Compact"/>
            </w:pPr>
            <w:r>
              <w:rPr>
                <w:sz w:val="17"/>
              </w:rPr>
              <w:t xml:space="preserve">(absente)</w:t>
            </w:r>
          </w:p>
        </w:tc>
        <w:tc>
          <w:tcPr>
            <w:shd w:val="clear" w:color="auto" w:fill="F5F7FB"/>
          </w:tcPr>
          <w:p>
            <w:pPr>
              <w:pStyle w:val="Compact"/>
            </w:pPr>
            <w:r>
              <w:rPr>
                <w:sz w:val="17"/>
              </w:rPr>
              <w:t xml:space="preserve">12, 14, 20, 25, 66, 70, 71, 76, 81</w:t>
            </w:r>
          </w:p>
        </w:tc>
      </w:tr>
      <w:tr>
        <w:tc>
          <w:tcPr/>
          <w:p>
            <w:pPr>
              <w:pStyle w:val="Compact"/>
            </w:pPr>
            <w:r>
              <w:rPr>
                <w:sz w:val="17"/>
              </w:rPr>
              <w:t xml:space="preserve">17</w:t>
            </w:r>
          </w:p>
        </w:tc>
        <w:tc>
          <w:tcPr/>
          <w:p>
            <w:pPr>
              <w:pStyle w:val="Compact"/>
            </w:pPr>
            <w:r>
              <w:rPr>
                <w:sz w:val="17"/>
              </w:rPr>
              <w:t xml:space="preserve">Recovery</w:t>
            </w:r>
          </w:p>
        </w:tc>
        <w:tc>
          <w:tcPr/>
          <w:p>
            <w:pPr>
              <w:pStyle w:val="Compact"/>
            </w:pPr>
            <w:r>
              <w:rPr>
                <w:sz w:val="17"/>
              </w:rPr>
              <w:t xml:space="preserve">32, 33, 36</w:t>
            </w:r>
          </w:p>
        </w:tc>
        <w:tc>
          <w:tcPr/>
          <w:p>
            <w:pPr>
              <w:pStyle w:val="Compact"/>
            </w:pPr>
            <w:r>
              <w:rPr>
                <w:sz w:val="17"/>
              </w:rPr>
              <w:t xml:space="preserve">32, 33, 36</w:t>
            </w:r>
          </w:p>
        </w:tc>
        <w:tc>
          <w:tcPr/>
          <w:p>
            <w:pPr>
              <w:pStyle w:val="Compact"/>
            </w:pPr>
            <w:r>
              <w:rPr>
                <w:sz w:val="17"/>
              </w:rPr>
              <w:t xml:space="preserve">32, 33, 36, 83, 90</w:t>
            </w:r>
          </w:p>
        </w:tc>
        <w:tc>
          <w:tcPr/>
          <w:p>
            <w:pPr>
              <w:pStyle w:val="Compact"/>
            </w:pPr>
            <w:r>
              <w:rPr>
                <w:sz w:val="17"/>
              </w:rPr>
              <w:t xml:space="preserve">32, 33, 36, 83, 90</w:t>
            </w:r>
          </w:p>
        </w:tc>
      </w:tr>
    </w:tbl>
    <w:p>
      <w:pPr>
        <w:pStyle w:val="BodyText"/>
      </w:pPr>
      <w:r>
        <w:t xml:space="preserve">Règle commune rappelée :</w:t>
      </w:r>
      <w:r>
        <w:t xml:space="preserve"> </w:t>
      </w:r>
      <w:r>
        <w:rPr>
          <w:b/>
          <w:bCs/>
        </w:rPr>
        <w:t xml:space="preserve">aucune verticale ne possède son propre compte contribuable, ses propres règles hors registre ni son propre circuit de paiement.</w:t>
      </w:r>
    </w:p>
    <w:bookmarkEnd w:id="420"/>
    <w:bookmarkEnd w:id="421"/>
    <w:bookmarkStart w:id="437" w:name="Xeb053607120574e7a9d2cf6e2598ddc3e41eefd"/>
    <w:p>
      <w:pPr>
        <w:pStyle w:val="Heading2"/>
      </w:pPr>
      <w:r>
        <w:t xml:space="preserve">H.6 Chapitre 12 — Rôles, impossibilités et invitations en cascade</w:t>
      </w:r>
    </w:p>
    <w:bookmarkStart w:id="422" w:name="X0bd7c2cf15663daf72265ddefa612d82397c820"/>
    <w:p>
      <w:pPr>
        <w:pStyle w:val="Heading3"/>
      </w:pPr>
      <w:r>
        <w:t xml:space="preserve">H.6.1 Rôles des canaux assistés, du paiement et de la sous-traitance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Rôle</w:t>
            </w:r>
          </w:p>
        </w:tc>
        <w:tc>
          <w:tcPr>
            <w:shd w:val="clear" w:color="auto" w:fill="232C6B"/>
          </w:tcPr>
          <w:p>
            <w:pPr>
              <w:pStyle w:val="Compact"/>
            </w:pPr>
            <w:r>
              <w:rPr>
                <w:b/>
                <w:color w:val="FFFFFF"/>
                <w:sz w:val="17"/>
              </w:rPr>
              <w:t xml:space="preserve">Peut</w:t>
            </w:r>
          </w:p>
        </w:tc>
        <w:tc>
          <w:tcPr>
            <w:shd w:val="clear" w:color="auto" w:fill="232C6B"/>
          </w:tcPr>
          <w:p>
            <w:pPr>
              <w:pStyle w:val="Compact"/>
            </w:pPr>
            <w:r>
              <w:rPr>
                <w:b/>
                <w:color w:val="FFFFFF"/>
                <w:sz w:val="17"/>
              </w:rPr>
              <w:t xml:space="preserve">Ne peut jamais</w:t>
            </w:r>
          </w:p>
        </w:tc>
      </w:tr>
      <w:tr>
        <w:tc>
          <w:tcPr/>
          <w:p>
            <w:pPr>
              <w:pStyle w:val="Compact"/>
            </w:pPr>
            <w:r>
              <w:rPr>
                <w:sz w:val="17"/>
              </w:rPr>
              <w:t xml:space="preserve">Responsable de module (IRL, IF, publicité, marchés, stationnement, véhicules, domaine public, ports…)</w:t>
            </w:r>
          </w:p>
        </w:tc>
        <w:tc>
          <w:tcPr/>
          <w:p>
            <w:pPr>
              <w:pStyle w:val="Compact"/>
            </w:pPr>
            <w:r>
              <w:rPr>
                <w:sz w:val="17"/>
              </w:rPr>
              <w:t xml:space="preserve">Créer et gérer ses équipes internes ; affecter zones et missions à des agents ou sous-traitants accrédités ; suivre la qualité ; suspendre un agent à titre conservatoire (décision motivée)</w:t>
            </w:r>
          </w:p>
        </w:tc>
        <w:tc>
          <w:tcPr/>
          <w:p>
            <w:pPr>
              <w:pStyle w:val="Compact"/>
            </w:pPr>
            <w:r>
              <w:rPr>
                <w:sz w:val="17"/>
              </w:rPr>
              <w:t xml:space="preserve">Valider seul les constats de ses équipes sans contrôle qualité ; toucher des fonds ; créer une dette hors règle</w:t>
            </w:r>
          </w:p>
        </w:tc>
      </w:tr>
      <w:tr>
        <w:tc>
          <w:tcPr>
            <w:shd w:val="clear" w:color="auto" w:fill="F5F7FB"/>
          </w:tcPr>
          <w:p>
            <w:pPr>
              <w:pStyle w:val="Compact"/>
            </w:pPr>
            <w:r>
              <w:rPr>
                <w:sz w:val="17"/>
              </w:rPr>
              <w:t xml:space="preserve">Sous-traitant accrédité (responsable)</w:t>
            </w:r>
          </w:p>
        </w:tc>
        <w:tc>
          <w:tcPr>
            <w:shd w:val="clear" w:color="auto" w:fill="F5F7FB"/>
          </w:tcPr>
          <w:p>
            <w:pPr>
              <w:pStyle w:val="Compact"/>
            </w:pPr>
            <w:r>
              <w:rPr>
                <w:sz w:val="17"/>
              </w:rPr>
              <w:t xml:space="preserve">Inviter ses agents et les proposer à l’habilitation ; répartir les missions de son lot ; suivre sa production</w:t>
            </w:r>
          </w:p>
        </w:tc>
        <w:tc>
          <w:tcPr>
            <w:shd w:val="clear" w:color="auto" w:fill="F5F7FB"/>
          </w:tcPr>
          <w:p>
            <w:pPr>
              <w:pStyle w:val="Compact"/>
            </w:pPr>
            <w:r>
              <w:rPr>
                <w:sz w:val="17"/>
              </w:rPr>
              <w:t xml:space="preserve">Recevoir un paiement de contribuable ; voir des données hors mission ;</w:t>
            </w:r>
            <w:r>
              <w:rPr>
                <w:sz w:val="17"/>
              </w:rPr>
              <w:t xml:space="preserve"> </w:t>
            </w:r>
            <w:r>
              <w:rPr>
                <w:b/>
                <w:bCs/>
                <w:sz w:val="17"/>
              </w:rPr>
              <w:t xml:space="preserve">habiliter lui-même un agent</w:t>
            </w:r>
            <w:r>
              <w:rPr>
                <w:sz w:val="17"/>
              </w:rPr>
              <w:t xml:space="preserve"> </w:t>
            </w:r>
            <w:r>
              <w:rPr>
                <w:sz w:val="17"/>
              </w:rPr>
              <w:t xml:space="preserve">; valider ses propres résultats</w:t>
            </w:r>
          </w:p>
        </w:tc>
      </w:tr>
      <w:tr>
        <w:tc>
          <w:tcPr/>
          <w:p>
            <w:pPr>
              <w:pStyle w:val="Compact"/>
            </w:pPr>
            <w:r>
              <w:rPr>
                <w:sz w:val="17"/>
              </w:rPr>
              <w:t xml:space="preserve">Superviseur du sous-traitant</w:t>
            </w:r>
          </w:p>
        </w:tc>
        <w:tc>
          <w:tcPr/>
          <w:p>
            <w:pPr>
              <w:pStyle w:val="Compact"/>
            </w:pPr>
            <w:r>
              <w:rPr>
                <w:sz w:val="17"/>
              </w:rPr>
              <w:t xml:space="preserve">Répartir, encadrer, relire les constats avant soumission</w:t>
            </w:r>
          </w:p>
        </w:tc>
        <w:tc>
          <w:tcPr/>
          <w:p>
            <w:pPr>
              <w:pStyle w:val="Compact"/>
            </w:pPr>
            <w:r>
              <w:rPr>
                <w:sz w:val="17"/>
              </w:rPr>
              <w:t xml:space="preserve">Mêmes interdictions que le sous-traitant</w:t>
            </w:r>
          </w:p>
        </w:tc>
      </w:tr>
      <w:tr>
        <w:tc>
          <w:tcPr>
            <w:shd w:val="clear" w:color="auto" w:fill="F5F7FB"/>
          </w:tcPr>
          <w:p>
            <w:pPr>
              <w:pStyle w:val="Compact"/>
            </w:pPr>
            <w:r>
              <w:rPr>
                <w:sz w:val="17"/>
              </w:rPr>
              <w:t xml:space="preserve">Agent d’enrôlement assisté</w:t>
            </w:r>
          </w:p>
        </w:tc>
        <w:tc>
          <w:tcPr>
            <w:shd w:val="clear" w:color="auto" w:fill="F5F7FB"/>
          </w:tcPr>
          <w:p>
            <w:pPr>
              <w:pStyle w:val="Compact"/>
            </w:pPr>
            <w:r>
              <w:rPr>
                <w:sz w:val="17"/>
              </w:rPr>
              <w:t xml:space="preserve">Créer un compte assisté ; recueillir le consentement ; remettre la carte MOSOLO ; générer une</w:t>
            </w:r>
            <w:r>
              <w:rPr>
                <w:sz w:val="17"/>
              </w:rPr>
              <w:t xml:space="preserve"> </w:t>
            </w:r>
            <w:r>
              <w:rPr>
                <w:b/>
                <w:bCs/>
                <w:sz w:val="17"/>
              </w:rPr>
              <w:t xml:space="preserve">référence</w:t>
            </w:r>
            <w:r>
              <w:rPr>
                <w:sz w:val="17"/>
              </w:rPr>
              <w:t xml:space="preserve"> </w:t>
            </w:r>
            <w:r>
              <w:rPr>
                <w:sz w:val="17"/>
              </w:rPr>
              <w:t xml:space="preserve">de paiement</w:t>
            </w:r>
          </w:p>
        </w:tc>
        <w:tc>
          <w:tcPr>
            <w:shd w:val="clear" w:color="auto" w:fill="F5F7FB"/>
          </w:tcPr>
          <w:p>
            <w:pPr>
              <w:pStyle w:val="Compact"/>
            </w:pPr>
            <w:r>
              <w:rPr>
                <w:sz w:val="17"/>
              </w:rPr>
              <w:t xml:space="preserve">Encaisser ; modifier un montant ; enrôler hors de sa zone ou de son horaire</w:t>
            </w:r>
          </w:p>
        </w:tc>
      </w:tr>
      <w:tr>
        <w:tc>
          <w:tcPr/>
          <w:p>
            <w:pPr>
              <w:pStyle w:val="Compact"/>
            </w:pPr>
            <w:r>
              <w:rPr>
                <w:sz w:val="17"/>
              </w:rPr>
              <w:t xml:space="preserve">Point de paiement agréé (banque, agent de monnaie mobile, guichet bancaire, TPE d’un prestataire habilité)</w:t>
            </w:r>
          </w:p>
        </w:tc>
        <w:tc>
          <w:tcPr/>
          <w:p>
            <w:pPr>
              <w:pStyle w:val="Compact"/>
            </w:pPr>
            <w:r>
              <w:rPr>
                <w:sz w:val="17"/>
              </w:rPr>
              <w:t xml:space="preserve">Voir la référence et le montant ; encaisser vers le compte public ; imprimer ou transmettre la preuve</w:t>
            </w:r>
          </w:p>
        </w:tc>
        <w:tc>
          <w:tcPr/>
          <w:p>
            <w:pPr>
              <w:pStyle w:val="Compact"/>
            </w:pPr>
            <w:r>
              <w:rPr>
                <w:sz w:val="17"/>
              </w:rPr>
              <w:t xml:space="preserve">Modifier le montant ; encaisser sans référence ; conserver les fonds au-delà du délai contractuel</w:t>
            </w:r>
          </w:p>
        </w:tc>
      </w:tr>
      <w:tr>
        <w:tc>
          <w:tcPr>
            <w:shd w:val="clear" w:color="auto" w:fill="F5F7FB"/>
          </w:tcPr>
          <w:p>
            <w:pPr>
              <w:pStyle w:val="Compact"/>
            </w:pPr>
            <w:r>
              <w:rPr>
                <w:sz w:val="17"/>
              </w:rPr>
              <w:t xml:space="preserve">Opérateur de la ligne de signalement</w:t>
            </w:r>
          </w:p>
        </w:tc>
        <w:tc>
          <w:tcPr>
            <w:shd w:val="clear" w:color="auto" w:fill="F5F7FB"/>
          </w:tcPr>
          <w:p>
            <w:pPr>
              <w:pStyle w:val="Compact"/>
            </w:pPr>
            <w:r>
              <w:rPr>
                <w:sz w:val="17"/>
              </w:rPr>
              <w:t xml:space="preserve">Enregistrer, qualifier, transmettre à l’enquêteur</w:t>
            </w:r>
          </w:p>
        </w:tc>
        <w:tc>
          <w:tcPr>
            <w:shd w:val="clear" w:color="auto" w:fill="F5F7FB"/>
          </w:tcPr>
          <w:p>
            <w:pPr>
              <w:pStyle w:val="Compact"/>
            </w:pPr>
            <w:r>
              <w:rPr>
                <w:sz w:val="17"/>
              </w:rPr>
              <w:t xml:space="preserve">Révéler l’identité du signalant</w:t>
            </w:r>
          </w:p>
        </w:tc>
      </w:tr>
      <w:tr>
        <w:tc>
          <w:tcPr/>
          <w:p>
            <w:pPr>
              <w:pStyle w:val="Compact"/>
            </w:pPr>
            <w:r>
              <w:rPr>
                <w:sz w:val="17"/>
              </w:rPr>
              <w:t xml:space="preserve">Présidence ou autorité nationale</w:t>
            </w:r>
          </w:p>
        </w:tc>
        <w:tc>
          <w:tcPr/>
          <w:p>
            <w:pPr>
              <w:pStyle w:val="Compact"/>
            </w:pPr>
            <w:r>
              <w:rPr>
                <w:sz w:val="17"/>
              </w:rPr>
              <w:t xml:space="preserve">Vue macro ; demande de rapport ou d’audit</w:t>
            </w:r>
          </w:p>
        </w:tc>
        <w:tc>
          <w:tcPr/>
          <w:p>
            <w:pPr>
              <w:pStyle w:val="Compact"/>
            </w:pPr>
            <w:r>
              <w:rPr>
                <w:sz w:val="17"/>
              </w:rPr>
              <w:t xml:space="preserve">Toute mutation</w:t>
            </w:r>
          </w:p>
        </w:tc>
      </w:tr>
      <w:tr>
        <w:tc>
          <w:tcPr>
            <w:shd w:val="clear" w:color="auto" w:fill="F5F7FB"/>
          </w:tcPr>
          <w:p>
            <w:pPr>
              <w:pStyle w:val="Compact"/>
            </w:pPr>
            <w:r>
              <w:rPr>
                <w:sz w:val="17"/>
              </w:rPr>
              <w:t xml:space="preserve">Comité financier restreint</w:t>
            </w:r>
          </w:p>
        </w:tc>
        <w:tc>
          <w:tcPr>
            <w:shd w:val="clear" w:color="auto" w:fill="F5F7FB"/>
          </w:tcPr>
          <w:p>
            <w:pPr>
              <w:pStyle w:val="Compact"/>
            </w:pPr>
            <w:r>
              <w:rPr>
                <w:sz w:val="17"/>
              </w:rPr>
              <w:t xml:space="preserve">Quorum sur les opérations les plus sensibles (coffre)</w:t>
            </w:r>
          </w:p>
        </w:tc>
        <w:tc>
          <w:tcPr>
            <w:shd w:val="clear" w:color="auto" w:fill="F5F7FB"/>
          </w:tcPr>
          <w:p>
            <w:pPr>
              <w:pStyle w:val="Compact"/>
            </w:pPr>
            <w:r>
              <w:rPr>
                <w:sz w:val="17"/>
              </w:rPr>
              <w:t xml:space="preserve">Agir hors quorum</w:t>
            </w:r>
          </w:p>
        </w:tc>
      </w:tr>
    </w:tbl>
    <w:bookmarkEnd w:id="422"/>
    <w:bookmarkStart w:id="423" w:name="h.6.2-règle-des-impossibilités"/>
    <w:p>
      <w:pPr>
        <w:pStyle w:val="Heading3"/>
      </w:pPr>
      <w:r>
        <w:t xml:space="preserve">H.6.2 Règle des impossibilités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Combinaison interdite</w:t>
            </w:r>
          </w:p>
        </w:tc>
        <w:tc>
          <w:tcPr>
            <w:shd w:val="clear" w:color="auto" w:fill="232C6B"/>
          </w:tcPr>
          <w:p>
            <w:pPr>
              <w:pStyle w:val="Compact"/>
            </w:pPr>
            <w:r>
              <w:rPr>
                <w:b/>
                <w:color w:val="FFFFFF"/>
                <w:sz w:val="17"/>
              </w:rPr>
              <w:t xml:space="preserve">Mécanisme qui la rend impossible</w:t>
            </w:r>
          </w:p>
        </w:tc>
      </w:tr>
      <w:tr>
        <w:tc>
          <w:tcPr/>
          <w:p>
            <w:pPr>
              <w:pStyle w:val="Compact"/>
            </w:pPr>
            <w:r>
              <w:rPr>
                <w:sz w:val="17"/>
              </w:rPr>
              <w:t xml:space="preserve">Créer puis publier une règle</w:t>
            </w:r>
          </w:p>
        </w:tc>
        <w:tc>
          <w:tcPr/>
          <w:p>
            <w:pPr>
              <w:pStyle w:val="Compact"/>
            </w:pPr>
            <w:r>
              <w:rPr>
                <w:sz w:val="17"/>
              </w:rPr>
              <w:t xml:space="preserve">Quatre personnes distinctes (§ 6.12) ; métiers distincts</w:t>
            </w:r>
          </w:p>
        </w:tc>
      </w:tr>
      <w:tr>
        <w:tc>
          <w:tcPr>
            <w:shd w:val="clear" w:color="auto" w:fill="F5F7FB"/>
          </w:tcPr>
          <w:p>
            <w:pPr>
              <w:pStyle w:val="Compact"/>
            </w:pPr>
            <w:r>
              <w:rPr>
                <w:sz w:val="17"/>
              </w:rPr>
              <w:t xml:space="preserve">Liquider puis annuler la même dette</w:t>
            </w:r>
          </w:p>
        </w:tc>
        <w:tc>
          <w:tcPr>
            <w:shd w:val="clear" w:color="auto" w:fill="F5F7FB"/>
          </w:tcPr>
          <w:p>
            <w:pPr>
              <w:pStyle w:val="Compact"/>
            </w:pPr>
            <w:r>
              <w:rPr>
                <w:sz w:val="17"/>
              </w:rPr>
              <w:t xml:space="preserve">Rôles incompatibles (§ 12.5)</w:t>
            </w:r>
          </w:p>
        </w:tc>
      </w:tr>
      <w:tr>
        <w:tc>
          <w:tcPr/>
          <w:p>
            <w:pPr>
              <w:pStyle w:val="Compact"/>
            </w:pPr>
            <w:r>
              <w:rPr>
                <w:sz w:val="17"/>
              </w:rPr>
              <w:t xml:space="preserve">Changer un bénéficiaire puis exécuter un paiement</w:t>
            </w:r>
          </w:p>
        </w:tc>
        <w:tc>
          <w:tcPr/>
          <w:p>
            <w:pPr>
              <w:pStyle w:val="Compact"/>
            </w:pPr>
            <w:r>
              <w:rPr>
                <w:sz w:val="17"/>
              </w:rPr>
              <w:t xml:space="preserve">Quorum, délai de refroidissement de 72 h, vérification bancaire indépendante (§ 12.6)</w:t>
            </w:r>
          </w:p>
        </w:tc>
      </w:tr>
      <w:tr>
        <w:tc>
          <w:tcPr>
            <w:shd w:val="clear" w:color="auto" w:fill="F5F7FB"/>
          </w:tcPr>
          <w:p>
            <w:pPr>
              <w:pStyle w:val="Compact"/>
            </w:pPr>
            <w:r>
              <w:rPr>
                <w:sz w:val="17"/>
              </w:rPr>
              <w:t xml:space="preserve">Créer un compte d’agent puis lui attribuer des pouvoirs élevés</w:t>
            </w:r>
          </w:p>
        </w:tc>
        <w:tc>
          <w:tcPr>
            <w:shd w:val="clear" w:color="auto" w:fill="F5F7FB"/>
          </w:tcPr>
          <w:p>
            <w:pPr>
              <w:pStyle w:val="Compact"/>
            </w:pPr>
            <w:r>
              <w:rPr>
                <w:sz w:val="17"/>
              </w:rPr>
              <w:t xml:space="preserve">Gestionnaire d’identité distinct + approbation de la sécurité</w:t>
            </w:r>
          </w:p>
        </w:tc>
      </w:tr>
      <w:tr>
        <w:tc>
          <w:tcPr/>
          <w:p>
            <w:pPr>
              <w:pStyle w:val="Compact"/>
            </w:pPr>
            <w:r>
              <w:rPr>
                <w:sz w:val="17"/>
              </w:rPr>
              <w:t xml:space="preserve">Effacer ou réécrire l’audit</w:t>
            </w:r>
          </w:p>
        </w:tc>
        <w:tc>
          <w:tcPr/>
          <w:p>
            <w:pPr>
              <w:pStyle w:val="Compact"/>
            </w:pPr>
            <w:r>
              <w:rPr>
                <w:sz w:val="17"/>
              </w:rPr>
              <w:t xml:space="preserve">Ajout seul, scellement, copie WORM indépendante</w:t>
            </w:r>
          </w:p>
        </w:tc>
      </w:tr>
      <w:tr>
        <w:tc>
          <w:tcPr>
            <w:shd w:val="clear" w:color="auto" w:fill="F5F7FB"/>
          </w:tcPr>
          <w:p>
            <w:pPr>
              <w:pStyle w:val="Compact"/>
            </w:pPr>
            <w:r>
              <w:rPr>
                <w:sz w:val="17"/>
              </w:rPr>
              <w:t xml:space="preserve">Approuver sa propre exception</w:t>
            </w:r>
          </w:p>
        </w:tc>
        <w:tc>
          <w:tcPr>
            <w:shd w:val="clear" w:color="auto" w:fill="F5F7FB"/>
          </w:tcPr>
          <w:p>
            <w:pPr>
              <w:pStyle w:val="Compact"/>
            </w:pPr>
            <w:r>
              <w:rPr>
                <w:sz w:val="17"/>
              </w:rPr>
              <w:t xml:space="preserve">Détection des conflits d’intérêts ; auto-validation techniquement impossible</w:t>
            </w:r>
          </w:p>
        </w:tc>
      </w:tr>
      <w:tr>
        <w:tc>
          <w:tcPr/>
          <w:p>
            <w:pPr>
              <w:pStyle w:val="Compact"/>
            </w:pPr>
            <w:r>
              <w:rPr>
                <w:sz w:val="17"/>
              </w:rPr>
              <w:t xml:space="preserve">Télécharger massivement sans justification</w:t>
            </w:r>
          </w:p>
        </w:tc>
        <w:tc>
          <w:tcPr/>
          <w:p>
            <w:pPr>
              <w:pStyle w:val="Compact"/>
            </w:pPr>
            <w:r>
              <w:rPr>
                <w:sz w:val="17"/>
              </w:rPr>
              <w:t xml:space="preserve">Accès limité, motif obligatoire, prévention des fuites, alerte</w:t>
            </w:r>
          </w:p>
        </w:tc>
      </w:tr>
    </w:tbl>
    <w:p>
      <w:pPr>
        <w:pStyle w:val="BodyText"/>
      </w:pPr>
      <w:r>
        <w:rPr>
          <w:b/>
          <w:bCs/>
        </w:rPr>
        <w:t xml:space="preserve">Contrôle des accès privilégiés — compléments</w:t>
      </w:r>
      <w:r>
        <w:t xml:space="preserve"> </w:t>
      </w:r>
      <w:r>
        <w:t xml:space="preserve">: comptes nominatifs,</w:t>
      </w:r>
      <w:r>
        <w:t xml:space="preserve"> </w:t>
      </w:r>
      <w:r>
        <w:rPr>
          <w:b/>
          <w:bCs/>
        </w:rPr>
        <w:t xml:space="preserve">comptes partagés interdits</w:t>
      </w:r>
      <w:r>
        <w:t xml:space="preserve"> </w:t>
      </w:r>
      <w:r>
        <w:t xml:space="preserve">(et supprimés dans les 100 premiers jours, § H.25) ; approbation par deux personnes de</w:t>
      </w:r>
      <w:r>
        <w:t xml:space="preserve"> </w:t>
      </w:r>
      <w:r>
        <w:rPr>
          <w:b/>
          <w:bCs/>
        </w:rPr>
        <w:t xml:space="preserve">directions différentes</w:t>
      </w:r>
      <w:r>
        <w:t xml:space="preserve"> </w:t>
      </w:r>
      <w:r>
        <w:t xml:space="preserve">pour les opérations critiques ; sessions à haut risque enregistrées au niveau des commandes ;</w:t>
      </w:r>
      <w:r>
        <w:t xml:space="preserve"> </w:t>
      </w:r>
      <w:r>
        <w:rPr>
          <w:b/>
          <w:bCs/>
        </w:rPr>
        <w:t xml:space="preserve">revue mensuelle</w:t>
      </w:r>
      <w:r>
        <w:t xml:space="preserve"> </w:t>
      </w:r>
      <w:r>
        <w:t xml:space="preserve">des accès privilégiés (trimestrielle pour les autres) ; révocation automatique en fin d’affectation ; alerte sur export massif, connexion atypique, désactivation d’un contrôle, tentative refusée.</w:t>
      </w:r>
    </w:p>
    <w:bookmarkEnd w:id="423"/>
    <w:bookmarkStart w:id="424" w:name="h.6.3-deux-portes-dentrée"/>
    <w:p>
      <w:pPr>
        <w:pStyle w:val="Heading3"/>
      </w:pPr>
      <w:r>
        <w:t xml:space="preserve">H.6.3 Deux portes d’entrée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Porte</w:t>
            </w:r>
          </w:p>
        </w:tc>
        <w:tc>
          <w:tcPr>
            <w:shd w:val="clear" w:color="auto" w:fill="232C6B"/>
          </w:tcPr>
          <w:p>
            <w:pPr>
              <w:pStyle w:val="Compact"/>
            </w:pPr>
            <w:r>
              <w:rPr>
                <w:b/>
                <w:color w:val="FFFFFF"/>
                <w:sz w:val="17"/>
              </w:rPr>
              <w:t xml:space="preserve">Public</w:t>
            </w:r>
          </w:p>
        </w:tc>
        <w:tc>
          <w:tcPr>
            <w:shd w:val="clear" w:color="auto" w:fill="232C6B"/>
          </w:tcPr>
          <w:p>
            <w:pPr>
              <w:pStyle w:val="Compact"/>
            </w:pPr>
            <w:r>
              <w:rPr>
                <w:b/>
                <w:color w:val="FFFFFF"/>
                <w:sz w:val="17"/>
              </w:rPr>
              <w:t xml:space="preserve">Canaux</w:t>
            </w:r>
          </w:p>
        </w:tc>
        <w:tc>
          <w:tcPr>
            <w:shd w:val="clear" w:color="auto" w:fill="232C6B"/>
          </w:tcPr>
          <w:p>
            <w:pPr>
              <w:pStyle w:val="Compact"/>
            </w:pPr>
            <w:r>
              <w:rPr>
                <w:b/>
                <w:color w:val="FFFFFF"/>
                <w:sz w:val="17"/>
              </w:rPr>
              <w:t xml:space="preserve">Ce qu’elle crée</w:t>
            </w:r>
          </w:p>
        </w:tc>
      </w:tr>
      <w:tr>
        <w:tc>
          <w:tcPr/>
          <w:p>
            <w:pPr>
              <w:pStyle w:val="Compact"/>
            </w:pPr>
            <w:r>
              <w:rPr>
                <w:sz w:val="17"/>
              </w:rPr>
              <w:t xml:space="preserve">Publique</w:t>
            </w:r>
          </w:p>
        </w:tc>
        <w:tc>
          <w:tcPr/>
          <w:p>
            <w:pPr>
              <w:pStyle w:val="Compact"/>
            </w:pPr>
            <w:r>
              <w:rPr>
                <w:sz w:val="17"/>
              </w:rPr>
              <w:t xml:space="preserve">Citoyens, entreprises, diaspora, mandataires</w:t>
            </w:r>
          </w:p>
        </w:tc>
        <w:tc>
          <w:tcPr/>
          <w:p>
            <w:pPr>
              <w:pStyle w:val="Compact"/>
            </w:pPr>
            <w:r>
              <w:rPr>
                <w:sz w:val="17"/>
              </w:rPr>
              <w:t xml:space="preserve">Application, portail, USSD, SVI, guichet MOSOLO, enrôlement assisté</w:t>
            </w:r>
          </w:p>
        </w:tc>
        <w:tc>
          <w:tcPr/>
          <w:p>
            <w:pPr>
              <w:pStyle w:val="Compact"/>
            </w:pPr>
            <w:r>
              <w:rPr>
                <w:b/>
                <w:bCs/>
                <w:sz w:val="17"/>
              </w:rPr>
              <w:t xml:space="preserve">Exclusivement</w:t>
            </w:r>
            <w:r>
              <w:rPr>
                <w:sz w:val="17"/>
              </w:rPr>
              <w:t xml:space="preserve"> </w:t>
            </w:r>
            <w:r>
              <w:rPr>
                <w:sz w:val="17"/>
              </w:rPr>
              <w:t xml:space="preserve">des comptes contribuables</w:t>
            </w:r>
          </w:p>
        </w:tc>
      </w:tr>
      <w:tr>
        <w:tc>
          <w:tcPr>
            <w:shd w:val="clear" w:color="auto" w:fill="F5F7FB"/>
          </w:tcPr>
          <w:p>
            <w:pPr>
              <w:pStyle w:val="Compact"/>
            </w:pPr>
            <w:r>
              <w:rPr>
                <w:sz w:val="17"/>
              </w:rPr>
              <w:t xml:space="preserve">Intervenants</w:t>
            </w:r>
          </w:p>
        </w:tc>
        <w:tc>
          <w:tcPr>
            <w:shd w:val="clear" w:color="auto" w:fill="F5F7FB"/>
          </w:tcPr>
          <w:p>
            <w:pPr>
              <w:pStyle w:val="Compact"/>
            </w:pPr>
            <w:r>
              <w:rPr>
                <w:sz w:val="17"/>
              </w:rPr>
              <w:t xml:space="preserve">Du Gouverneur à l’agent de terrain</w:t>
            </w:r>
          </w:p>
        </w:tc>
        <w:tc>
          <w:tcPr>
            <w:shd w:val="clear" w:color="auto" w:fill="F5F7FB"/>
          </w:tcPr>
          <w:p>
            <w:pPr>
              <w:pStyle w:val="Compact"/>
            </w:pPr>
            <w:r>
              <w:rPr>
                <w:sz w:val="17"/>
              </w:rPr>
              <w:t xml:space="preserve">Invitation nominative uniquement</w:t>
            </w:r>
          </w:p>
        </w:tc>
        <w:tc>
          <w:tcPr>
            <w:shd w:val="clear" w:color="auto" w:fill="F5F7FB"/>
          </w:tcPr>
          <w:p>
            <w:pPr>
              <w:pStyle w:val="Compact"/>
            </w:pPr>
            <w:r>
              <w:rPr>
                <w:sz w:val="17"/>
              </w:rPr>
              <w:t xml:space="preserve">Comptes de travail</w:t>
            </w:r>
          </w:p>
        </w:tc>
      </w:tr>
    </w:tbl>
    <w:p>
      <w:pPr>
        <w:pStyle w:val="BodyText"/>
      </w:pPr>
      <w:r>
        <w:t xml:space="preserve">Règles : aucune route, aucun formulaire, aucun canal public ne crée un compte de travail ;</w:t>
      </w:r>
      <w:r>
        <w:t xml:space="preserve"> </w:t>
      </w:r>
      <w:r>
        <w:rPr>
          <w:b/>
          <w:bCs/>
        </w:rPr>
        <w:t xml:space="preserve">un compte contribuable n’est jamais transformable en compte de travail</w:t>
      </w:r>
      <w:r>
        <w:t xml:space="preserve"> </w:t>
      </w:r>
      <w:r>
        <w:t xml:space="preserve">; une personne à la fois contribuable et agent dispose de deux profils distincts, sans croisement.</w:t>
      </w:r>
    </w:p>
    <w:bookmarkEnd w:id="424"/>
    <w:bookmarkStart w:id="428" w:name="h.6.4-invitations-en-cascade"/>
    <w:p>
      <w:pPr>
        <w:pStyle w:val="Heading3"/>
      </w:pPr>
      <w:r>
        <w:t xml:space="preserve">H.6.4 Invitations en cascade</w:t>
      </w:r>
    </w:p>
    <w:p>
      <w:pPr>
        <w:pStyle w:val="FirstParagraph"/>
      </w:pPr>
      <w:r>
        <w:t xml:space="preserve">La v3.0 (§ 12.7) indique que le Comité de pilotage invite les responsables d’entité. Réconciliation (ARB-63) :</w:t>
      </w:r>
      <w:r>
        <w:t xml:space="preserve"> </w:t>
      </w:r>
      <w:r>
        <w:rPr>
          <w:b/>
          <w:bCs/>
        </w:rPr>
        <w:t xml:space="preserve">l’administrateur de la plateforme exécute techniquement les invitations de niveau 0 sur décision écrite du Comité de pilotage</w:t>
      </w:r>
      <w:r>
        <w:t xml:space="preserve"> </w:t>
      </w:r>
      <w:r>
        <w:t xml:space="preserve">; les comptes sensibles restent inactifs jusqu’à la seconde validation.</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Niveau</w:t>
            </w:r>
          </w:p>
        </w:tc>
        <w:tc>
          <w:tcPr>
            <w:shd w:val="clear" w:color="auto" w:fill="232C6B"/>
          </w:tcPr>
          <w:p>
            <w:pPr>
              <w:pStyle w:val="Compact"/>
            </w:pPr>
            <w:r>
              <w:rPr>
                <w:b/>
                <w:color w:val="FFFFFF"/>
                <w:sz w:val="17"/>
              </w:rPr>
              <w:t xml:space="preserve">Qui invite</w:t>
            </w:r>
          </w:p>
        </w:tc>
        <w:tc>
          <w:tcPr>
            <w:shd w:val="clear" w:color="auto" w:fill="232C6B"/>
          </w:tcPr>
          <w:p>
            <w:pPr>
              <w:pStyle w:val="Compact"/>
            </w:pPr>
            <w:r>
              <w:rPr>
                <w:b/>
                <w:color w:val="FFFFFF"/>
                <w:sz w:val="17"/>
              </w:rPr>
              <w:t xml:space="preserve">Qui est invité</w:t>
            </w:r>
          </w:p>
        </w:tc>
        <w:tc>
          <w:tcPr>
            <w:shd w:val="clear" w:color="auto" w:fill="232C6B"/>
          </w:tcPr>
          <w:p>
            <w:pPr>
              <w:pStyle w:val="Compact"/>
            </w:pPr>
            <w:r>
              <w:rPr>
                <w:b/>
                <w:color w:val="FFFFFF"/>
                <w:sz w:val="17"/>
              </w:rPr>
              <w:t xml:space="preserve">Périmètre attribuable</w:t>
            </w:r>
          </w:p>
        </w:tc>
      </w:tr>
      <w:tr>
        <w:tc>
          <w:tcPr/>
          <w:p>
            <w:pPr>
              <w:pStyle w:val="Compact"/>
            </w:pPr>
            <w:r>
              <w:rPr>
                <w:sz w:val="17"/>
              </w:rPr>
              <w:t xml:space="preserve">0</w:t>
            </w:r>
          </w:p>
        </w:tc>
        <w:tc>
          <w:tcPr/>
          <w:p>
            <w:pPr>
              <w:pStyle w:val="Compact"/>
            </w:pPr>
            <w:r>
              <w:rPr>
                <w:sz w:val="17"/>
              </w:rPr>
              <w:t xml:space="preserve">Administrateur de la plateforme, sur décision du Comité de pilotage</w:t>
            </w:r>
          </w:p>
        </w:tc>
        <w:tc>
          <w:tcPr/>
          <w:p>
            <w:pPr>
              <w:pStyle w:val="Compact"/>
            </w:pPr>
            <w:r>
              <w:rPr>
                <w:sz w:val="17"/>
              </w:rPr>
              <w:t xml:space="preserve">Gouverneur, Cabinet, Secrétariat général, ministres et administrateurs ministériels, directions de régie, communes, Trésor, audit et inspection, services techniques, opérateurs délégués, banques et points de paiement, partenaires API</w:t>
            </w:r>
          </w:p>
        </w:tc>
        <w:tc>
          <w:tcPr/>
          <w:p>
            <w:pPr>
              <w:pStyle w:val="Compact"/>
            </w:pPr>
            <w:r>
              <w:rPr>
                <w:sz w:val="17"/>
              </w:rPr>
              <w:t xml:space="preserve">Espace d’entité et modules rattachés</w:t>
            </w:r>
          </w:p>
        </w:tc>
      </w:tr>
      <w:tr>
        <w:tc>
          <w:tcPr>
            <w:shd w:val="clear" w:color="auto" w:fill="F5F7FB"/>
          </w:tcPr>
          <w:p>
            <w:pPr>
              <w:pStyle w:val="Compact"/>
            </w:pPr>
            <w:r>
              <w:rPr>
                <w:sz w:val="17"/>
              </w:rPr>
              <w:t xml:space="preserve">1</w:t>
            </w:r>
          </w:p>
        </w:tc>
        <w:tc>
          <w:tcPr>
            <w:shd w:val="clear" w:color="auto" w:fill="F5F7FB"/>
          </w:tcPr>
          <w:p>
            <w:pPr>
              <w:pStyle w:val="Compact"/>
            </w:pPr>
            <w:r>
              <w:rPr>
                <w:sz w:val="17"/>
              </w:rPr>
              <w:t xml:space="preserve">Administrateur ou responsable d’entité</w:t>
            </w:r>
          </w:p>
        </w:tc>
        <w:tc>
          <w:tcPr>
            <w:shd w:val="clear" w:color="auto" w:fill="F5F7FB"/>
          </w:tcPr>
          <w:p>
            <w:pPr>
              <w:pStyle w:val="Compact"/>
            </w:pPr>
            <w:r>
              <w:rPr>
                <w:sz w:val="17"/>
              </w:rPr>
              <w:t xml:space="preserve">Directions, services, responsables de module, superviseurs, agents internes, sous-traitants de ses modules</w:t>
            </w:r>
          </w:p>
        </w:tc>
        <w:tc>
          <w:tcPr>
            <w:shd w:val="clear" w:color="auto" w:fill="F5F7FB"/>
          </w:tcPr>
          <w:p>
            <w:pPr>
              <w:pStyle w:val="Compact"/>
            </w:pPr>
            <w:r>
              <w:rPr>
                <w:sz w:val="17"/>
              </w:rPr>
              <w:t xml:space="preserve">Son entité et ses modules</w:t>
            </w:r>
          </w:p>
        </w:tc>
      </w:tr>
      <w:tr>
        <w:tc>
          <w:tcPr/>
          <w:p>
            <w:pPr>
              <w:pStyle w:val="Compact"/>
            </w:pPr>
            <w:r>
              <w:rPr>
                <w:sz w:val="17"/>
              </w:rPr>
              <w:t xml:space="preserve">2</w:t>
            </w:r>
          </w:p>
        </w:tc>
        <w:tc>
          <w:tcPr/>
          <w:p>
            <w:pPr>
              <w:pStyle w:val="Compact"/>
            </w:pPr>
            <w:r>
              <w:rPr>
                <w:sz w:val="17"/>
              </w:rPr>
              <w:t xml:space="preserve">Responsable de module ou sous-traitant accrédité</w:t>
            </w:r>
          </w:p>
        </w:tc>
        <w:tc>
          <w:tcPr/>
          <w:p>
            <w:pPr>
              <w:pStyle w:val="Compact"/>
            </w:pPr>
            <w:r>
              <w:rPr>
                <w:sz w:val="17"/>
              </w:rPr>
              <w:t xml:space="preserve">Superviseurs et agents</w:t>
            </w:r>
          </w:p>
        </w:tc>
        <w:tc>
          <w:tcPr/>
          <w:p>
            <w:pPr>
              <w:pStyle w:val="Compact"/>
            </w:pPr>
            <w:r>
              <w:rPr>
                <w:sz w:val="17"/>
              </w:rPr>
              <w:t xml:space="preserve">Son module ou son lot</w:t>
            </w:r>
          </w:p>
        </w:tc>
      </w:tr>
      <w:tr>
        <w:tc>
          <w:tcPr>
            <w:shd w:val="clear" w:color="auto" w:fill="F5F7FB"/>
          </w:tcPr>
          <w:p>
            <w:pPr>
              <w:pStyle w:val="Compact"/>
            </w:pPr>
            <w:r>
              <w:rPr>
                <w:sz w:val="17"/>
              </w:rPr>
              <w:t xml:space="preserve">3</w:t>
            </w:r>
          </w:p>
        </w:tc>
        <w:tc>
          <w:tcPr>
            <w:shd w:val="clear" w:color="auto" w:fill="F5F7FB"/>
          </w:tcPr>
          <w:p>
            <w:pPr>
              <w:pStyle w:val="Compact"/>
            </w:pPr>
            <w:r>
              <w:rPr>
                <w:sz w:val="17"/>
              </w:rPr>
              <w:t xml:space="preserve">Superviseur (si délégation expresse)</w:t>
            </w:r>
          </w:p>
        </w:tc>
        <w:tc>
          <w:tcPr>
            <w:shd w:val="clear" w:color="auto" w:fill="F5F7FB"/>
          </w:tcPr>
          <w:p>
            <w:pPr>
              <w:pStyle w:val="Compact"/>
            </w:pPr>
            <w:r>
              <w:rPr>
                <w:sz w:val="17"/>
              </w:rPr>
              <w:t xml:space="preserve">Agents</w:t>
            </w:r>
          </w:p>
        </w:tc>
        <w:tc>
          <w:tcPr>
            <w:shd w:val="clear" w:color="auto" w:fill="F5F7FB"/>
          </w:tcPr>
          <w:p>
            <w:pPr>
              <w:pStyle w:val="Compact"/>
            </w:pPr>
            <w:r>
              <w:rPr>
                <w:sz w:val="17"/>
              </w:rPr>
              <w:t xml:space="preserve">Son équipe, sa zone, sa période</w:t>
            </w:r>
          </w:p>
        </w:tc>
      </w:tr>
    </w:tbl>
    <w:p>
      <w:pPr>
        <w:pStyle w:val="BodyText"/>
      </w:pPr>
      <w:r>
        <w:t xml:space="preserve">Trois règles non négociables :</w:t>
      </w:r>
      <w:r>
        <w:t xml:space="preserve"> </w:t>
      </w:r>
      <w:r>
        <w:rPr>
          <w:b/>
          <w:bCs/>
        </w:rPr>
        <w:t xml:space="preserve">pas d’élévation</w:t>
      </w:r>
      <w:r>
        <w:t xml:space="preserve"> </w:t>
      </w:r>
      <w:r>
        <w:t xml:space="preserve">(niveau et périmètre accordés ≤ ceux de l’invitant ; l’administrateur de la plateforme fait exception mais reste soumis au § H.6.8) ;</w:t>
      </w:r>
      <w:r>
        <w:t xml:space="preserve"> </w:t>
      </w:r>
      <w:r>
        <w:rPr>
          <w:b/>
          <w:bCs/>
        </w:rPr>
        <w:t xml:space="preserve">pas de sortie de périmètre</w:t>
      </w:r>
      <w:r>
        <w:t xml:space="preserve"> </w:t>
      </w:r>
      <w:r>
        <w:t xml:space="preserve">;</w:t>
      </w:r>
      <w:r>
        <w:t xml:space="preserve"> </w:t>
      </w:r>
      <w:r>
        <w:rPr>
          <w:b/>
          <w:bCs/>
        </w:rPr>
        <w:t xml:space="preserve">le droit d’inviter est une permission</w:t>
      </w:r>
      <w:r>
        <w:t xml:space="preserve"> </w:t>
      </w:r>
      <w:r>
        <w:t xml:space="preserve">explicite, délégable et révocable.</w:t>
      </w:r>
    </w:p>
    <w:p>
      <w:pPr>
        <w:pStyle w:val="BodyText"/>
      </w:pPr>
      <w:r>
        <w:drawing>
          <wp:inline>
            <wp:extent cx="6108700" cy="8085044"/>
            <wp:effectExtent b="0" l="0" r="0" t="0"/>
            <wp:docPr descr="" title="" id="426" name="Picture"/>
            <a:graphic>
              <a:graphicData uri="http://schemas.openxmlformats.org/drawingml/2006/picture">
                <pic:pic>
                  <pic:nvPicPr>
                    <pic:cNvPr descr="figures/mermaid/mmd-4bbadc94bb63.png" id="427" name="Picture"/>
                    <pic:cNvPicPr>
                      <a:picLocks noChangeArrowheads="1" noChangeAspect="1"/>
                    </pic:cNvPicPr>
                  </pic:nvPicPr>
                  <pic:blipFill>
                    <a:blip r:embed="rId425"/>
                    <a:stretch>
                      <a:fillRect/>
                    </a:stretch>
                  </pic:blipFill>
                  <pic:spPr bwMode="auto">
                    <a:xfrm>
                      <a:off x="0" y="0"/>
                      <a:ext cx="6108700" cy="8085044"/>
                    </a:xfrm>
                    <a:prstGeom prst="rect">
                      <a:avLst/>
                    </a:prstGeom>
                    <a:noFill/>
                    <a:ln w="9525">
                      <a:noFill/>
                      <a:headEnd/>
                      <a:tailEnd/>
                    </a:ln>
                  </pic:spPr>
                </pic:pic>
              </a:graphicData>
            </a:graphic>
          </wp:inline>
        </w:drawing>
      </w:r>
    </w:p>
    <w:bookmarkEnd w:id="428"/>
    <w:bookmarkStart w:id="429" w:name="X96e1021ba4a910517b2acc68b5f1171ea249b05"/>
    <w:p>
      <w:pPr>
        <w:pStyle w:val="Heading3"/>
      </w:pPr>
      <w:r>
        <w:t xml:space="preserve">H.6.5 Espaces d’entité et rattachement des modules</w:t>
      </w:r>
    </w:p>
    <w:p>
      <w:pPr>
        <w:pStyle w:val="FirstParagraph"/>
      </w:pPr>
      <w:r>
        <w:t xml:space="preserve">L’administrateur de la plateforme crée l’espace de chaque entité et y rattache les modules sur la base d’une fiche de configuration approuvée (par exemple : stationnement, autorisations de transport, embarquement → ministère des Transports ; patente, marchés → ministère de l’Économie).</w:t>
      </w:r>
      <w:r>
        <w:t xml:space="preserve"> </w:t>
      </w:r>
      <w:r>
        <w:rPr>
          <w:b/>
          <w:bCs/>
        </w:rPr>
        <w:t xml:space="preserve">Un module a une seule entité responsable à un instant donné</w:t>
      </w:r>
      <w:r>
        <w:t xml:space="preserve"> </w:t>
      </w:r>
      <w:r>
        <w:t xml:space="preserve">; un partage en lecture est possible.</w:t>
      </w:r>
      <w:r>
        <w:t xml:space="preserve"> </w:t>
      </w:r>
      <w:r>
        <w:rPr>
          <w:b/>
          <w:bCs/>
        </w:rPr>
        <w:t xml:space="preserve">Tout rattachement ou changement de rattachement exige une seconde validation du Comité de pilotage sur référence de l’arrêté</w:t>
      </w:r>
      <w:r>
        <w:t xml:space="preserve"> </w:t>
      </w:r>
      <w:r>
        <w:t xml:space="preserve">; l’historique est conservé. Le rattachement détermine les droits d’accès et le périmètre des tableaux ministériels (module 44) ; il</w:t>
      </w:r>
      <w:r>
        <w:t xml:space="preserve"> </w:t>
      </w:r>
      <w:r>
        <w:rPr>
          <w:b/>
          <w:bCs/>
        </w:rPr>
        <w:t xml:space="preserve">ne détermine aucune part de recettes</w:t>
      </w:r>
      <w:r>
        <w:t xml:space="preserve"> </w:t>
      </w:r>
      <w:r>
        <w:t xml:space="preserve">(ARB-05).</w:t>
      </w:r>
    </w:p>
    <w:bookmarkEnd w:id="429"/>
    <w:bookmarkStart w:id="430" w:name="h.6.6-niveaux-daccès-standard"/>
    <w:p>
      <w:pPr>
        <w:pStyle w:val="Heading3"/>
      </w:pPr>
      <w:r>
        <w:t xml:space="preserve">H.6.6 Niveaux d’accès standard</w:t>
      </w:r>
    </w:p>
    <w:p>
      <w:pPr>
        <w:pStyle w:val="FirstParagraph"/>
      </w:pPr>
      <w:r>
        <w:t xml:space="preserve">Les niveaux ci-dessous sont ensuite restreints par attributs (territoire, module, dossier, période, appareil — § 12.1).</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Niveau</w:t>
            </w:r>
          </w:p>
        </w:tc>
        <w:tc>
          <w:tcPr>
            <w:shd w:val="clear" w:color="auto" w:fill="232C6B"/>
          </w:tcPr>
          <w:p>
            <w:pPr>
              <w:pStyle w:val="Compact"/>
            </w:pPr>
            <w:r>
              <w:rPr>
                <w:b/>
                <w:color w:val="FFFFFF"/>
                <w:sz w:val="17"/>
              </w:rPr>
              <w:t xml:space="preserve">Capacités</w:t>
            </w:r>
          </w:p>
        </w:tc>
        <w:tc>
          <w:tcPr>
            <w:shd w:val="clear" w:color="auto" w:fill="232C6B"/>
          </w:tcPr>
          <w:p>
            <w:pPr>
              <w:pStyle w:val="Compact"/>
            </w:pPr>
            <w:r>
              <w:rPr>
                <w:b/>
                <w:color w:val="FFFFFF"/>
                <w:sz w:val="17"/>
              </w:rPr>
              <w:t xml:space="preserve">Droit d’inviter</w:t>
            </w:r>
          </w:p>
        </w:tc>
      </w:tr>
      <w:tr>
        <w:tc>
          <w:tcPr/>
          <w:p>
            <w:pPr>
              <w:pStyle w:val="Compact"/>
            </w:pPr>
            <w:r>
              <w:rPr>
                <w:sz w:val="17"/>
              </w:rPr>
              <w:t xml:space="preserve">Consultation</w:t>
            </w:r>
          </w:p>
        </w:tc>
        <w:tc>
          <w:tcPr/>
          <w:p>
            <w:pPr>
              <w:pStyle w:val="Compact"/>
            </w:pPr>
            <w:r>
              <w:rPr>
                <w:sz w:val="17"/>
              </w:rPr>
              <w:t xml:space="preserve">Lecture des tableaux et dossiers du périmètre</w:t>
            </w:r>
          </w:p>
        </w:tc>
        <w:tc>
          <w:tcPr/>
          <w:p>
            <w:pPr>
              <w:pStyle w:val="Compact"/>
            </w:pPr>
            <w:r>
              <w:rPr>
                <w:sz w:val="17"/>
              </w:rPr>
              <w:t xml:space="preserve">Non</w:t>
            </w:r>
          </w:p>
        </w:tc>
      </w:tr>
      <w:tr>
        <w:tc>
          <w:tcPr>
            <w:shd w:val="clear" w:color="auto" w:fill="F5F7FB"/>
          </w:tcPr>
          <w:p>
            <w:pPr>
              <w:pStyle w:val="Compact"/>
            </w:pPr>
            <w:r>
              <w:rPr>
                <w:sz w:val="17"/>
              </w:rPr>
              <w:t xml:space="preserve">Agent de terrain</w:t>
            </w:r>
          </w:p>
        </w:tc>
        <w:tc>
          <w:tcPr>
            <w:shd w:val="clear" w:color="auto" w:fill="F5F7FB"/>
          </w:tcPr>
          <w:p>
            <w:pPr>
              <w:pStyle w:val="Compact"/>
            </w:pPr>
            <w:r>
              <w:rPr>
                <w:sz w:val="17"/>
              </w:rPr>
              <w:t xml:space="preserve">Missions, constats, enrôlement assisté, contrôle des titres</w:t>
            </w:r>
          </w:p>
        </w:tc>
        <w:tc>
          <w:tcPr>
            <w:shd w:val="clear" w:color="auto" w:fill="F5F7FB"/>
          </w:tcPr>
          <w:p>
            <w:pPr>
              <w:pStyle w:val="Compact"/>
            </w:pPr>
            <w:r>
              <w:rPr>
                <w:sz w:val="17"/>
              </w:rPr>
              <w:t xml:space="preserve">Non</w:t>
            </w:r>
          </w:p>
        </w:tc>
      </w:tr>
      <w:tr>
        <w:tc>
          <w:tcPr/>
          <w:p>
            <w:pPr>
              <w:pStyle w:val="Compact"/>
            </w:pPr>
            <w:r>
              <w:rPr>
                <w:sz w:val="17"/>
              </w:rPr>
              <w:t xml:space="preserve">Opérateur</w:t>
            </w:r>
          </w:p>
        </w:tc>
        <w:tc>
          <w:tcPr/>
          <w:p>
            <w:pPr>
              <w:pStyle w:val="Compact"/>
            </w:pPr>
            <w:r>
              <w:rPr>
                <w:sz w:val="17"/>
              </w:rPr>
              <w:t xml:space="preserve">Traitement des dossiers, déclarations, notifications</w:t>
            </w:r>
          </w:p>
        </w:tc>
        <w:tc>
          <w:tcPr/>
          <w:p>
            <w:pPr>
              <w:pStyle w:val="Compact"/>
            </w:pPr>
            <w:r>
              <w:rPr>
                <w:sz w:val="17"/>
              </w:rPr>
              <w:t xml:space="preserve">Non</w:t>
            </w:r>
          </w:p>
        </w:tc>
      </w:tr>
      <w:tr>
        <w:tc>
          <w:tcPr>
            <w:shd w:val="clear" w:color="auto" w:fill="F5F7FB"/>
          </w:tcPr>
          <w:p>
            <w:pPr>
              <w:pStyle w:val="Compact"/>
            </w:pPr>
            <w:r>
              <w:rPr>
                <w:sz w:val="17"/>
              </w:rPr>
              <w:t xml:space="preserve">Superviseur</w:t>
            </w:r>
          </w:p>
        </w:tc>
        <w:tc>
          <w:tcPr>
            <w:shd w:val="clear" w:color="auto" w:fill="F5F7FB"/>
          </w:tcPr>
          <w:p>
            <w:pPr>
              <w:pStyle w:val="Compact"/>
            </w:pPr>
            <w:r>
              <w:rPr>
                <w:sz w:val="17"/>
              </w:rPr>
              <w:t xml:space="preserve">Encadrement, affectation des missions, contrôle qualité</w:t>
            </w:r>
          </w:p>
        </w:tc>
        <w:tc>
          <w:tcPr>
            <w:shd w:val="clear" w:color="auto" w:fill="F5F7FB"/>
          </w:tcPr>
          <w:p>
            <w:pPr>
              <w:pStyle w:val="Compact"/>
            </w:pPr>
            <w:r>
              <w:rPr>
                <w:sz w:val="17"/>
              </w:rPr>
              <w:t xml:space="preserve">Sur délégation</w:t>
            </w:r>
          </w:p>
        </w:tc>
      </w:tr>
      <w:tr>
        <w:tc>
          <w:tcPr/>
          <w:p>
            <w:pPr>
              <w:pStyle w:val="Compact"/>
            </w:pPr>
            <w:r>
              <w:rPr>
                <w:sz w:val="17"/>
              </w:rPr>
              <w:t xml:space="preserve">Responsable de module</w:t>
            </w:r>
          </w:p>
        </w:tc>
        <w:tc>
          <w:tcPr/>
          <w:p>
            <w:pPr>
              <w:pStyle w:val="Compact"/>
            </w:pPr>
            <w:r>
              <w:rPr>
                <w:sz w:val="17"/>
              </w:rPr>
              <w:t xml:space="preserve">Pilotage du module, équipes, sous-traitants</w:t>
            </w:r>
          </w:p>
        </w:tc>
        <w:tc>
          <w:tcPr/>
          <w:p>
            <w:pPr>
              <w:pStyle w:val="Compact"/>
            </w:pPr>
            <w:r>
              <w:rPr>
                <w:sz w:val="17"/>
              </w:rPr>
              <w:t xml:space="preserve">Dans le module</w:t>
            </w:r>
          </w:p>
        </w:tc>
      </w:tr>
      <w:tr>
        <w:tc>
          <w:tcPr>
            <w:shd w:val="clear" w:color="auto" w:fill="F5F7FB"/>
          </w:tcPr>
          <w:p>
            <w:pPr>
              <w:pStyle w:val="Compact"/>
            </w:pPr>
            <w:r>
              <w:rPr>
                <w:sz w:val="17"/>
              </w:rPr>
              <w:t xml:space="preserve">Opérateur d’accès désigné</w:t>
            </w:r>
          </w:p>
        </w:tc>
        <w:tc>
          <w:tcPr>
            <w:shd w:val="clear" w:color="auto" w:fill="F5F7FB"/>
          </w:tcPr>
          <w:p>
            <w:pPr>
              <w:pStyle w:val="Compact"/>
            </w:pPr>
            <w:r>
              <w:rPr>
                <w:sz w:val="17"/>
              </w:rPr>
              <w:t xml:space="preserve">Inscription assistée des invités de son entité</w:t>
            </w:r>
          </w:p>
        </w:tc>
        <w:tc>
          <w:tcPr>
            <w:shd w:val="clear" w:color="auto" w:fill="F5F7FB"/>
          </w:tcPr>
          <w:p>
            <w:pPr>
              <w:pStyle w:val="Compact"/>
            </w:pPr>
            <w:r>
              <w:rPr>
                <w:sz w:val="17"/>
              </w:rPr>
              <w:t xml:space="preserve">Non, sauf délégation expresse</w:t>
            </w:r>
          </w:p>
        </w:tc>
      </w:tr>
      <w:tr>
        <w:tc>
          <w:tcPr/>
          <w:p>
            <w:pPr>
              <w:pStyle w:val="Compact"/>
            </w:pPr>
            <w:r>
              <w:rPr>
                <w:sz w:val="17"/>
              </w:rPr>
              <w:t xml:space="preserve">Administrateur d’entité</w:t>
            </w:r>
          </w:p>
        </w:tc>
        <w:tc>
          <w:tcPr/>
          <w:p>
            <w:pPr>
              <w:pStyle w:val="Compact"/>
            </w:pPr>
            <w:r>
              <w:rPr>
                <w:sz w:val="17"/>
              </w:rPr>
              <w:t xml:space="preserve">Comptes et rôles de l’entité (sans accès aux montants, R08)</w:t>
            </w:r>
          </w:p>
        </w:tc>
        <w:tc>
          <w:tcPr/>
          <w:p>
            <w:pPr>
              <w:pStyle w:val="Compact"/>
            </w:pPr>
            <w:r>
              <w:rPr>
                <w:sz w:val="17"/>
              </w:rPr>
              <w:t xml:space="preserve">Dans l’entité</w:t>
            </w:r>
          </w:p>
        </w:tc>
      </w:tr>
      <w:tr>
        <w:tc>
          <w:tcPr>
            <w:shd w:val="clear" w:color="auto" w:fill="F5F7FB"/>
          </w:tcPr>
          <w:p>
            <w:pPr>
              <w:pStyle w:val="Compact"/>
            </w:pPr>
            <w:r>
              <w:rPr>
                <w:sz w:val="17"/>
              </w:rPr>
              <w:t xml:space="preserve">Direction et exécutif</w:t>
            </w:r>
          </w:p>
        </w:tc>
        <w:tc>
          <w:tcPr>
            <w:shd w:val="clear" w:color="auto" w:fill="F5F7FB"/>
          </w:tcPr>
          <w:p>
            <w:pPr>
              <w:pStyle w:val="Compact"/>
            </w:pPr>
            <w:r>
              <w:rPr>
                <w:sz w:val="17"/>
              </w:rPr>
              <w:t xml:space="preserve">Vision, décisions, arbitrages</w:t>
            </w:r>
          </w:p>
        </w:tc>
        <w:tc>
          <w:tcPr>
            <w:shd w:val="clear" w:color="auto" w:fill="F5F7FB"/>
          </w:tcPr>
          <w:p>
            <w:pPr>
              <w:pStyle w:val="Compact"/>
            </w:pPr>
            <w:r>
              <w:rPr>
                <w:sz w:val="17"/>
              </w:rPr>
              <w:t xml:space="preserve">Dans l’entité</w:t>
            </w:r>
          </w:p>
        </w:tc>
      </w:tr>
      <w:tr>
        <w:tc>
          <w:tcPr/>
          <w:p>
            <w:pPr>
              <w:pStyle w:val="Compact"/>
            </w:pPr>
            <w:r>
              <w:rPr>
                <w:sz w:val="17"/>
              </w:rPr>
              <w:t xml:space="preserve">Audit et inspection</w:t>
            </w:r>
          </w:p>
        </w:tc>
        <w:tc>
          <w:tcPr/>
          <w:p>
            <w:pPr>
              <w:pStyle w:val="Compact"/>
            </w:pPr>
            <w:r>
              <w:rPr>
                <w:sz w:val="17"/>
              </w:rPr>
              <w:t xml:space="preserve">Lecture intégrale des preuves</w:t>
            </w:r>
          </w:p>
        </w:tc>
        <w:tc>
          <w:tcPr/>
          <w:p>
            <w:pPr>
              <w:pStyle w:val="Compact"/>
            </w:pPr>
            <w:r>
              <w:rPr>
                <w:sz w:val="17"/>
              </w:rPr>
              <w:t xml:space="preserve">Non (comptes créés par l’administrateur, validés par l’autorité d’audit)</w:t>
            </w:r>
          </w:p>
        </w:tc>
      </w:tr>
      <w:tr>
        <w:tc>
          <w:tcPr>
            <w:shd w:val="clear" w:color="auto" w:fill="F5F7FB"/>
          </w:tcPr>
          <w:p>
            <w:pPr>
              <w:pStyle w:val="Compact"/>
            </w:pPr>
            <w:r>
              <w:rPr>
                <w:sz w:val="17"/>
              </w:rPr>
              <w:t xml:space="preserve">Administration technique</w:t>
            </w:r>
          </w:p>
        </w:tc>
        <w:tc>
          <w:tcPr>
            <w:shd w:val="clear" w:color="auto" w:fill="F5F7FB"/>
          </w:tcPr>
          <w:p>
            <w:pPr>
              <w:pStyle w:val="Compact"/>
            </w:pPr>
            <w:r>
              <w:rPr>
                <w:sz w:val="17"/>
              </w:rPr>
              <w:t xml:space="preserve">Exploitation sans pouvoir fiscal ni financier</w:t>
            </w:r>
          </w:p>
        </w:tc>
        <w:tc>
          <w:tcPr>
            <w:shd w:val="clear" w:color="auto" w:fill="F5F7FB"/>
          </w:tcPr>
          <w:p>
            <w:pPr>
              <w:pStyle w:val="Compact"/>
            </w:pPr>
            <w:r>
              <w:rPr>
                <w:sz w:val="17"/>
              </w:rPr>
              <w:t xml:space="preserve">Selon § H.6.8</w:t>
            </w:r>
          </w:p>
        </w:tc>
      </w:tr>
    </w:tbl>
    <w:bookmarkEnd w:id="430"/>
    <w:bookmarkStart w:id="434" w:name="h.6.7-cycle-de-vie-dune-invitation"/>
    <w:p>
      <w:pPr>
        <w:pStyle w:val="Heading3"/>
      </w:pPr>
      <w:r>
        <w:t xml:space="preserve">H.6.7 Cycle de vie d’une invitation</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Étape</w:t>
            </w:r>
          </w:p>
        </w:tc>
        <w:tc>
          <w:tcPr>
            <w:shd w:val="clear" w:color="auto" w:fill="232C6B"/>
          </w:tcPr>
          <w:p>
            <w:pPr>
              <w:pStyle w:val="Compact"/>
            </w:pPr>
            <w:r>
              <w:rPr>
                <w:b/>
                <w:color w:val="FFFFFF"/>
                <w:sz w:val="17"/>
              </w:rPr>
              <w:t xml:space="preserve">Exigence</w:t>
            </w:r>
          </w:p>
        </w:tc>
      </w:tr>
      <w:tr>
        <w:tc>
          <w:tcPr/>
          <w:p>
            <w:pPr>
              <w:pStyle w:val="Compact"/>
            </w:pPr>
            <w:r>
              <w:rPr>
                <w:sz w:val="17"/>
              </w:rPr>
              <w:t xml:space="preserve">Création</w:t>
            </w:r>
          </w:p>
        </w:tc>
        <w:tc>
          <w:tcPr/>
          <w:p>
            <w:pPr>
              <w:pStyle w:val="Compact"/>
            </w:pPr>
            <w:r>
              <w:rPr>
                <w:sz w:val="17"/>
              </w:rPr>
              <w:t xml:space="preserve">Champs : nom, téléphone, courriel le cas échéant, entité, niveau d’accès, périmètre, date de fin éventuelle, motif</w:t>
            </w:r>
          </w:p>
        </w:tc>
      </w:tr>
      <w:tr>
        <w:tc>
          <w:tcPr>
            <w:shd w:val="clear" w:color="auto" w:fill="F5F7FB"/>
          </w:tcPr>
          <w:p>
            <w:pPr>
              <w:pStyle w:val="Compact"/>
            </w:pPr>
            <w:r>
              <w:rPr>
                <w:sz w:val="17"/>
              </w:rPr>
              <w:t xml:space="preserve">Envoi</w:t>
            </w:r>
          </w:p>
        </w:tc>
        <w:tc>
          <w:tcPr>
            <w:shd w:val="clear" w:color="auto" w:fill="F5F7FB"/>
          </w:tcPr>
          <w:p>
            <w:pPr>
              <w:pStyle w:val="Compact"/>
            </w:pPr>
            <w:r>
              <w:rPr>
                <w:sz w:val="17"/>
              </w:rPr>
              <w:t xml:space="preserve">Lien + OTP par SMS ou courriel ;</w:t>
            </w:r>
            <w:r>
              <w:rPr>
                <w:sz w:val="17"/>
              </w:rPr>
              <w:t xml:space="preserve"> </w:t>
            </w:r>
            <w:r>
              <w:rPr>
                <w:b/>
                <w:bCs/>
                <w:sz w:val="17"/>
              </w:rPr>
              <w:t xml:space="preserve">durée limitée ; lié au numéro invité ; usage unique ; inopérant depuis un autre numéro</w:t>
            </w:r>
          </w:p>
        </w:tc>
      </w:tr>
      <w:tr>
        <w:tc>
          <w:tcPr/>
          <w:p>
            <w:pPr>
              <w:pStyle w:val="Compact"/>
            </w:pPr>
            <w:r>
              <w:rPr>
                <w:sz w:val="17"/>
              </w:rPr>
              <w:t xml:space="preserve">Vérification</w:t>
            </w:r>
          </w:p>
        </w:tc>
        <w:tc>
          <w:tcPr/>
          <w:p>
            <w:pPr>
              <w:pStyle w:val="Compact"/>
            </w:pPr>
            <w:r>
              <w:rPr>
                <w:sz w:val="17"/>
              </w:rPr>
              <w:t xml:space="preserve">OTP, pièce d’identité, photo ; pour un agent de terrain : liaison à un terminal enrôlé (module 58)</w:t>
            </w:r>
          </w:p>
        </w:tc>
      </w:tr>
      <w:tr>
        <w:tc>
          <w:tcPr>
            <w:shd w:val="clear" w:color="auto" w:fill="F5F7FB"/>
          </w:tcPr>
          <w:p>
            <w:pPr>
              <w:pStyle w:val="Compact"/>
            </w:pPr>
            <w:r>
              <w:rPr>
                <w:sz w:val="17"/>
              </w:rPr>
              <w:t xml:space="preserve">Sécurisation</w:t>
            </w:r>
          </w:p>
        </w:tc>
        <w:tc>
          <w:tcPr>
            <w:shd w:val="clear" w:color="auto" w:fill="F5F7FB"/>
          </w:tcPr>
          <w:p>
            <w:pPr>
              <w:pStyle w:val="Compact"/>
            </w:pPr>
            <w:r>
              <w:rPr>
                <w:sz w:val="17"/>
              </w:rPr>
              <w:t xml:space="preserve">MFA ; clé d’accès résistante à l’hameçonnage (passkey) pour les rôles sensibles (§ 31.1)</w:t>
            </w:r>
          </w:p>
        </w:tc>
      </w:tr>
      <w:tr>
        <w:tc>
          <w:tcPr/>
          <w:p>
            <w:pPr>
              <w:pStyle w:val="Compact"/>
            </w:pPr>
            <w:r>
              <w:rPr>
                <w:sz w:val="17"/>
              </w:rPr>
              <w:t xml:space="preserve">Activation</w:t>
            </w:r>
          </w:p>
        </w:tc>
        <w:tc>
          <w:tcPr/>
          <w:p>
            <w:pPr>
              <w:pStyle w:val="Compact"/>
            </w:pPr>
            <w:r>
              <w:rPr>
                <w:sz w:val="17"/>
              </w:rPr>
              <w:t xml:space="preserve">Automatique pour les niveaux standard ; après habilitation par la régie pour les agents de terrain (certification, module 50) ;</w:t>
            </w:r>
            <w:r>
              <w:rPr>
                <w:sz w:val="17"/>
              </w:rPr>
              <w:t xml:space="preserve"> </w:t>
            </w:r>
            <w:r>
              <w:rPr>
                <w:b/>
                <w:bCs/>
                <w:sz w:val="17"/>
              </w:rPr>
              <w:t xml:space="preserve">après seconde validation par une personne distincte de l’invitant</w:t>
            </w:r>
            <w:r>
              <w:rPr>
                <w:sz w:val="17"/>
              </w:rPr>
              <w:t xml:space="preserve"> </w:t>
            </w:r>
            <w:r>
              <w:rPr>
                <w:sz w:val="17"/>
              </w:rPr>
              <w:t xml:space="preserve">pour les rôles sensibles : Gouverneur, Cabinet, ministres, Trésor et finances, juridique et publication des règles, audit, administrateurs d’entité, gestionnaires du coffre,</w:t>
            </w:r>
            <w:r>
              <w:rPr>
                <w:sz w:val="17"/>
              </w:rPr>
              <w:t xml:space="preserve"> </w:t>
            </w:r>
            <w:r>
              <w:rPr>
                <w:b/>
                <w:bCs/>
                <w:sz w:val="17"/>
              </w:rPr>
              <w:t xml:space="preserve">tout compte disposant du droit d’inviter</w:t>
            </w:r>
          </w:p>
        </w:tc>
      </w:tr>
      <w:tr>
        <w:tc>
          <w:tcPr>
            <w:shd w:val="clear" w:color="auto" w:fill="F5F7FB"/>
          </w:tcPr>
          <w:p>
            <w:pPr>
              <w:pStyle w:val="Compact"/>
            </w:pPr>
            <w:r>
              <w:rPr>
                <w:sz w:val="17"/>
              </w:rPr>
              <w:t xml:space="preserve">Vie</w:t>
            </w:r>
          </w:p>
        </w:tc>
        <w:tc>
          <w:tcPr>
            <w:shd w:val="clear" w:color="auto" w:fill="F5F7FB"/>
          </w:tcPr>
          <w:p>
            <w:pPr>
              <w:pStyle w:val="Compact"/>
            </w:pPr>
            <w:r>
              <w:rPr>
                <w:sz w:val="17"/>
              </w:rPr>
              <w:t xml:space="preserve">Revue trimestrielle ; expiration automatique des accès temporaires ; changement de rôle = nouvelle validation ; suspension après 60 jours d’inactivité (§ 12.7)</w:t>
            </w:r>
          </w:p>
        </w:tc>
      </w:tr>
      <w:tr>
        <w:tc>
          <w:tcPr/>
          <w:p>
            <w:pPr>
              <w:pStyle w:val="Compact"/>
            </w:pPr>
            <w:r>
              <w:rPr>
                <w:sz w:val="17"/>
              </w:rPr>
              <w:t xml:space="preserve">Sortie</w:t>
            </w:r>
          </w:p>
        </w:tc>
        <w:tc>
          <w:tcPr/>
          <w:p>
            <w:pPr>
              <w:pStyle w:val="Compact"/>
            </w:pPr>
            <w:r>
              <w:rPr>
                <w:sz w:val="17"/>
              </w:rPr>
              <w:t xml:space="preserve">Révocation immédiate du compte et de ses terminaux ; la suspension d’une entité ou d’un sous-traitant révoque tous ses comptes ; le départ d’un responsable</w:t>
            </w:r>
            <w:r>
              <w:rPr>
                <w:sz w:val="17"/>
              </w:rPr>
              <w:t xml:space="preserve"> </w:t>
            </w:r>
            <w:r>
              <w:rPr>
                <w:b/>
                <w:bCs/>
                <w:sz w:val="17"/>
              </w:rPr>
              <w:t xml:space="preserve">ne révoque pas</w:t>
            </w:r>
            <w:r>
              <w:rPr>
                <w:sz w:val="17"/>
              </w:rPr>
              <w:t xml:space="preserve"> </w:t>
            </w:r>
            <w:r>
              <w:rPr>
                <w:sz w:val="17"/>
              </w:rPr>
              <w:t xml:space="preserve">ses invités (rattachés au successeur ou à l’administrateur d’entité)</w:t>
            </w:r>
          </w:p>
        </w:tc>
      </w:tr>
    </w:tbl>
    <w:p>
      <w:pPr>
        <w:pStyle w:val="BodyText"/>
      </w:pPr>
      <w:r>
        <w:drawing>
          <wp:inline>
            <wp:extent cx="6108700" cy="5290570"/>
            <wp:effectExtent b="0" l="0" r="0" t="0"/>
            <wp:docPr descr="" title="" id="432" name="Picture"/>
            <a:graphic>
              <a:graphicData uri="http://schemas.openxmlformats.org/drawingml/2006/picture">
                <pic:pic>
                  <pic:nvPicPr>
                    <pic:cNvPr descr="figures/mermaid/mmd-fc06376a1977.png" id="433" name="Picture"/>
                    <pic:cNvPicPr>
                      <a:picLocks noChangeArrowheads="1" noChangeAspect="1"/>
                    </pic:cNvPicPr>
                  </pic:nvPicPr>
                  <pic:blipFill>
                    <a:blip r:embed="rId431"/>
                    <a:stretch>
                      <a:fillRect/>
                    </a:stretch>
                  </pic:blipFill>
                  <pic:spPr bwMode="auto">
                    <a:xfrm>
                      <a:off x="0" y="0"/>
                      <a:ext cx="6108700" cy="5290570"/>
                    </a:xfrm>
                    <a:prstGeom prst="rect">
                      <a:avLst/>
                    </a:prstGeom>
                    <a:noFill/>
                    <a:ln w="9525">
                      <a:noFill/>
                      <a:headEnd/>
                      <a:tailEnd/>
                    </a:ln>
                  </pic:spPr>
                </pic:pic>
              </a:graphicData>
            </a:graphic>
          </wp:inline>
        </w:drawing>
      </w:r>
    </w:p>
    <w:bookmarkEnd w:id="434"/>
    <w:bookmarkStart w:id="435" w:name="X362d0ff3f5222f33ae86aeb0a55801d740ef779"/>
    <w:p>
      <w:pPr>
        <w:pStyle w:val="Heading3"/>
      </w:pPr>
      <w:r>
        <w:t xml:space="preserve">H.6.8 Garde-fous de l’administrateur de la plateforme</w:t>
      </w:r>
    </w:p>
    <w:p>
      <w:pPr>
        <w:pStyle w:val="Compact"/>
        <w:numPr>
          <w:ilvl w:val="0"/>
          <w:numId w:val="1026"/>
        </w:numPr>
      </w:pPr>
      <w:r>
        <w:t xml:space="preserve">Il invite, crée les espaces, prépare les rattachements ; il</w:t>
      </w:r>
      <w:r>
        <w:t xml:space="preserve"> </w:t>
      </w:r>
      <w:r>
        <w:rPr>
          <w:b/>
          <w:bCs/>
        </w:rPr>
        <w:t xml:space="preserve">ne peut s’attribuer aucun rôle métier</w:t>
      </w:r>
      <w:r>
        <w:t xml:space="preserve">, ni consulter de données fiscales individuelles, ni modifier une dette, un paiement, un compte bénéficiaire, une règle ou une piste d’audit (cohérent avec R26 et AC-ACC-01).</w:t>
      </w:r>
    </w:p>
    <w:p>
      <w:pPr>
        <w:pStyle w:val="Compact"/>
        <w:numPr>
          <w:ilvl w:val="0"/>
          <w:numId w:val="1026"/>
        </w:numPr>
      </w:pPr>
      <w:r>
        <w:t xml:space="preserve">Il ne peut activer seul aucun rôle sensible ;</w:t>
      </w:r>
      <w:r>
        <w:t xml:space="preserve"> </w:t>
      </w:r>
      <w:r>
        <w:rPr>
          <w:b/>
          <w:bCs/>
        </w:rPr>
        <w:t xml:space="preserve">le compte du Gouverneur est confirmé hors bande par le Cabinet ou le Secrétariat général</w:t>
      </w:r>
      <w:r>
        <w:t xml:space="preserve">.</w:t>
      </w:r>
    </w:p>
    <w:p>
      <w:pPr>
        <w:pStyle w:val="Compact"/>
        <w:numPr>
          <w:ilvl w:val="0"/>
          <w:numId w:val="1026"/>
        </w:numPr>
      </w:pPr>
      <w:r>
        <w:t xml:space="preserve">Toute invitation, activation, modification ou révocation est journalisée et visible en temps réel par l’administrateur d’entité concerné et par l’audit.</w:t>
      </w:r>
    </w:p>
    <w:p>
      <w:pPr>
        <w:pStyle w:val="Compact"/>
        <w:numPr>
          <w:ilvl w:val="0"/>
          <w:numId w:val="1026"/>
        </w:numPr>
      </w:pPr>
      <w:r>
        <w:rPr>
          <w:b/>
          <w:bCs/>
        </w:rPr>
        <w:t xml:space="preserve">Bris de glace</w:t>
      </w:r>
      <w:r>
        <w:t xml:space="preserve"> </w:t>
      </w:r>
      <w:r>
        <w:t xml:space="preserve">: réservé à l’exploitation technique ; motivé, limité dans le temps, enregistré, signalé immédiatement à l’audit et au Comité de sécurité (</w:t>
      </w:r>
      <w:r>
        <w:rPr>
          <w:rStyle w:val="VerbatimChar"/>
        </w:rPr>
        <w:t xml:space="preserve">auth.break_glass.used</w:t>
      </w:r>
      <w:r>
        <w:t xml:space="preserve">).</w:t>
      </w:r>
    </w:p>
    <w:bookmarkEnd w:id="435"/>
    <w:bookmarkStart w:id="436" w:name="Xfe4d1c2fc9cd2f7a04fdc2f1ac854beeaf06e5b"/>
    <w:p>
      <w:pPr>
        <w:pStyle w:val="Heading3"/>
      </w:pPr>
      <w:r>
        <w:t xml:space="preserve">H.6.9 Inscription assistée par l’opérateur d’accès désigné</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Aspect</w:t>
            </w:r>
          </w:p>
        </w:tc>
        <w:tc>
          <w:tcPr>
            <w:shd w:val="clear" w:color="auto" w:fill="232C6B"/>
          </w:tcPr>
          <w:p>
            <w:pPr>
              <w:pStyle w:val="Compact"/>
            </w:pPr>
            <w:r>
              <w:rPr>
                <w:b/>
                <w:color w:val="FFFFFF"/>
                <w:sz w:val="17"/>
              </w:rPr>
              <w:t xml:space="preserve">Exigence</w:t>
            </w:r>
          </w:p>
        </w:tc>
      </w:tr>
      <w:tr>
        <w:tc>
          <w:tcPr/>
          <w:p>
            <w:pPr>
              <w:pStyle w:val="Compact"/>
            </w:pPr>
            <w:r>
              <w:rPr>
                <w:sz w:val="17"/>
              </w:rPr>
              <w:t xml:space="preserve">Usage</w:t>
            </w:r>
          </w:p>
        </w:tc>
        <w:tc>
          <w:tcPr/>
          <w:p>
            <w:pPr>
              <w:pStyle w:val="Compact"/>
            </w:pPr>
            <w:r>
              <w:rPr>
                <w:sz w:val="17"/>
              </w:rPr>
              <w:t xml:space="preserve">Agents sans smartphone ni courriel, personnel peu familier du numérique, recrutements en nombre</w:t>
            </w:r>
          </w:p>
        </w:tc>
      </w:tr>
      <w:tr>
        <w:tc>
          <w:tcPr>
            <w:shd w:val="clear" w:color="auto" w:fill="F5F7FB"/>
          </w:tcPr>
          <w:p>
            <w:pPr>
              <w:pStyle w:val="Compact"/>
            </w:pPr>
            <w:r>
              <w:rPr>
                <w:sz w:val="17"/>
              </w:rPr>
              <w:t xml:space="preserve">Désignation</w:t>
            </w:r>
          </w:p>
        </w:tc>
        <w:tc>
          <w:tcPr>
            <w:shd w:val="clear" w:color="auto" w:fill="F5F7FB"/>
          </w:tcPr>
          <w:p>
            <w:pPr>
              <w:pStyle w:val="Compact"/>
            </w:pPr>
            <w:r>
              <w:rPr>
                <w:sz w:val="17"/>
              </w:rPr>
              <w:t xml:space="preserve">Invité et désigné par l’administrateur d’entité, avec la permission expresse « inscription assistée des intervenants », en seconde validation ; agit seulement pour son entité (et les modules ou sous-traitants confiés)</w:t>
            </w:r>
          </w:p>
        </w:tc>
      </w:tr>
      <w:tr>
        <w:tc>
          <w:tcPr/>
          <w:p>
            <w:pPr>
              <w:pStyle w:val="Compact"/>
            </w:pPr>
            <w:r>
              <w:rPr>
                <w:sz w:val="17"/>
              </w:rPr>
              <w:t xml:space="preserve">Portée</w:t>
            </w:r>
          </w:p>
        </w:tc>
        <w:tc>
          <w:tcPr/>
          <w:p>
            <w:pPr>
              <w:pStyle w:val="Compact"/>
            </w:pPr>
            <w:r>
              <w:rPr>
                <w:b/>
                <w:bCs/>
                <w:sz w:val="17"/>
              </w:rPr>
              <w:t xml:space="preserve">Uniquement pour des personnes déjà invitées</w:t>
            </w:r>
            <w:r>
              <w:rPr>
                <w:sz w:val="17"/>
              </w:rPr>
              <w:t xml:space="preserve"> </w:t>
            </w:r>
            <w:r>
              <w:rPr>
                <w:sz w:val="17"/>
              </w:rPr>
              <w:t xml:space="preserve">; ouvre l’invitation existante ; ne modifie ni le niveau ni le périmètre</w:t>
            </w:r>
          </w:p>
        </w:tc>
      </w:tr>
      <w:tr>
        <w:tc>
          <w:tcPr>
            <w:shd w:val="clear" w:color="auto" w:fill="F5F7FB"/>
          </w:tcPr>
          <w:p>
            <w:pPr>
              <w:pStyle w:val="Compact"/>
            </w:pPr>
            <w:r>
              <w:rPr>
                <w:sz w:val="17"/>
              </w:rPr>
              <w:t xml:space="preserve">Présence</w:t>
            </w:r>
          </w:p>
        </w:tc>
        <w:tc>
          <w:tcPr>
            <w:shd w:val="clear" w:color="auto" w:fill="F5F7FB"/>
          </w:tcPr>
          <w:p>
            <w:pPr>
              <w:pStyle w:val="Compact"/>
            </w:pPr>
            <w:r>
              <w:rPr>
                <w:sz w:val="17"/>
              </w:rPr>
              <w:t xml:space="preserve">En présence de la personne : pièce, photo, OTP reçu sur le téléphone de la personne ; à défaut, empreinte comme marque de consentement (si J18 certifié) ou témoin identifié</w:t>
            </w:r>
          </w:p>
        </w:tc>
      </w:tr>
      <w:tr>
        <w:tc>
          <w:tcPr/>
          <w:p>
            <w:pPr>
              <w:pStyle w:val="Compact"/>
            </w:pPr>
            <w:r>
              <w:rPr>
                <w:sz w:val="17"/>
              </w:rPr>
              <w:t xml:space="preserve">Secrets</w:t>
            </w:r>
          </w:p>
        </w:tc>
        <w:tc>
          <w:tcPr/>
          <w:p>
            <w:pPr>
              <w:pStyle w:val="Compact"/>
            </w:pPr>
            <w:r>
              <w:rPr>
                <w:sz w:val="17"/>
              </w:rPr>
              <w:t xml:space="preserve">L’opérateur ne connaît jamais les secrets (code, mot de passe, second facteur), définis par la personne ; il ne peut pas se connecter à sa place</w:t>
            </w:r>
          </w:p>
        </w:tc>
      </w:tr>
      <w:tr>
        <w:tc>
          <w:tcPr>
            <w:shd w:val="clear" w:color="auto" w:fill="F5F7FB"/>
          </w:tcPr>
          <w:p>
            <w:pPr>
              <w:pStyle w:val="Compact"/>
            </w:pPr>
            <w:r>
              <w:rPr>
                <w:sz w:val="17"/>
              </w:rPr>
              <w:t xml:space="preserve">Traçabilité</w:t>
            </w:r>
          </w:p>
        </w:tc>
        <w:tc>
          <w:tcPr>
            <w:shd w:val="clear" w:color="auto" w:fill="F5F7FB"/>
          </w:tcPr>
          <w:p>
            <w:pPr>
              <w:pStyle w:val="Compact"/>
            </w:pPr>
            <w:r>
              <w:rPr>
                <w:sz w:val="17"/>
              </w:rPr>
              <w:t xml:space="preserve">Chaque inscription est horodatée, géolocalisée, liée au terminal de l’opérateur, notifiée à la personne et à l’administrateur d’entité, visible par l’audit</w:t>
            </w:r>
          </w:p>
        </w:tc>
      </w:tr>
      <w:tr>
        <w:tc>
          <w:tcPr/>
          <w:p>
            <w:pPr>
              <w:pStyle w:val="Compact"/>
            </w:pPr>
            <w:r>
              <w:rPr>
                <w:sz w:val="17"/>
              </w:rPr>
              <w:t xml:space="preserve">Lots</w:t>
            </w:r>
          </w:p>
        </w:tc>
        <w:tc>
          <w:tcPr/>
          <w:p>
            <w:pPr>
              <w:pStyle w:val="Compact"/>
            </w:pPr>
            <w:r>
              <w:rPr>
                <w:sz w:val="17"/>
              </w:rPr>
              <w:t xml:space="preserve">Traitement par lots possible ;</w:t>
            </w:r>
            <w:r>
              <w:rPr>
                <w:sz w:val="17"/>
              </w:rPr>
              <w:t xml:space="preserve"> </w:t>
            </w:r>
            <w:r>
              <w:rPr>
                <w:b/>
                <w:bCs/>
                <w:sz w:val="17"/>
              </w:rPr>
              <w:t xml:space="preserve">jamais</w:t>
            </w:r>
            <w:r>
              <w:rPr>
                <w:sz w:val="17"/>
              </w:rPr>
              <w:t xml:space="preserve"> </w:t>
            </w:r>
            <w:r>
              <w:rPr>
                <w:sz w:val="17"/>
              </w:rPr>
              <w:t xml:space="preserve">de comptes génériques ou partagés</w:t>
            </w:r>
          </w:p>
        </w:tc>
      </w:tr>
    </w:tbl>
    <w:p>
      <w:pPr>
        <w:pStyle w:val="BodyText"/>
      </w:pPr>
      <w:r>
        <w:t xml:space="preserve">Critères d’acceptation : voir AC-INV-01 à AC-INV-05 (§ H.21).</w:t>
      </w:r>
    </w:p>
    <w:bookmarkEnd w:id="436"/>
    <w:bookmarkEnd w:id="437"/>
    <w:bookmarkStart w:id="448" w:name="Xd057f2189754abaa4100b43236807ad2a0b75d2"/>
    <w:p>
      <w:pPr>
        <w:pStyle w:val="Heading2"/>
      </w:pPr>
      <w:r>
        <w:t xml:space="preserve">H.7 Chapitre 13 — Parcours contribuables et enrôlement inclusif</w:t>
      </w:r>
    </w:p>
    <w:bookmarkStart w:id="438" w:name="h.7.1-principe-et-canaux"/>
    <w:p>
      <w:pPr>
        <w:pStyle w:val="Heading3"/>
      </w:pPr>
      <w:r>
        <w:t xml:space="preserve">H.7.1 Principe et canaux</w:t>
      </w:r>
    </w:p>
    <w:p>
      <w:pPr>
        <w:pStyle w:val="FirstParagraph"/>
      </w:pPr>
      <w:r>
        <w:rPr>
          <w:b/>
          <w:bCs/>
        </w:rPr>
        <w:t xml:space="preserve">Personne n’est exclu faute de téléphone, de connexion ou d’alphabétisation ; l’enrôlement est gratuit sur tous les canaux.</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Canal</w:t>
            </w:r>
          </w:p>
        </w:tc>
        <w:tc>
          <w:tcPr>
            <w:shd w:val="clear" w:color="auto" w:fill="232C6B"/>
          </w:tcPr>
          <w:p>
            <w:pPr>
              <w:pStyle w:val="Compact"/>
            </w:pPr>
            <w:r>
              <w:rPr>
                <w:b/>
                <w:color w:val="FFFFFF"/>
                <w:sz w:val="17"/>
              </w:rPr>
              <w:t xml:space="preserve">Public cible</w:t>
            </w:r>
          </w:p>
        </w:tc>
        <w:tc>
          <w:tcPr>
            <w:shd w:val="clear" w:color="auto" w:fill="232C6B"/>
          </w:tcPr>
          <w:p>
            <w:pPr>
              <w:pStyle w:val="Compact"/>
            </w:pPr>
            <w:r>
              <w:rPr>
                <w:b/>
                <w:color w:val="FFFFFF"/>
                <w:sz w:val="17"/>
              </w:rPr>
              <w:t xml:space="preserve">Fonctions</w:t>
            </w:r>
          </w:p>
        </w:tc>
        <w:tc>
          <w:tcPr>
            <w:shd w:val="clear" w:color="auto" w:fill="232C6B"/>
          </w:tcPr>
          <w:p>
            <w:pPr>
              <w:pStyle w:val="Compact"/>
            </w:pPr>
            <w:r>
              <w:rPr>
                <w:b/>
                <w:color w:val="FFFFFF"/>
                <w:sz w:val="17"/>
              </w:rPr>
              <w:t xml:space="preserve">Règles v3.0 applicables</w:t>
            </w:r>
          </w:p>
        </w:tc>
      </w:tr>
      <w:tr>
        <w:tc>
          <w:tcPr/>
          <w:p>
            <w:pPr>
              <w:pStyle w:val="Compact"/>
            </w:pPr>
            <w:r>
              <w:rPr>
                <w:sz w:val="17"/>
              </w:rPr>
              <w:t xml:space="preserve">Application mobile</w:t>
            </w:r>
          </w:p>
        </w:tc>
        <w:tc>
          <w:tcPr/>
          <w:p>
            <w:pPr>
              <w:pStyle w:val="Compact"/>
            </w:pPr>
            <w:r>
              <w:rPr>
                <w:sz w:val="17"/>
              </w:rPr>
              <w:t xml:space="preserve">Smartphone, connexion lente</w:t>
            </w:r>
          </w:p>
        </w:tc>
        <w:tc>
          <w:tcPr/>
          <w:p>
            <w:pPr>
              <w:pStyle w:val="Compact"/>
            </w:pPr>
            <w:r>
              <w:rPr>
                <w:sz w:val="17"/>
              </w:rPr>
              <w:t xml:space="preserve">Pictogrammes, audio, mode données réduites, portefeuille de titres</w:t>
            </w:r>
          </w:p>
        </w:tc>
        <w:tc>
          <w:tcPr/>
          <w:p>
            <w:pPr>
              <w:pStyle w:val="Compact"/>
            </w:pPr>
            <w:r>
              <w:rPr>
                <w:sz w:val="17"/>
              </w:rPr>
              <w:t xml:space="preserve">&lt; 25 Mo (§ 31.2)</w:t>
            </w:r>
          </w:p>
        </w:tc>
      </w:tr>
      <w:tr>
        <w:tc>
          <w:tcPr>
            <w:shd w:val="clear" w:color="auto" w:fill="F5F7FB"/>
          </w:tcPr>
          <w:p>
            <w:pPr>
              <w:pStyle w:val="Compact"/>
            </w:pPr>
            <w:r>
              <w:rPr>
                <w:sz w:val="17"/>
              </w:rPr>
              <w:t xml:space="preserve">Portail web</w:t>
            </w:r>
          </w:p>
        </w:tc>
        <w:tc>
          <w:tcPr>
            <w:shd w:val="clear" w:color="auto" w:fill="F5F7FB"/>
          </w:tcPr>
          <w:p>
            <w:pPr>
              <w:pStyle w:val="Compact"/>
            </w:pPr>
            <w:r>
              <w:rPr>
                <w:sz w:val="17"/>
              </w:rPr>
              <w:t xml:space="preserve">Entreprises, diaspora, mandataires</w:t>
            </w:r>
          </w:p>
        </w:tc>
        <w:tc>
          <w:tcPr>
            <w:shd w:val="clear" w:color="auto" w:fill="F5F7FB"/>
          </w:tcPr>
          <w:p>
            <w:pPr>
              <w:pStyle w:val="Compact"/>
            </w:pPr>
            <w:r>
              <w:rPr>
                <w:sz w:val="17"/>
              </w:rPr>
              <w:t xml:space="preserve">Espace entreprise, télédéclaration, API grands redevables</w:t>
            </w:r>
          </w:p>
        </w:tc>
        <w:tc>
          <w:tcPr>
            <w:shd w:val="clear" w:color="auto" w:fill="F5F7FB"/>
          </w:tcPr>
          <w:p>
            <w:pPr>
              <w:pStyle w:val="Compact"/>
            </w:pPr>
            <w:r>
              <w:rPr>
                <w:sz w:val="17"/>
              </w:rPr>
              <w:t xml:space="preserve">WCAG 2.1 AA</w:t>
            </w:r>
          </w:p>
        </w:tc>
      </w:tr>
      <w:tr>
        <w:tc>
          <w:tcPr/>
          <w:p>
            <w:pPr>
              <w:pStyle w:val="Compact"/>
            </w:pPr>
            <w:r>
              <w:rPr>
                <w:sz w:val="17"/>
              </w:rPr>
              <w:t xml:space="preserve">USSD (code court gratuit)</w:t>
            </w:r>
          </w:p>
        </w:tc>
        <w:tc>
          <w:tcPr/>
          <w:p>
            <w:pPr>
              <w:pStyle w:val="Compact"/>
            </w:pPr>
            <w:r>
              <w:rPr>
                <w:sz w:val="17"/>
              </w:rPr>
              <w:t xml:space="preserve">Téléphone basique</w:t>
            </w:r>
          </w:p>
        </w:tc>
        <w:tc>
          <w:tcPr/>
          <w:p>
            <w:pPr>
              <w:pStyle w:val="Compact"/>
            </w:pPr>
            <w:r>
              <w:rPr>
                <w:sz w:val="17"/>
              </w:rPr>
              <w:t xml:space="preserve">Consultation, enrôlement simplifié, paiement sur référence</w:t>
            </w:r>
          </w:p>
        </w:tc>
        <w:tc>
          <w:tcPr/>
          <w:p>
            <w:pPr>
              <w:pStyle w:val="Compact"/>
            </w:pPr>
            <w:r>
              <w:rPr>
                <w:b/>
                <w:bCs/>
                <w:sz w:val="17"/>
              </w:rPr>
              <w:t xml:space="preserve">Jamais de donnée sensible complète</w:t>
            </w:r>
            <w:r>
              <w:rPr>
                <w:sz w:val="17"/>
              </w:rPr>
              <w:t xml:space="preserve"> </w:t>
            </w:r>
            <w:r>
              <w:rPr>
                <w:sz w:val="17"/>
              </w:rPr>
              <w:t xml:space="preserve">à l’écran</w:t>
            </w:r>
          </w:p>
        </w:tc>
      </w:tr>
      <w:tr>
        <w:tc>
          <w:tcPr>
            <w:shd w:val="clear" w:color="auto" w:fill="F5F7FB"/>
          </w:tcPr>
          <w:p>
            <w:pPr>
              <w:pStyle w:val="Compact"/>
            </w:pPr>
            <w:r>
              <w:rPr>
                <w:sz w:val="17"/>
              </w:rPr>
              <w:t xml:space="preserve">SVI (numéro gratuit)</w:t>
            </w:r>
          </w:p>
        </w:tc>
        <w:tc>
          <w:tcPr>
            <w:shd w:val="clear" w:color="auto" w:fill="F5F7FB"/>
          </w:tcPr>
          <w:p>
            <w:pPr>
              <w:pStyle w:val="Compact"/>
            </w:pPr>
            <w:r>
              <w:rPr>
                <w:sz w:val="17"/>
              </w:rPr>
              <w:t xml:space="preserve">Personnes peu alphabétisées</w:t>
            </w:r>
          </w:p>
        </w:tc>
        <w:tc>
          <w:tcPr>
            <w:shd w:val="clear" w:color="auto" w:fill="F5F7FB"/>
          </w:tcPr>
          <w:p>
            <w:pPr>
              <w:pStyle w:val="Compact"/>
            </w:pPr>
            <w:r>
              <w:rPr>
                <w:sz w:val="17"/>
              </w:rPr>
              <w:t xml:space="preserve">Lingala, kikongo, tshiluba, kiswahili, français ; réponses par touches ; consultation par numéro de carte ou d’objet ; confirmation vocale</w:t>
            </w:r>
          </w:p>
        </w:tc>
        <w:tc>
          <w:tcPr>
            <w:shd w:val="clear" w:color="auto" w:fill="F5F7FB"/>
          </w:tcPr>
          <w:p>
            <w:pPr>
              <w:pStyle w:val="Compact"/>
            </w:pPr>
            <w:r>
              <w:rPr>
                <w:sz w:val="17"/>
              </w:rPr>
              <w:t xml:space="preserve">Module 64</w:t>
            </w:r>
          </w:p>
        </w:tc>
      </w:tr>
      <w:tr>
        <w:tc>
          <w:tcPr/>
          <w:p>
            <w:pPr>
              <w:pStyle w:val="Compact"/>
            </w:pPr>
            <w:r>
              <w:rPr>
                <w:sz w:val="17"/>
              </w:rPr>
              <w:t xml:space="preserve">Assistant WhatsApp</w:t>
            </w:r>
          </w:p>
        </w:tc>
        <w:tc>
          <w:tcPr/>
          <w:p>
            <w:pPr>
              <w:pStyle w:val="Compact"/>
            </w:pPr>
            <w:r>
              <w:rPr>
                <w:sz w:val="17"/>
              </w:rPr>
              <w:t xml:space="preserve">Lingala et français</w:t>
            </w:r>
          </w:p>
        </w:tc>
        <w:tc>
          <w:tcPr/>
          <w:p>
            <w:pPr>
              <w:pStyle w:val="Compact"/>
            </w:pPr>
            <w:r>
              <w:rPr>
                <w:sz w:val="17"/>
              </w:rPr>
              <w:t xml:space="preserve">Rappel des obligations et</w:t>
            </w:r>
            <w:r>
              <w:rPr>
                <w:sz w:val="17"/>
              </w:rPr>
              <w:t xml:space="preserve"> </w:t>
            </w:r>
            <w:r>
              <w:rPr>
                <w:b/>
                <w:bCs/>
                <w:sz w:val="17"/>
              </w:rPr>
              <w:t xml:space="preserve">invitation à payer par le code USSD officiel ou l’application</w:t>
            </w:r>
          </w:p>
        </w:tc>
        <w:tc>
          <w:tcPr/>
          <w:p>
            <w:pPr>
              <w:pStyle w:val="Compact"/>
            </w:pPr>
            <w:r>
              <w:rPr>
                <w:b/>
                <w:bCs/>
                <w:sz w:val="17"/>
              </w:rPr>
              <w:t xml:space="preserve">Aucun lien de paiement, aucun montant nominatif, aucun avis obligatoire</w:t>
            </w:r>
            <w:r>
              <w:rPr>
                <w:sz w:val="17"/>
              </w:rPr>
              <w:t xml:space="preserve"> </w:t>
            </w:r>
            <w:r>
              <w:rPr>
                <w:sz w:val="17"/>
              </w:rPr>
              <w:t xml:space="preserve">(§ 11.4.4 ; ARB-64)</w:t>
            </w:r>
          </w:p>
        </w:tc>
      </w:tr>
      <w:tr>
        <w:tc>
          <w:tcPr>
            <w:shd w:val="clear" w:color="auto" w:fill="F5F7FB"/>
          </w:tcPr>
          <w:p>
            <w:pPr>
              <w:pStyle w:val="Compact"/>
            </w:pPr>
            <w:r>
              <w:rPr>
                <w:sz w:val="17"/>
              </w:rPr>
              <w:t xml:space="preserve">SMS</w:t>
            </w:r>
          </w:p>
        </w:tc>
        <w:tc>
          <w:tcPr>
            <w:shd w:val="clear" w:color="auto" w:fill="F5F7FB"/>
          </w:tcPr>
          <w:p>
            <w:pPr>
              <w:pStyle w:val="Compact"/>
            </w:pPr>
            <w:r>
              <w:rPr>
                <w:sz w:val="17"/>
              </w:rPr>
              <w:t xml:space="preserve">Tous</w:t>
            </w:r>
          </w:p>
        </w:tc>
        <w:tc>
          <w:tcPr>
            <w:shd w:val="clear" w:color="auto" w:fill="F5F7FB"/>
          </w:tcPr>
          <w:p>
            <w:pPr>
              <w:pStyle w:val="Compact"/>
            </w:pPr>
            <w:r>
              <w:rPr>
                <w:sz w:val="17"/>
              </w:rPr>
              <w:t xml:space="preserve">Confirmations, codes de quittance, rappels</w:t>
            </w:r>
          </w:p>
        </w:tc>
        <w:tc>
          <w:tcPr>
            <w:shd w:val="clear" w:color="auto" w:fill="F5F7FB"/>
          </w:tcPr>
          <w:p>
            <w:pPr>
              <w:pStyle w:val="Compact"/>
            </w:pPr>
            <w:r>
              <w:rPr>
                <w:sz w:val="17"/>
              </w:rPr>
              <w:t xml:space="preserve">&lt; 160 caractères ;</w:t>
            </w:r>
            <w:r>
              <w:rPr>
                <w:sz w:val="17"/>
              </w:rPr>
              <w:t xml:space="preserve"> </w:t>
            </w:r>
            <w:r>
              <w:rPr>
                <w:b/>
                <w:bCs/>
                <w:sz w:val="17"/>
              </w:rPr>
              <w:t xml:space="preserve">jamais de lien de paiement</w:t>
            </w:r>
          </w:p>
        </w:tc>
      </w:tr>
      <w:tr>
        <w:tc>
          <w:tcPr/>
          <w:p>
            <w:pPr>
              <w:pStyle w:val="Compact"/>
            </w:pPr>
            <w:r>
              <w:rPr>
                <w:sz w:val="17"/>
              </w:rPr>
              <w:t xml:space="preserve">Enrôlement assisté à domicile ou sur site</w:t>
            </w:r>
          </w:p>
        </w:tc>
        <w:tc>
          <w:tcPr/>
          <w:p>
            <w:pPr>
              <w:pStyle w:val="Compact"/>
            </w:pPr>
            <w:r>
              <w:rPr>
                <w:sz w:val="17"/>
              </w:rPr>
              <w:t xml:space="preserve">Personnes isolées</w:t>
            </w:r>
          </w:p>
        </w:tc>
        <w:tc>
          <w:tcPr/>
          <w:p>
            <w:pPr>
              <w:pStyle w:val="Compact"/>
            </w:pPr>
            <w:r>
              <w:rPr>
                <w:sz w:val="17"/>
              </w:rPr>
              <w:t xml:space="preserve">Agent + application terrain hors ligne</w:t>
            </w:r>
          </w:p>
        </w:tc>
        <w:tc>
          <w:tcPr/>
          <w:p>
            <w:pPr>
              <w:pStyle w:val="Compact"/>
            </w:pPr>
            <w:r>
              <w:rPr>
                <w:sz w:val="17"/>
              </w:rPr>
              <w:t xml:space="preserve">Aucun paiement reçu par l’agent</w:t>
            </w:r>
          </w:p>
        </w:tc>
      </w:tr>
      <w:tr>
        <w:tc>
          <w:tcPr>
            <w:shd w:val="clear" w:color="auto" w:fill="F5F7FB"/>
          </w:tcPr>
          <w:p>
            <w:pPr>
              <w:pStyle w:val="Compact"/>
            </w:pPr>
            <w:r>
              <w:rPr>
                <w:sz w:val="17"/>
              </w:rPr>
              <w:t xml:space="preserve">Guichet MOSOLO</w:t>
            </w:r>
          </w:p>
        </w:tc>
        <w:tc>
          <w:tcPr>
            <w:shd w:val="clear" w:color="auto" w:fill="F5F7FB"/>
          </w:tcPr>
          <w:p>
            <w:pPr>
              <w:pStyle w:val="Compact"/>
            </w:pPr>
            <w:r>
              <w:rPr>
                <w:sz w:val="17"/>
              </w:rPr>
              <w:t xml:space="preserve">Tous</w:t>
            </w:r>
          </w:p>
        </w:tc>
        <w:tc>
          <w:tcPr>
            <w:shd w:val="clear" w:color="auto" w:fill="F5F7FB"/>
          </w:tcPr>
          <w:p>
            <w:pPr>
              <w:pStyle w:val="Compact"/>
            </w:pPr>
            <w:r>
              <w:rPr>
                <w:sz w:val="17"/>
              </w:rPr>
              <w:t xml:space="preserve">Kiosque communal : agent d’accueil, poste d’enrôlement,</w:t>
            </w:r>
            <w:r>
              <w:rPr>
                <w:sz w:val="17"/>
              </w:rPr>
              <w:t xml:space="preserve"> </w:t>
            </w:r>
            <w:r>
              <w:rPr>
                <w:b/>
                <w:bCs/>
                <w:sz w:val="17"/>
              </w:rPr>
              <w:t xml:space="preserve">guichet bancaire partenaire</w:t>
            </w:r>
          </w:p>
        </w:tc>
        <w:tc>
          <w:tcPr>
            <w:shd w:val="clear" w:color="auto" w:fill="F5F7FB"/>
          </w:tcPr>
          <w:p>
            <w:pPr>
              <w:pStyle w:val="Compact"/>
            </w:pPr>
            <w:r>
              <w:rPr>
                <w:sz w:val="17"/>
              </w:rPr>
              <w:t xml:space="preserve">Seul le guichet bancaire encaisse</w:t>
            </w:r>
          </w:p>
        </w:tc>
      </w:tr>
      <w:tr>
        <w:tc>
          <w:tcPr/>
          <w:p>
            <w:pPr>
              <w:pStyle w:val="Compact"/>
            </w:pPr>
            <w:r>
              <w:rPr>
                <w:sz w:val="17"/>
              </w:rPr>
              <w:t xml:space="preserve">Mandataire de confiance</w:t>
            </w:r>
          </w:p>
        </w:tc>
        <w:tc>
          <w:tcPr/>
          <w:p>
            <w:pPr>
              <w:pStyle w:val="Compact"/>
            </w:pPr>
            <w:r>
              <w:rPr>
                <w:sz w:val="17"/>
              </w:rPr>
              <w:t xml:space="preserve">Personnes dépendantes</w:t>
            </w:r>
          </w:p>
        </w:tc>
        <w:tc>
          <w:tcPr/>
          <w:p>
            <w:pPr>
              <w:pStyle w:val="Compact"/>
            </w:pPr>
            <w:r>
              <w:rPr>
                <w:sz w:val="17"/>
              </w:rPr>
              <w:t xml:space="preserve">Droits limités, révocables ; chaque acte notifié au mandant</w:t>
            </w:r>
          </w:p>
        </w:tc>
        <w:tc>
          <w:tcPr/>
          <w:p>
            <w:pPr>
              <w:pStyle w:val="Compact"/>
            </w:pPr>
            <w:r>
              <w:rPr>
                <w:sz w:val="17"/>
              </w:rPr>
              <w:t xml:space="preserve">Mandat N3 si tiers professionnel</w:t>
            </w:r>
          </w:p>
        </w:tc>
      </w:tr>
    </w:tbl>
    <w:bookmarkEnd w:id="438"/>
    <w:bookmarkStart w:id="439" w:name="h.7.2-carte-mosolo-module-65"/>
    <w:p>
      <w:pPr>
        <w:pStyle w:val="Heading3"/>
      </w:pPr>
      <w:r>
        <w:t xml:space="preserve">H.7.2 Carte MOSOLO (module 65)</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Aspect</w:t>
            </w:r>
          </w:p>
        </w:tc>
        <w:tc>
          <w:tcPr>
            <w:shd w:val="clear" w:color="auto" w:fill="232C6B"/>
          </w:tcPr>
          <w:p>
            <w:pPr>
              <w:pStyle w:val="Compact"/>
            </w:pPr>
            <w:r>
              <w:rPr>
                <w:b/>
                <w:color w:val="FFFFFF"/>
                <w:sz w:val="17"/>
              </w:rPr>
              <w:t xml:space="preserve">Exigence</w:t>
            </w:r>
          </w:p>
        </w:tc>
      </w:tr>
      <w:tr>
        <w:tc>
          <w:tcPr/>
          <w:p>
            <w:pPr>
              <w:pStyle w:val="Compact"/>
            </w:pPr>
            <w:r>
              <w:rPr>
                <w:sz w:val="17"/>
              </w:rPr>
              <w:t xml:space="preserve">Contenu</w:t>
            </w:r>
          </w:p>
        </w:tc>
        <w:tc>
          <w:tcPr/>
          <w:p>
            <w:pPr>
              <w:pStyle w:val="Compact"/>
            </w:pPr>
            <w:r>
              <w:rPr>
                <w:sz w:val="17"/>
              </w:rPr>
              <w:t xml:space="preserve">Gratuite ; numéro de contribuable (IUC), QR signé, photo, commune ; code court</w:t>
            </w:r>
          </w:p>
        </w:tc>
      </w:tr>
      <w:tr>
        <w:tc>
          <w:tcPr>
            <w:shd w:val="clear" w:color="auto" w:fill="F5F7FB"/>
          </w:tcPr>
          <w:p>
            <w:pPr>
              <w:pStyle w:val="Compact"/>
            </w:pPr>
            <w:r>
              <w:rPr>
                <w:sz w:val="17"/>
              </w:rPr>
              <w:t xml:space="preserve">Usages</w:t>
            </w:r>
          </w:p>
        </w:tc>
        <w:tc>
          <w:tcPr>
            <w:shd w:val="clear" w:color="auto" w:fill="F5F7FB"/>
          </w:tcPr>
          <w:p>
            <w:pPr>
              <w:pStyle w:val="Compact"/>
            </w:pPr>
            <w:r>
              <w:rPr>
                <w:sz w:val="17"/>
              </w:rPr>
              <w:t xml:space="preserve">Consultation de la situation au guichet, chez un point de paiement agréé ou auprès d’un agent ; titre rattaché au titulaire (§ H.11.5)</w:t>
            </w:r>
          </w:p>
        </w:tc>
      </w:tr>
      <w:tr>
        <w:tc>
          <w:tcPr/>
          <w:p>
            <w:pPr>
              <w:pStyle w:val="Compact"/>
            </w:pPr>
            <w:r>
              <w:rPr>
                <w:sz w:val="17"/>
              </w:rPr>
              <w:t xml:space="preserve">Perte ou vol</w:t>
            </w:r>
          </w:p>
        </w:tc>
        <w:tc>
          <w:tcPr/>
          <w:p>
            <w:pPr>
              <w:pStyle w:val="Compact"/>
            </w:pPr>
            <w:r>
              <w:rPr>
                <w:sz w:val="17"/>
              </w:rPr>
              <w:t xml:space="preserve">Blocage immédiat au guichet ou par SVI (y compris par un proche mandataire) ; réémission avec nouveau code</w:t>
            </w:r>
            <w:r>
              <w:rPr>
                <w:sz w:val="17"/>
              </w:rPr>
              <w:t xml:space="preserve"> </w:t>
            </w:r>
            <w:r>
              <w:rPr>
                <w:b/>
                <w:bCs/>
                <w:sz w:val="17"/>
              </w:rPr>
              <w:t xml:space="preserve">sous double validation</w:t>
            </w:r>
            <w:r>
              <w:rPr>
                <w:sz w:val="17"/>
              </w:rPr>
              <w:t xml:space="preserve"> </w:t>
            </w:r>
            <w:r>
              <w:rPr>
                <w:sz w:val="17"/>
              </w:rPr>
              <w:t xml:space="preserve">; l’ancien QR affiche « carte révoquée »</w:t>
            </w:r>
          </w:p>
        </w:tc>
      </w:tr>
      <w:tr>
        <w:tc>
          <w:tcPr>
            <w:shd w:val="clear" w:color="auto" w:fill="F5F7FB"/>
          </w:tcPr>
          <w:p>
            <w:pPr>
              <w:pStyle w:val="Compact"/>
            </w:pPr>
            <w:r>
              <w:rPr>
                <w:sz w:val="17"/>
              </w:rPr>
              <w:t xml:space="preserve">Objets</w:t>
            </w:r>
          </w:p>
        </w:tc>
        <w:tc>
          <w:tcPr>
            <w:shd w:val="clear" w:color="auto" w:fill="F5F7FB"/>
          </w:tcPr>
          <w:p>
            <w:pPr>
              <w:pStyle w:val="Compact"/>
            </w:pPr>
            <w:r>
              <w:rPr>
                <w:sz w:val="17"/>
              </w:rPr>
              <w:t xml:space="preserve">Chaque objet conserve sa propre plaque QR (§ 16.8, § 17.3) ; la carte identifie la personne, la plaque identifie l’objet</w:t>
            </w:r>
          </w:p>
        </w:tc>
      </w:tr>
      <w:tr>
        <w:tc>
          <w:tcPr/>
          <w:p>
            <w:pPr>
              <w:pStyle w:val="Compact"/>
            </w:pPr>
            <w:r>
              <w:rPr>
                <w:sz w:val="17"/>
              </w:rPr>
              <w:t xml:space="preserve">États</w:t>
            </w:r>
          </w:p>
        </w:tc>
        <w:tc>
          <w:tcPr/>
          <w:p>
            <w:pPr>
              <w:pStyle w:val="Compact"/>
            </w:pPr>
            <w:r>
              <w:rPr>
                <w:rStyle w:val="VerbatimChar"/>
                <w:sz w:val="17"/>
              </w:rPr>
              <w:t xml:space="preserve">ACTIVE</w:t>
            </w:r>
            <w:r>
              <w:rPr>
                <w:sz w:val="17"/>
              </w:rPr>
              <w:t xml:space="preserve"> </w:t>
            </w:r>
            <w:r>
              <w:rPr>
                <w:sz w:val="17"/>
              </w:rPr>
              <w:t xml:space="preserve">→</w:t>
            </w:r>
            <w:r>
              <w:rPr>
                <w:sz w:val="17"/>
              </w:rPr>
              <w:t xml:space="preserve"> </w:t>
            </w:r>
            <w:r>
              <w:rPr>
                <w:rStyle w:val="VerbatimChar"/>
                <w:sz w:val="17"/>
              </w:rPr>
              <w:t xml:space="preserve">BLOQUÉE</w:t>
            </w:r>
            <w:r>
              <w:rPr>
                <w:sz w:val="17"/>
              </w:rPr>
              <w:t xml:space="preserve"> </w:t>
            </w:r>
            <w:r>
              <w:rPr>
                <w:sz w:val="17"/>
              </w:rPr>
              <w:t xml:space="preserve">→</w:t>
            </w:r>
            <w:r>
              <w:rPr>
                <w:sz w:val="17"/>
              </w:rPr>
              <w:t xml:space="preserve"> </w:t>
            </w:r>
            <w:r>
              <w:rPr>
                <w:rStyle w:val="VerbatimChar"/>
                <w:sz w:val="17"/>
              </w:rPr>
              <w:t xml:space="preserve">RÉVOQUÉE</w:t>
            </w:r>
            <w:r>
              <w:rPr>
                <w:sz w:val="17"/>
              </w:rPr>
              <w:t xml:space="preserve"> </w:t>
            </w:r>
            <w:r>
              <w:rPr>
                <w:sz w:val="17"/>
              </w:rPr>
              <w:t xml:space="preserve">;</w:t>
            </w:r>
            <w:r>
              <w:rPr>
                <w:sz w:val="17"/>
              </w:rPr>
              <w:t xml:space="preserve"> </w:t>
            </w:r>
            <w:r>
              <w:rPr>
                <w:rStyle w:val="VerbatimChar"/>
                <w:sz w:val="17"/>
              </w:rPr>
              <w:t xml:space="preserve">RÉÉMISE</w:t>
            </w:r>
            <w:r>
              <w:rPr>
                <w:sz w:val="17"/>
              </w:rPr>
              <w:t xml:space="preserve"> </w:t>
            </w:r>
            <w:r>
              <w:rPr>
                <w:sz w:val="17"/>
              </w:rPr>
              <w:t xml:space="preserve">(nouvelle carte liée)</w:t>
            </w:r>
          </w:p>
        </w:tc>
      </w:tr>
    </w:tbl>
    <w:bookmarkEnd w:id="439"/>
    <w:bookmarkStart w:id="440" w:name="h.7.3-consentement-sans-écriture"/>
    <w:p>
      <w:pPr>
        <w:pStyle w:val="Heading3"/>
      </w:pPr>
      <w:r>
        <w:t xml:space="preserve">H.7.3 Consentement sans écriture</w:t>
      </w:r>
    </w:p>
    <w:p>
      <w:pPr>
        <w:pStyle w:val="Compact"/>
        <w:numPr>
          <w:ilvl w:val="0"/>
          <w:numId w:val="1027"/>
        </w:numPr>
      </w:pPr>
      <w:r>
        <w:t xml:space="preserve">Lecture à voix haute du résumé dans la langue choisie (audio pré-enregistré validé, § 11.5).</w:t>
      </w:r>
    </w:p>
    <w:p>
      <w:pPr>
        <w:pStyle w:val="Compact"/>
        <w:numPr>
          <w:ilvl w:val="0"/>
          <w:numId w:val="1027"/>
        </w:numPr>
      </w:pPr>
      <w:r>
        <w:t xml:space="preserve">Consentement par</w:t>
      </w:r>
      <w:r>
        <w:t xml:space="preserve"> </w:t>
      </w:r>
      <w:r>
        <w:rPr>
          <w:b/>
          <w:bCs/>
        </w:rPr>
        <w:t xml:space="preserve">enregistrement vocal ou témoin identifié</w:t>
      </w:r>
      <w:r>
        <w:t xml:space="preserve"> </w:t>
      </w:r>
      <w:r>
        <w:t xml:space="preserve">; empreinte digitale comme</w:t>
      </w:r>
      <w:r>
        <w:t xml:space="preserve"> </w:t>
      </w:r>
      <w:r>
        <w:rPr>
          <w:b/>
          <w:bCs/>
        </w:rPr>
        <w:t xml:space="preserve">marque de consentement</w:t>
      </w:r>
      <w:r>
        <w:t xml:space="preserve"> </w:t>
      </w:r>
      <w:r>
        <w:t xml:space="preserve">seulement si J18 est certifié ; l’empreinte</w:t>
      </w:r>
      <w:r>
        <w:t xml:space="preserve"> </w:t>
      </w:r>
      <w:r>
        <w:rPr>
          <w:b/>
          <w:bCs/>
        </w:rPr>
        <w:t xml:space="preserve">n’est jamais un identifiant biométrique de recherche</w:t>
      </w:r>
      <w:r>
        <w:t xml:space="preserve"> </w:t>
      </w:r>
      <w:r>
        <w:t xml:space="preserve">et relève du régime des données sensibles (C5).</w:t>
      </w:r>
    </w:p>
    <w:p>
      <w:pPr>
        <w:pStyle w:val="Compact"/>
        <w:numPr>
          <w:ilvl w:val="0"/>
          <w:numId w:val="1027"/>
        </w:numPr>
      </w:pPr>
      <w:r>
        <w:t xml:space="preserve">Récapitulatif remis par SMS, appel vocal ou document imprimé.</w:t>
      </w:r>
    </w:p>
    <w:p>
      <w:pPr>
        <w:pStyle w:val="Compact"/>
        <w:numPr>
          <w:ilvl w:val="0"/>
          <w:numId w:val="1027"/>
        </w:numPr>
      </w:pPr>
      <w:r>
        <w:rPr>
          <w:b/>
          <w:bCs/>
        </w:rPr>
        <w:t xml:space="preserve">Impossible de terminer un enrôlement assisté sans lecture du résumé et consentement</w:t>
      </w:r>
      <w:r>
        <w:t xml:space="preserve"> </w:t>
      </w:r>
      <w:r>
        <w:t xml:space="preserve">; toute tentative est journalisée.</w:t>
      </w:r>
    </w:p>
    <w:bookmarkEnd w:id="440"/>
    <w:bookmarkStart w:id="441" w:name="Xdad49277857f3d0cefb1af69ca244973e0c0f36"/>
    <w:p>
      <w:pPr>
        <w:pStyle w:val="Heading3"/>
      </w:pPr>
      <w:r>
        <w:t xml:space="preserve">H.7.4 Faible alphabétisation et faible connectivité</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Exigence</w:t>
            </w:r>
          </w:p>
        </w:tc>
        <w:tc>
          <w:tcPr>
            <w:shd w:val="clear" w:color="auto" w:fill="232C6B"/>
          </w:tcPr>
          <w:p>
            <w:pPr>
              <w:pStyle w:val="Compact"/>
            </w:pPr>
            <w:r>
              <w:rPr>
                <w:b/>
                <w:color w:val="FFFFFF"/>
                <w:sz w:val="17"/>
              </w:rPr>
              <w:t xml:space="preserve">Traduction</w:t>
            </w:r>
          </w:p>
        </w:tc>
      </w:tr>
      <w:tr>
        <w:tc>
          <w:tcPr/>
          <w:p>
            <w:pPr>
              <w:pStyle w:val="Compact"/>
            </w:pPr>
            <w:r>
              <w:rPr>
                <w:sz w:val="17"/>
              </w:rPr>
              <w:t xml:space="preserve">Pictogrammes normalisés</w:t>
            </w:r>
          </w:p>
        </w:tc>
        <w:tc>
          <w:tcPr/>
          <w:p>
            <w:pPr>
              <w:pStyle w:val="Compact"/>
            </w:pPr>
            <w:r>
              <w:rPr>
                <w:sz w:val="17"/>
              </w:rPr>
              <w:t xml:space="preserve">Un pictogramme par type d’objet et par action (payer, contester, vérifier), identique sur application, avis imprimé, plaque et guichet</w:t>
            </w:r>
          </w:p>
        </w:tc>
      </w:tr>
      <w:tr>
        <w:tc>
          <w:tcPr>
            <w:shd w:val="clear" w:color="auto" w:fill="F5F7FB"/>
          </w:tcPr>
          <w:p>
            <w:pPr>
              <w:pStyle w:val="Compact"/>
            </w:pPr>
            <w:r>
              <w:rPr>
                <w:sz w:val="17"/>
              </w:rPr>
              <w:t xml:space="preserve">Montants</w:t>
            </w:r>
          </w:p>
        </w:tc>
        <w:tc>
          <w:tcPr>
            <w:shd w:val="clear" w:color="auto" w:fill="F5F7FB"/>
          </w:tcPr>
          <w:p>
            <w:pPr>
              <w:pStyle w:val="Compact"/>
            </w:pPr>
            <w:r>
              <w:rPr>
                <w:sz w:val="17"/>
              </w:rPr>
              <w:t xml:space="preserve">En chiffres et à l’oral ; devise énoncée (§ 11.6.3)</w:t>
            </w:r>
          </w:p>
        </w:tc>
      </w:tr>
      <w:tr>
        <w:tc>
          <w:tcPr/>
          <w:p>
            <w:pPr>
              <w:pStyle w:val="Compact"/>
            </w:pPr>
            <w:r>
              <w:rPr>
                <w:sz w:val="17"/>
              </w:rPr>
              <w:t xml:space="preserve">Couleurs</w:t>
            </w:r>
          </w:p>
        </w:tc>
        <w:tc>
          <w:tcPr/>
          <w:p>
            <w:pPr>
              <w:pStyle w:val="Compact"/>
            </w:pPr>
            <w:r>
              <w:rPr>
                <w:sz w:val="17"/>
              </w:rPr>
              <w:t xml:space="preserve">Toujours doublées d’une forme ou d’un son (accessibilité, daltonisme)</w:t>
            </w:r>
          </w:p>
        </w:tc>
      </w:tr>
      <w:tr>
        <w:tc>
          <w:tcPr>
            <w:shd w:val="clear" w:color="auto" w:fill="F5F7FB"/>
          </w:tcPr>
          <w:p>
            <w:pPr>
              <w:pStyle w:val="Compact"/>
            </w:pPr>
            <w:r>
              <w:rPr>
                <w:sz w:val="17"/>
              </w:rPr>
              <w:t xml:space="preserve">Réseau</w:t>
            </w:r>
          </w:p>
        </w:tc>
        <w:tc>
          <w:tcPr>
            <w:shd w:val="clear" w:color="auto" w:fill="F5F7FB"/>
          </w:tcPr>
          <w:p>
            <w:pPr>
              <w:pStyle w:val="Compact"/>
            </w:pPr>
            <w:r>
              <w:rPr>
                <w:sz w:val="17"/>
              </w:rPr>
              <w:t xml:space="preserve">Fonctionnement en 2G, pages légères, reprise après coupure,</w:t>
            </w:r>
            <w:r>
              <w:rPr>
                <w:sz w:val="17"/>
              </w:rPr>
              <w:t xml:space="preserve"> </w:t>
            </w:r>
            <w:r>
              <w:rPr>
                <w:b/>
                <w:bCs/>
                <w:sz w:val="17"/>
              </w:rPr>
              <w:t xml:space="preserve">aucune étape bloquée par l’absence de réseau</w:t>
            </w:r>
          </w:p>
        </w:tc>
      </w:tr>
      <w:tr>
        <w:tc>
          <w:tcPr/>
          <w:p>
            <w:pPr>
              <w:pStyle w:val="Compact"/>
            </w:pPr>
            <w:r>
              <w:rPr>
                <w:sz w:val="17"/>
              </w:rPr>
              <w:t xml:space="preserve">Notifications</w:t>
            </w:r>
          </w:p>
        </w:tc>
        <w:tc>
          <w:tcPr/>
          <w:p>
            <w:pPr>
              <w:pStyle w:val="Compact"/>
            </w:pPr>
            <w:r>
              <w:rPr>
                <w:sz w:val="17"/>
              </w:rPr>
              <w:t xml:space="preserve">Appel vocal, SMS, avis imprimé remis ou apposé sur la plaque (module 39)</w:t>
            </w:r>
          </w:p>
        </w:tc>
      </w:tr>
    </w:tbl>
    <w:bookmarkEnd w:id="441"/>
    <w:bookmarkStart w:id="445" w:name="Xe248cd05cdebd2225e1b63b3e7dfa9ccefedb4e"/>
    <w:p>
      <w:pPr>
        <w:pStyle w:val="Heading3"/>
      </w:pPr>
      <w:r>
        <w:t xml:space="preserve">H.7.5 Parcours d’une personne sans téléphone et illettrée</w:t>
      </w:r>
    </w:p>
    <w:p>
      <w:pPr>
        <w:pStyle w:val="FirstParagraph"/>
      </w:pPr>
      <w:r>
        <w:drawing>
          <wp:inline>
            <wp:extent cx="6108700" cy="2688139"/>
            <wp:effectExtent b="0" l="0" r="0" t="0"/>
            <wp:docPr descr="" title="" id="443" name="Picture"/>
            <a:graphic>
              <a:graphicData uri="http://schemas.openxmlformats.org/drawingml/2006/picture">
                <pic:pic>
                  <pic:nvPicPr>
                    <pic:cNvPr descr="figures/mermaid/mmd-058a3ac75d44.png" id="444" name="Picture"/>
                    <pic:cNvPicPr>
                      <a:picLocks noChangeArrowheads="1" noChangeAspect="1"/>
                    </pic:cNvPicPr>
                  </pic:nvPicPr>
                  <pic:blipFill>
                    <a:blip r:embed="rId442"/>
                    <a:stretch>
                      <a:fillRect/>
                    </a:stretch>
                  </pic:blipFill>
                  <pic:spPr bwMode="auto">
                    <a:xfrm>
                      <a:off x="0" y="0"/>
                      <a:ext cx="6108700" cy="2688139"/>
                    </a:xfrm>
                    <a:prstGeom prst="rect">
                      <a:avLst/>
                    </a:prstGeom>
                    <a:noFill/>
                    <a:ln w="9525">
                      <a:noFill/>
                      <a:headEnd/>
                      <a:tailEnd/>
                    </a:ln>
                  </pic:spPr>
                </pic:pic>
              </a:graphicData>
            </a:graphic>
          </wp:inline>
        </w:drawing>
      </w:r>
    </w:p>
    <w:bookmarkEnd w:id="445"/>
    <w:bookmarkStart w:id="446" w:name="h.7.6-garanties-et-critère"/>
    <w:p>
      <w:pPr>
        <w:pStyle w:val="Heading3"/>
      </w:pPr>
      <w:r>
        <w:t xml:space="preserve">H.7.6 Garanties et critère</w:t>
      </w:r>
    </w:p>
    <w:p>
      <w:pPr>
        <w:pStyle w:val="Compact"/>
        <w:numPr>
          <w:ilvl w:val="0"/>
          <w:numId w:val="1028"/>
        </w:numPr>
      </w:pPr>
      <w:r>
        <w:t xml:space="preserve">Aucun frais d’enrôlement ; USSD et SVI gratuits pour l’appelant (sous réserve de J29).</w:t>
      </w:r>
    </w:p>
    <w:p>
      <w:pPr>
        <w:pStyle w:val="Compact"/>
        <w:numPr>
          <w:ilvl w:val="0"/>
          <w:numId w:val="1028"/>
        </w:numPr>
      </w:pPr>
      <w:r>
        <w:t xml:space="preserve">Contestation possible à tout moment au guichet ou par SVI,</w:t>
      </w:r>
      <w:r>
        <w:t xml:space="preserve"> </w:t>
      </w:r>
      <w:r>
        <w:rPr>
          <w:b/>
          <w:bCs/>
        </w:rPr>
        <w:t xml:space="preserve">sans écrit</w:t>
      </w:r>
      <w:r>
        <w:t xml:space="preserve">.</w:t>
      </w:r>
    </w:p>
    <w:p>
      <w:pPr>
        <w:pStyle w:val="Compact"/>
        <w:numPr>
          <w:ilvl w:val="0"/>
          <w:numId w:val="1028"/>
        </w:numPr>
      </w:pPr>
      <w:r>
        <w:t xml:space="preserve">Critère AC-INC-02 : une personne sans téléphone, enrôlée hors ligne, obtient un compte</w:t>
      </w:r>
      <w:r>
        <w:t xml:space="preserve"> </w:t>
      </w:r>
      <w:r>
        <w:rPr>
          <w:b/>
          <w:bCs/>
        </w:rPr>
        <w:t xml:space="preserve">N0-A</w:t>
      </w:r>
      <w:r>
        <w:t xml:space="preserve">, un consentement horodaté lié à la mission, une carte émise ;</w:t>
      </w:r>
      <w:r>
        <w:t xml:space="preserve"> </w:t>
      </w:r>
      <w:r>
        <w:rPr>
          <w:b/>
          <w:bCs/>
        </w:rPr>
        <w:t xml:space="preserve">aucun paiement n’est demandé ni reçu par l’agent</w:t>
      </w:r>
      <w:r>
        <w:t xml:space="preserve">.</w:t>
      </w:r>
    </w:p>
    <w:bookmarkEnd w:id="446"/>
    <w:bookmarkStart w:id="447" w:name="h.7.7-compléments-aux-parcours"/>
    <w:p>
      <w:pPr>
        <w:pStyle w:val="Heading3"/>
      </w:pPr>
      <w:r>
        <w:t xml:space="preserve">H.7.7 Compléments aux parcours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Exigence source</w:t>
            </w:r>
          </w:p>
        </w:tc>
        <w:tc>
          <w:tcPr>
            <w:shd w:val="clear" w:color="auto" w:fill="232C6B"/>
          </w:tcPr>
          <w:p>
            <w:pPr>
              <w:pStyle w:val="Compact"/>
            </w:pPr>
            <w:r>
              <w:rPr>
                <w:b/>
                <w:color w:val="FFFFFF"/>
                <w:sz w:val="17"/>
              </w:rPr>
              <w:t xml:space="preserve">Intégration</w:t>
            </w:r>
          </w:p>
        </w:tc>
      </w:tr>
      <w:tr>
        <w:tc>
          <w:tcPr/>
          <w:p>
            <w:pPr>
              <w:pStyle w:val="Compact"/>
            </w:pPr>
            <w:r>
              <w:rPr>
                <w:sz w:val="17"/>
              </w:rPr>
              <w:t xml:space="preserve">Attestation de bail enregistré remise au locataire</w:t>
            </w:r>
          </w:p>
        </w:tc>
        <w:tc>
          <w:tcPr/>
          <w:p>
            <w:pPr>
              <w:pStyle w:val="Compact"/>
            </w:pPr>
            <w:r>
              <w:rPr>
                <w:sz w:val="17"/>
              </w:rPr>
              <w:t xml:space="preserve">Délivrée avec QR vérifiable après enregistrement du bail (module 9) ; valeur juridique [À VÉRIFIER J7] ; distincte de l’attestation de retenue (§ 13.3)</w:t>
            </w:r>
          </w:p>
        </w:tc>
      </w:tr>
      <w:tr>
        <w:tc>
          <w:tcPr>
            <w:shd w:val="clear" w:color="auto" w:fill="F5F7FB"/>
          </w:tcPr>
          <w:p>
            <w:pPr>
              <w:pStyle w:val="Compact"/>
            </w:pPr>
            <w:r>
              <w:rPr>
                <w:sz w:val="17"/>
              </w:rPr>
              <w:t xml:space="preserve">Le bail déclaré par le locataire « apparaît dans l’espace du bailleur »</w:t>
            </w:r>
          </w:p>
        </w:tc>
        <w:tc>
          <w:tcPr>
            <w:shd w:val="clear" w:color="auto" w:fill="F5F7FB"/>
          </w:tcPr>
          <w:p>
            <w:pPr>
              <w:pStyle w:val="Compact"/>
            </w:pPr>
            <w:r>
              <w:rPr>
                <w:sz w:val="17"/>
              </w:rPr>
              <w:t xml:space="preserve">Réécrit (ARB-65) : le bailleur est</w:t>
            </w:r>
            <w:r>
              <w:rPr>
                <w:sz w:val="17"/>
              </w:rPr>
              <w:t xml:space="preserve"> </w:t>
            </w:r>
            <w:r>
              <w:rPr>
                <w:b/>
                <w:bCs/>
                <w:sz w:val="17"/>
              </w:rPr>
              <w:t xml:space="preserve">invité à déclarer</w:t>
            </w:r>
            <w:r>
              <w:rPr>
                <w:sz w:val="17"/>
              </w:rPr>
              <w:t xml:space="preserve"> </w:t>
            </w:r>
            <w:r>
              <w:rPr>
                <w:sz w:val="17"/>
              </w:rPr>
              <w:t xml:space="preserve">ses unités ; l’identité du locataire déclarant n’est pas révélée tant que le bail n’est pas vérifié contradictoirement</w:t>
            </w:r>
          </w:p>
        </w:tc>
      </w:tr>
      <w:tr>
        <w:tc>
          <w:tcPr/>
          <w:p>
            <w:pPr>
              <w:pStyle w:val="Compact"/>
            </w:pPr>
            <w:r>
              <w:rPr>
                <w:sz w:val="17"/>
              </w:rPr>
              <w:t xml:space="preserve">Motifs de contestation : bien non détenu, activité fermée, véhicule vendu, information erronée, double imposition</w:t>
            </w:r>
          </w:p>
        </w:tc>
        <w:tc>
          <w:tcPr/>
          <w:p>
            <w:pPr>
              <w:pStyle w:val="Compact"/>
            </w:pPr>
            <w:r>
              <w:rPr>
                <w:sz w:val="17"/>
              </w:rPr>
              <w:t xml:space="preserve">Ajoutés aux motifs codifiés du § 13.4 (« activité fermée », « véhicule vendu », « double imposition ») ; l’effet sur l’exigibilité suit la règle</w:t>
            </w:r>
          </w:p>
        </w:tc>
      </w:tr>
      <w:tr>
        <w:tc>
          <w:tcPr>
            <w:shd w:val="clear" w:color="auto" w:fill="F5F7FB"/>
          </w:tcPr>
          <w:p>
            <w:pPr>
              <w:pStyle w:val="Compact"/>
            </w:pPr>
            <w:r>
              <w:rPr>
                <w:sz w:val="17"/>
              </w:rPr>
              <w:t xml:space="preserve">Obligation affichée seulement pour un objet rattaché</w:t>
            </w:r>
          </w:p>
        </w:tc>
        <w:tc>
          <w:tcPr>
            <w:shd w:val="clear" w:color="auto" w:fill="F5F7FB"/>
          </w:tcPr>
          <w:p>
            <w:pPr>
              <w:pStyle w:val="Compact"/>
            </w:pPr>
            <w:r>
              <w:rPr>
                <w:sz w:val="17"/>
              </w:rPr>
              <w:t xml:space="preserve">Aucune obligation n’est affichée à un compte sans objet rattaché (récit US-13, § H.22)</w:t>
            </w:r>
          </w:p>
        </w:tc>
      </w:tr>
      <w:tr>
        <w:tc>
          <w:tcPr/>
          <w:p>
            <w:pPr>
              <w:pStyle w:val="Compact"/>
            </w:pPr>
            <w:r>
              <w:rPr>
                <w:sz w:val="17"/>
              </w:rPr>
              <w:t xml:space="preserve">Diaspora : chaque acte du mandataire notifié au mandant</w:t>
            </w:r>
          </w:p>
        </w:tc>
        <w:tc>
          <w:tcPr/>
          <w:p>
            <w:pPr>
              <w:pStyle w:val="Compact"/>
            </w:pPr>
            <w:r>
              <w:rPr>
                <w:sz w:val="17"/>
              </w:rPr>
              <w:t xml:space="preserve">Couvert (§ 13.5) ; événement</w:t>
            </w:r>
            <w:r>
              <w:rPr>
                <w:sz w:val="17"/>
              </w:rPr>
              <w:t xml:space="preserve"> </w:t>
            </w:r>
            <w:r>
              <w:rPr>
                <w:rStyle w:val="VerbatimChar"/>
                <w:sz w:val="17"/>
              </w:rPr>
              <w:t xml:space="preserve">mandate.action_performed</w:t>
            </w:r>
          </w:p>
        </w:tc>
      </w:tr>
    </w:tbl>
    <w:bookmarkEnd w:id="447"/>
    <w:bookmarkEnd w:id="448"/>
    <w:bookmarkStart w:id="458" w:name="X19d09b278c6afbbf017764c6c5243a2b35edb9d"/>
    <w:p>
      <w:pPr>
        <w:pStyle w:val="Heading2"/>
      </w:pPr>
      <w:r>
        <w:t xml:space="preserve">H.8 Chapitres 14 et 15 — Agent de terrain et sous-traitance</w:t>
      </w:r>
    </w:p>
    <w:bookmarkStart w:id="449" w:name="h.8.1-écrans-de-contrôle-de-lagent"/>
    <w:p>
      <w:pPr>
        <w:pStyle w:val="Heading3"/>
      </w:pPr>
      <w:r>
        <w:t xml:space="preserve">H.8.1 Écrans de contrôle de l’agent</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Objet contrôlé</w:t>
            </w:r>
          </w:p>
        </w:tc>
        <w:tc>
          <w:tcPr>
            <w:shd w:val="clear" w:color="auto" w:fill="232C6B"/>
          </w:tcPr>
          <w:p>
            <w:pPr>
              <w:pStyle w:val="Compact"/>
            </w:pPr>
            <w:r>
              <w:rPr>
                <w:b/>
                <w:color w:val="FFFFFF"/>
                <w:sz w:val="17"/>
              </w:rPr>
              <w:t xml:space="preserve">Entrée</w:t>
            </w:r>
          </w:p>
        </w:tc>
        <w:tc>
          <w:tcPr>
            <w:shd w:val="clear" w:color="auto" w:fill="232C6B"/>
          </w:tcPr>
          <w:p>
            <w:pPr>
              <w:pStyle w:val="Compact"/>
            </w:pPr>
            <w:r>
              <w:rPr>
                <w:b/>
                <w:color w:val="FFFFFF"/>
                <w:sz w:val="17"/>
              </w:rPr>
              <w:t xml:space="preserve">Affichage minimal</w:t>
            </w:r>
          </w:p>
        </w:tc>
        <w:tc>
          <w:tcPr>
            <w:shd w:val="clear" w:color="auto" w:fill="232C6B"/>
          </w:tcPr>
          <w:p>
            <w:pPr>
              <w:pStyle w:val="Compact"/>
            </w:pPr>
            <w:r>
              <w:rPr>
                <w:b/>
                <w:color w:val="FFFFFF"/>
                <w:sz w:val="17"/>
              </w:rPr>
              <w:t xml:space="preserve">Action possible</w:t>
            </w:r>
          </w:p>
        </w:tc>
      </w:tr>
      <w:tr>
        <w:tc>
          <w:tcPr/>
          <w:p>
            <w:pPr>
              <w:pStyle w:val="Compact"/>
            </w:pPr>
            <w:r>
              <w:rPr>
                <w:sz w:val="17"/>
              </w:rPr>
              <w:t xml:space="preserve">Véhicule</w:t>
            </w:r>
          </w:p>
        </w:tc>
        <w:tc>
          <w:tcPr/>
          <w:p>
            <w:pPr>
              <w:pStyle w:val="Compact"/>
            </w:pPr>
            <w:r>
              <w:rPr>
                <w:sz w:val="17"/>
              </w:rPr>
              <w:t xml:space="preserve">Plaque (format officiel) ou QR de vignette</w:t>
            </w:r>
          </w:p>
        </w:tc>
        <w:tc>
          <w:tcPr/>
          <w:p>
            <w:pPr>
              <w:pStyle w:val="Compact"/>
            </w:pPr>
            <w:r>
              <w:rPr>
                <w:sz w:val="17"/>
              </w:rPr>
              <w:t xml:space="preserve">Vignette et taxe de circulation : valide / non régularisée ; autres titres actifs du module ; date du dernier paiement</w:t>
            </w:r>
          </w:p>
        </w:tc>
        <w:tc>
          <w:tcPr/>
          <w:p>
            <w:pPr>
              <w:pStyle w:val="Compact"/>
            </w:pPr>
            <w:r>
              <w:rPr>
                <w:sz w:val="17"/>
              </w:rPr>
              <w:t xml:space="preserve">Constat ; aucune immobilisation (décision de l’autorité)</w:t>
            </w:r>
          </w:p>
        </w:tc>
      </w:tr>
      <w:tr>
        <w:tc>
          <w:tcPr>
            <w:shd w:val="clear" w:color="auto" w:fill="F5F7FB"/>
          </w:tcPr>
          <w:p>
            <w:pPr>
              <w:pStyle w:val="Compact"/>
            </w:pPr>
            <w:r>
              <w:rPr>
                <w:sz w:val="17"/>
              </w:rPr>
              <w:t xml:space="preserve">Commerce</w:t>
            </w:r>
          </w:p>
        </w:tc>
        <w:tc>
          <w:tcPr>
            <w:shd w:val="clear" w:color="auto" w:fill="F5F7FB"/>
          </w:tcPr>
          <w:p>
            <w:pPr>
              <w:pStyle w:val="Compact"/>
            </w:pPr>
            <w:r>
              <w:rPr>
                <w:sz w:val="17"/>
              </w:rPr>
              <w:t xml:space="preserve">QR de devanture</w:t>
            </w:r>
          </w:p>
        </w:tc>
        <w:tc>
          <w:tcPr>
            <w:shd w:val="clear" w:color="auto" w:fill="F5F7FB"/>
          </w:tcPr>
          <w:p>
            <w:pPr>
              <w:pStyle w:val="Compact"/>
            </w:pPr>
            <w:r>
              <w:rPr>
                <w:sz w:val="17"/>
              </w:rPr>
              <w:t xml:space="preserve">Nom, localisation, patente : valide / non régularisée</w:t>
            </w:r>
          </w:p>
        </w:tc>
        <w:tc>
          <w:tcPr>
            <w:shd w:val="clear" w:color="auto" w:fill="F5F7FB"/>
          </w:tcPr>
          <w:p>
            <w:pPr>
              <w:pStyle w:val="Compact"/>
            </w:pPr>
            <w:r>
              <w:rPr>
                <w:sz w:val="17"/>
              </w:rPr>
              <w:t xml:space="preserve">Constat → notification préparée pour validation</w:t>
            </w:r>
          </w:p>
        </w:tc>
      </w:tr>
      <w:tr>
        <w:tc>
          <w:tcPr/>
          <w:p>
            <w:pPr>
              <w:pStyle w:val="Compact"/>
            </w:pPr>
            <w:r>
              <w:rPr>
                <w:sz w:val="17"/>
              </w:rPr>
              <w:t xml:space="preserve">Embarcation</w:t>
            </w:r>
          </w:p>
        </w:tc>
        <w:tc>
          <w:tcPr/>
          <w:p>
            <w:pPr>
              <w:pStyle w:val="Compact"/>
            </w:pPr>
            <w:r>
              <w:rPr>
                <w:sz w:val="17"/>
              </w:rPr>
              <w:t xml:space="preserve">Identifiant, QR ou numéro</w:t>
            </w:r>
          </w:p>
        </w:tc>
        <w:tc>
          <w:tcPr/>
          <w:p>
            <w:pPr>
              <w:pStyle w:val="Compact"/>
            </w:pPr>
            <w:r>
              <w:rPr>
                <w:sz w:val="17"/>
              </w:rPr>
              <w:t xml:space="preserve">Propriétaire, départ, destination, historique, obligations</w:t>
            </w:r>
          </w:p>
        </w:tc>
        <w:tc>
          <w:tcPr/>
          <w:p>
            <w:pPr>
              <w:pStyle w:val="Compact"/>
            </w:pPr>
            <w:r>
              <w:rPr>
                <w:sz w:val="17"/>
              </w:rPr>
              <w:t xml:space="preserve">Constat ; titre d’embarquement consommé</w:t>
            </w:r>
          </w:p>
        </w:tc>
      </w:tr>
      <w:tr>
        <w:tc>
          <w:tcPr>
            <w:shd w:val="clear" w:color="auto" w:fill="F5F7FB"/>
          </w:tcPr>
          <w:p>
            <w:pPr>
              <w:pStyle w:val="Compact"/>
            </w:pPr>
            <w:r>
              <w:rPr>
                <w:sz w:val="17"/>
              </w:rPr>
              <w:t xml:space="preserve">Maison ou parcelle</w:t>
            </w:r>
          </w:p>
        </w:tc>
        <w:tc>
          <w:tcPr>
            <w:shd w:val="clear" w:color="auto" w:fill="F5F7FB"/>
          </w:tcPr>
          <w:p>
            <w:pPr>
              <w:pStyle w:val="Compact"/>
            </w:pPr>
            <w:r>
              <w:rPr>
                <w:sz w:val="17"/>
              </w:rPr>
              <w:t xml:space="preserve">Plaque fiscale immobilière (§ H.9.1)</w:t>
            </w:r>
          </w:p>
        </w:tc>
        <w:tc>
          <w:tcPr>
            <w:shd w:val="clear" w:color="auto" w:fill="F5F7FB"/>
          </w:tcPr>
          <w:p>
            <w:pPr>
              <w:pStyle w:val="Compact"/>
            </w:pPr>
            <w:r>
              <w:rPr>
                <w:sz w:val="17"/>
              </w:rPr>
              <w:t xml:space="preserve">Statut occupé propriétaire / loué ; situation IF et IRL par couleur ; dernier constat</w:t>
            </w:r>
          </w:p>
        </w:tc>
        <w:tc>
          <w:tcPr>
            <w:shd w:val="clear" w:color="auto" w:fill="F5F7FB"/>
          </w:tcPr>
          <w:p>
            <w:pPr>
              <w:pStyle w:val="Compact"/>
            </w:pPr>
            <w:r>
              <w:rPr>
                <w:sz w:val="17"/>
              </w:rPr>
              <w:t xml:space="preserve">Constat ;</w:t>
            </w:r>
            <w:r>
              <w:rPr>
                <w:sz w:val="17"/>
              </w:rPr>
              <w:t xml:space="preserve"> </w:t>
            </w:r>
            <w:r>
              <w:rPr>
                <w:b/>
                <w:bCs/>
                <w:sz w:val="17"/>
              </w:rPr>
              <w:t xml:space="preserve">aucun montant détaillé</w:t>
            </w:r>
            <w:r>
              <w:rPr>
                <w:sz w:val="17"/>
              </w:rPr>
              <w:t xml:space="preserve"> </w:t>
            </w:r>
            <w:r>
              <w:rPr>
                <w:sz w:val="17"/>
              </w:rPr>
              <w:t xml:space="preserve">(§ 15.1)</w:t>
            </w:r>
          </w:p>
        </w:tc>
      </w:tr>
      <w:tr>
        <w:tc>
          <w:tcPr/>
          <w:p>
            <w:pPr>
              <w:pStyle w:val="Compact"/>
            </w:pPr>
            <w:r>
              <w:rPr>
                <w:sz w:val="17"/>
              </w:rPr>
              <w:t xml:space="preserve">Support publicitaire</w:t>
            </w:r>
          </w:p>
        </w:tc>
        <w:tc>
          <w:tcPr/>
          <w:p>
            <w:pPr>
              <w:pStyle w:val="Compact"/>
            </w:pPr>
            <w:r>
              <w:rPr>
                <w:sz w:val="17"/>
              </w:rPr>
              <w:t xml:space="preserve">Plaque QR, OCR des références</w:t>
            </w:r>
          </w:p>
        </w:tc>
        <w:tc>
          <w:tcPr/>
          <w:p>
            <w:pPr>
              <w:pStyle w:val="Compact"/>
            </w:pPr>
            <w:r>
              <w:rPr>
                <w:sz w:val="17"/>
              </w:rPr>
              <w:t xml:space="preserve">Autorisation, échéance, exploitant</w:t>
            </w:r>
          </w:p>
        </w:tc>
        <w:tc>
          <w:tcPr/>
          <w:p>
            <w:pPr>
              <w:pStyle w:val="Compact"/>
            </w:pPr>
            <w:r>
              <w:rPr>
                <w:sz w:val="17"/>
              </w:rPr>
              <w:t xml:space="preserve">Dossier de constat (§ H.27.6)</w:t>
            </w:r>
          </w:p>
        </w:tc>
      </w:tr>
      <w:tr>
        <w:tc>
          <w:tcPr>
            <w:shd w:val="clear" w:color="auto" w:fill="F5F7FB"/>
          </w:tcPr>
          <w:p>
            <w:pPr>
              <w:pStyle w:val="Compact"/>
            </w:pPr>
            <w:r>
              <w:rPr>
                <w:sz w:val="17"/>
              </w:rPr>
              <w:t xml:space="preserve">Moto-taxi</w:t>
            </w:r>
          </w:p>
        </w:tc>
        <w:tc>
          <w:tcPr>
            <w:shd w:val="clear" w:color="auto" w:fill="F5F7FB"/>
          </w:tcPr>
          <w:p>
            <w:pPr>
              <w:pStyle w:val="Compact"/>
            </w:pPr>
            <w:r>
              <w:rPr>
                <w:sz w:val="17"/>
              </w:rPr>
              <w:t xml:space="preserve">Gilet, autocollant ou plaque</w:t>
            </w:r>
          </w:p>
        </w:tc>
        <w:tc>
          <w:tcPr>
            <w:shd w:val="clear" w:color="auto" w:fill="F5F7FB"/>
          </w:tcPr>
          <w:p>
            <w:pPr>
              <w:pStyle w:val="Compact"/>
            </w:pPr>
            <w:r>
              <w:rPr>
                <w:sz w:val="17"/>
              </w:rPr>
              <w:t xml:space="preserve">Statut du pass, conducteur vérifié, validité</w:t>
            </w:r>
          </w:p>
        </w:tc>
        <w:tc>
          <w:tcPr>
            <w:shd w:val="clear" w:color="auto" w:fill="F5F7FB"/>
          </w:tcPr>
          <w:p>
            <w:pPr>
              <w:pStyle w:val="Compact"/>
            </w:pPr>
            <w:r>
              <w:rPr>
                <w:sz w:val="17"/>
              </w:rPr>
              <w:t xml:space="preserve">Constat ; wewa en vert = rien à payer (§ H.27.16.1)</w:t>
            </w:r>
          </w:p>
        </w:tc>
      </w:tr>
    </w:tbl>
    <w:p>
      <w:pPr>
        <w:pStyle w:val="BodyText"/>
      </w:pPr>
      <w:r>
        <w:rPr>
          <w:b/>
          <w:bCs/>
        </w:rPr>
        <w:t xml:space="preserve">Géolocalisation de chaque action.</w:t>
      </w:r>
      <w:r>
        <w:t xml:space="preserve"> </w:t>
      </w:r>
      <w:r>
        <w:t xml:space="preserve">Toute opération éloignée du point enregistré est signalée (par exemple : « opération effectuée à 430 mètres du point enregistré — vérification requise ») ; la</w:t>
      </w:r>
      <w:r>
        <w:t xml:space="preserve"> </w:t>
      </w:r>
      <w:r>
        <w:rPr>
          <w:b/>
          <w:bCs/>
        </w:rPr>
        <w:t xml:space="preserve">tolérance GPS est paramétrée par commune</w:t>
      </w:r>
      <w:r>
        <w:t xml:space="preserve"> </w:t>
      </w:r>
      <w:r>
        <w:t xml:space="preserve">; une opération hors zone justifiée n’est pas rejetée automatiquement, elle est revue. Temps de réponse du contrôle par plaque :</w:t>
      </w:r>
      <w:r>
        <w:t xml:space="preserve"> </w:t>
      </w:r>
      <w:r>
        <w:rPr>
          <w:b/>
          <w:bCs/>
        </w:rPr>
        <w:t xml:space="preserve">&lt; 3 secondes en ligne</w:t>
      </w:r>
      <w:r>
        <w:t xml:space="preserve"> </w:t>
      </w:r>
      <w:r>
        <w:t xml:space="preserve">; statut minimal hors ligne ; chaque consultation journalisée.</w:t>
      </w:r>
    </w:p>
    <w:p>
      <w:pPr>
        <w:pStyle w:val="BodyText"/>
      </w:pPr>
      <w:r>
        <w:rPr>
          <w:b/>
          <w:bCs/>
        </w:rPr>
        <w:t xml:space="preserve">Sécurité du terminal — complément</w:t>
      </w:r>
      <w:r>
        <w:t xml:space="preserve"> </w:t>
      </w:r>
      <w:r>
        <w:t xml:space="preserve">: détection de terminal rooté ou débridé (root/jailbreak) et contrôle d’intégrité de l’application ; fonctions sensibles désactivées sur appareil modifié.</w:t>
      </w:r>
    </w:p>
    <w:bookmarkEnd w:id="449"/>
    <w:bookmarkStart w:id="450" w:name="X0eeee09b6782c7a6e3fd08a155fb10a80d680ca"/>
    <w:p>
      <w:pPr>
        <w:pStyle w:val="Heading3"/>
      </w:pPr>
      <w:r>
        <w:t xml:space="preserve">H.8.2 Sous-traitance terrain : principe et périmètre</w:t>
      </w:r>
    </w:p>
    <w:p>
      <w:pPr>
        <w:pStyle w:val="BlockText"/>
      </w:pPr>
      <w:r>
        <w:rPr>
          <w:b/>
          <w:bCs/>
        </w:rPr>
        <w:t xml:space="preserve">Ni agent, ni sous-traitant, ni responsable de module ne touche l’argent, ne crée de dette hors règle ou ne valide seul ses résultats.</w:t>
      </w:r>
    </w:p>
    <w:p>
      <w:pPr>
        <w:pStyle w:val="FirstParagraph"/>
      </w:pPr>
      <w:r>
        <w:t xml:space="preserve">Modules ouverts à la sous-traitance, sous réserve de J19 : foncier et locatif ; activités et patentes ; véhicules ; stationnement ; publicité ; antennes ; marchés et domaine public ; carrières ; ports et embarcations ; spectacles ; enrôlement assisté ; recouvrement amiable (information, jamais contrainte).</w:t>
      </w:r>
    </w:p>
    <w:bookmarkEnd w:id="450"/>
    <w:bookmarkStart w:id="454" w:name="h.8.3-hiérarchie-à-cinq-niveaux"/>
    <w:p>
      <w:pPr>
        <w:pStyle w:val="Heading3"/>
      </w:pPr>
      <w:r>
        <w:t xml:space="preserve">H.8.3 Hiérarchie à cinq niveaux</w:t>
      </w:r>
    </w:p>
    <w:p>
      <w:pPr>
        <w:pStyle w:val="FirstParagraph"/>
      </w:pPr>
      <w:r>
        <w:drawing>
          <wp:inline>
            <wp:extent cx="6108700" cy="7932970"/>
            <wp:effectExtent b="0" l="0" r="0" t="0"/>
            <wp:docPr descr="" title="" id="452" name="Picture"/>
            <a:graphic>
              <a:graphicData uri="http://schemas.openxmlformats.org/drawingml/2006/picture">
                <pic:pic>
                  <pic:nvPicPr>
                    <pic:cNvPr descr="figures/mermaid/mmd-aa8272a6406e.png" id="453" name="Picture"/>
                    <pic:cNvPicPr>
                      <a:picLocks noChangeArrowheads="1" noChangeAspect="1"/>
                    </pic:cNvPicPr>
                  </pic:nvPicPr>
                  <pic:blipFill>
                    <a:blip r:embed="rId451"/>
                    <a:stretch>
                      <a:fillRect/>
                    </a:stretch>
                  </pic:blipFill>
                  <pic:spPr bwMode="auto">
                    <a:xfrm>
                      <a:off x="0" y="0"/>
                      <a:ext cx="6108700" cy="7932970"/>
                    </a:xfrm>
                    <a:prstGeom prst="rect">
                      <a:avLst/>
                    </a:prstGeom>
                    <a:noFill/>
                    <a:ln w="9525">
                      <a:noFill/>
                      <a:headEnd/>
                      <a:tailEnd/>
                    </a:ln>
                  </pic:spPr>
                </pic:pic>
              </a:graphicData>
            </a:graphic>
          </wp:inline>
        </w:drawing>
      </w:r>
    </w:p>
    <w:p>
      <w:pPr>
        <w:pStyle w:val="BodyText"/>
      </w:pPr>
      <w:r>
        <w:t xml:space="preserve">Un sous-traitant peut intervenir sur plusieurs modules s’il est accrédité pour chacun. Le</w:t>
      </w:r>
      <w:r>
        <w:t xml:space="preserve"> </w:t>
      </w:r>
      <w:r>
        <w:rPr>
          <w:b/>
          <w:bCs/>
        </w:rPr>
        <w:t xml:space="preserve">nombre maximal d’agents par gestionnaire, par zone et par sous-traitant est paramétrable</w:t>
      </w:r>
      <w:r>
        <w:t xml:space="preserve">.</w:t>
      </w:r>
    </w:p>
    <w:bookmarkEnd w:id="454"/>
    <w:bookmarkStart w:id="455" w:name="h.8.4-accréditation-des-sous-traitants"/>
    <w:p>
      <w:pPr>
        <w:pStyle w:val="Heading3"/>
      </w:pPr>
      <w:r>
        <w:t xml:space="preserve">H.8.4 Accréditation des sous-traitants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Étape</w:t>
            </w:r>
          </w:p>
        </w:tc>
        <w:tc>
          <w:tcPr>
            <w:shd w:val="clear" w:color="auto" w:fill="232C6B"/>
          </w:tcPr>
          <w:p>
            <w:pPr>
              <w:pStyle w:val="Compact"/>
            </w:pPr>
            <w:r>
              <w:rPr>
                <w:b/>
                <w:color w:val="FFFFFF"/>
                <w:sz w:val="17"/>
              </w:rPr>
              <w:t xml:space="preserve">Exigence</w:t>
            </w:r>
          </w:p>
        </w:tc>
      </w:tr>
      <w:tr>
        <w:tc>
          <w:tcPr/>
          <w:p>
            <w:pPr>
              <w:pStyle w:val="Compact"/>
            </w:pPr>
            <w:r>
              <w:rPr>
                <w:sz w:val="17"/>
              </w:rPr>
              <w:t xml:space="preserve">Entrée</w:t>
            </w:r>
          </w:p>
        </w:tc>
        <w:tc>
          <w:tcPr/>
          <w:p>
            <w:pPr>
              <w:pStyle w:val="Compact"/>
            </w:pPr>
            <w:r>
              <w:rPr>
                <w:sz w:val="17"/>
              </w:rPr>
              <w:t xml:space="preserve">Invitation par la direction de régie ou le responsable de module</w:t>
            </w:r>
            <w:r>
              <w:rPr>
                <w:sz w:val="17"/>
              </w:rPr>
              <w:t xml:space="preserve"> </w:t>
            </w:r>
            <w:r>
              <w:rPr>
                <w:b/>
                <w:bCs/>
                <w:sz w:val="17"/>
              </w:rPr>
              <w:t xml:space="preserve">après sélection</w:t>
            </w:r>
            <w:r>
              <w:rPr>
                <w:sz w:val="17"/>
              </w:rPr>
              <w:t xml:space="preserve"> </w:t>
            </w:r>
            <w:r>
              <w:rPr>
                <w:sz w:val="17"/>
              </w:rPr>
              <w:t xml:space="preserve">(appel à manifestation d’intérêt ou procédure de passation, hors plateforme) ; aucune inscription libre</w:t>
            </w:r>
          </w:p>
        </w:tc>
      </w:tr>
      <w:tr>
        <w:tc>
          <w:tcPr>
            <w:shd w:val="clear" w:color="auto" w:fill="F5F7FB"/>
          </w:tcPr>
          <w:p>
            <w:pPr>
              <w:pStyle w:val="Compact"/>
            </w:pPr>
            <w:r>
              <w:rPr>
                <w:sz w:val="17"/>
              </w:rPr>
              <w:t xml:space="preserve">Dossier</w:t>
            </w:r>
          </w:p>
        </w:tc>
        <w:tc>
          <w:tcPr>
            <w:shd w:val="clear" w:color="auto" w:fill="F5F7FB"/>
          </w:tcPr>
          <w:p>
            <w:pPr>
              <w:pStyle w:val="Compact"/>
            </w:pPr>
            <w:r>
              <w:rPr>
                <w:sz w:val="17"/>
              </w:rPr>
              <w:t xml:space="preserve">Raison sociale, RCCM, NIF, dirigeants et pièces, références, capacité (effectifs, équipements), modules visés</w:t>
            </w:r>
          </w:p>
        </w:tc>
      </w:tr>
      <w:tr>
        <w:tc>
          <w:tcPr/>
          <w:p>
            <w:pPr>
              <w:pStyle w:val="Compact"/>
            </w:pPr>
            <w:r>
              <w:rPr>
                <w:sz w:val="17"/>
              </w:rPr>
              <w:t xml:space="preserve">Diligence</w:t>
            </w:r>
          </w:p>
        </w:tc>
        <w:tc>
          <w:tcPr/>
          <w:p>
            <w:pPr>
              <w:pStyle w:val="Compact"/>
            </w:pPr>
            <w:r>
              <w:rPr>
                <w:sz w:val="17"/>
              </w:rPr>
              <w:t xml:space="preserve">Existence légale,</w:t>
            </w:r>
            <w:r>
              <w:rPr>
                <w:sz w:val="17"/>
              </w:rPr>
              <w:t xml:space="preserve"> </w:t>
            </w:r>
            <w:r>
              <w:rPr>
                <w:b/>
                <w:bCs/>
                <w:sz w:val="17"/>
              </w:rPr>
              <w:t xml:space="preserve">quitus fiscal à jour</w:t>
            </w:r>
            <w:r>
              <w:rPr>
                <w:sz w:val="17"/>
              </w:rPr>
              <w:t xml:space="preserve">, absence de conflit d’intérêts, déclaration des liens avec des agents publics (module 91)</w:t>
            </w:r>
          </w:p>
        </w:tc>
      </w:tr>
      <w:tr>
        <w:tc>
          <w:tcPr>
            <w:shd w:val="clear" w:color="auto" w:fill="F5F7FB"/>
          </w:tcPr>
          <w:p>
            <w:pPr>
              <w:pStyle w:val="Compact"/>
            </w:pPr>
            <w:r>
              <w:rPr>
                <w:sz w:val="17"/>
              </w:rPr>
              <w:t xml:space="preserve">Décision</w:t>
            </w:r>
          </w:p>
        </w:tc>
        <w:tc>
          <w:tcPr>
            <w:shd w:val="clear" w:color="auto" w:fill="F5F7FB"/>
          </w:tcPr>
          <w:p>
            <w:pPr>
              <w:pStyle w:val="Compact"/>
            </w:pPr>
            <w:r>
              <w:rPr>
                <w:sz w:val="17"/>
              </w:rPr>
              <w:t xml:space="preserve">Accréditation en maker-checker,</w:t>
            </w:r>
            <w:r>
              <w:rPr>
                <w:sz w:val="17"/>
              </w:rPr>
              <w:t xml:space="preserve"> </w:t>
            </w:r>
            <w:r>
              <w:rPr>
                <w:b/>
                <w:bCs/>
                <w:sz w:val="17"/>
              </w:rPr>
              <w:t xml:space="preserve">par module, pour une durée limitée, avec période probatoire sur un lot réduit</w:t>
            </w:r>
          </w:p>
        </w:tc>
      </w:tr>
      <w:tr>
        <w:tc>
          <w:tcPr/>
          <w:p>
            <w:pPr>
              <w:pStyle w:val="Compact"/>
            </w:pPr>
            <w:r>
              <w:rPr>
                <w:sz w:val="17"/>
              </w:rPr>
              <w:t xml:space="preserve">Convention</w:t>
            </w:r>
          </w:p>
        </w:tc>
        <w:tc>
          <w:tcPr/>
          <w:p>
            <w:pPr>
              <w:pStyle w:val="Compact"/>
            </w:pPr>
            <w:r>
              <w:rPr>
                <w:sz w:val="17"/>
              </w:rPr>
              <w:t xml:space="preserve">Périmètre ; confidentialité ; clauses de sous-traitant de données ; interdictions (encaissement, auto-validation) ; qualité ; pénalités ; restitution et destruction des données en fin de mission</w:t>
            </w:r>
          </w:p>
        </w:tc>
      </w:tr>
      <w:tr>
        <w:tc>
          <w:tcPr>
            <w:shd w:val="clear" w:color="auto" w:fill="F5F7FB"/>
          </w:tcPr>
          <w:p>
            <w:pPr>
              <w:pStyle w:val="Compact"/>
            </w:pPr>
            <w:r>
              <w:rPr>
                <w:sz w:val="17"/>
              </w:rPr>
              <w:t xml:space="preserve">Suivi</w:t>
            </w:r>
          </w:p>
        </w:tc>
        <w:tc>
          <w:tcPr>
            <w:shd w:val="clear" w:color="auto" w:fill="F5F7FB"/>
          </w:tcPr>
          <w:p>
            <w:pPr>
              <w:pStyle w:val="Compact"/>
            </w:pPr>
            <w:r>
              <w:rPr>
                <w:sz w:val="17"/>
              </w:rPr>
              <w:t xml:space="preserve">Note de qualité ; rotation des zones ; renouvellement ou retrait motivé</w:t>
            </w:r>
          </w:p>
        </w:tc>
      </w:tr>
      <w:tr>
        <w:tc>
          <w:tcPr/>
          <w:p>
            <w:pPr>
              <w:pStyle w:val="Compact"/>
            </w:pPr>
            <w:r>
              <w:rPr>
                <w:sz w:val="17"/>
              </w:rPr>
              <w:t xml:space="preserve">États</w:t>
            </w:r>
          </w:p>
        </w:tc>
        <w:tc>
          <w:tcPr/>
          <w:p>
            <w:pPr>
              <w:pStyle w:val="Compact"/>
            </w:pPr>
            <w:r>
              <w:rPr>
                <w:rStyle w:val="VerbatimChar"/>
                <w:sz w:val="17"/>
              </w:rPr>
              <w:t xml:space="preserve">INVITÉ</w:t>
            </w:r>
            <w:r>
              <w:rPr>
                <w:sz w:val="17"/>
              </w:rPr>
              <w:t xml:space="preserve"> </w:t>
            </w:r>
            <w:r>
              <w:rPr>
                <w:sz w:val="17"/>
              </w:rPr>
              <w:t xml:space="preserve">→</w:t>
            </w:r>
            <w:r>
              <w:rPr>
                <w:sz w:val="17"/>
              </w:rPr>
              <w:t xml:space="preserve"> </w:t>
            </w:r>
            <w:r>
              <w:rPr>
                <w:rStyle w:val="VerbatimChar"/>
                <w:sz w:val="17"/>
              </w:rPr>
              <w:t xml:space="preserve">EN_DILIGENCE</w:t>
            </w:r>
            <w:r>
              <w:rPr>
                <w:sz w:val="17"/>
              </w:rPr>
              <w:t xml:space="preserve"> </w:t>
            </w:r>
            <w:r>
              <w:rPr>
                <w:sz w:val="17"/>
              </w:rPr>
              <w:t xml:space="preserve">→</w:t>
            </w:r>
            <w:r>
              <w:rPr>
                <w:sz w:val="17"/>
              </w:rPr>
              <w:t xml:space="preserve"> </w:t>
            </w:r>
            <w:r>
              <w:rPr>
                <w:rStyle w:val="VerbatimChar"/>
                <w:sz w:val="17"/>
              </w:rPr>
              <w:t xml:space="preserve">ACCRÉDITÉ_PROBATOIRE</w:t>
            </w:r>
            <w:r>
              <w:rPr>
                <w:sz w:val="17"/>
              </w:rPr>
              <w:t xml:space="preserve"> </w:t>
            </w:r>
            <w:r>
              <w:rPr>
                <w:sz w:val="17"/>
              </w:rPr>
              <w:t xml:space="preserve">→</w:t>
            </w:r>
            <w:r>
              <w:rPr>
                <w:sz w:val="17"/>
              </w:rPr>
              <w:t xml:space="preserve"> </w:t>
            </w:r>
            <w:r>
              <w:rPr>
                <w:rStyle w:val="VerbatimChar"/>
                <w:sz w:val="17"/>
              </w:rPr>
              <w:t xml:space="preserve">ACCRÉDITÉ</w:t>
            </w:r>
            <w:r>
              <w:rPr>
                <w:sz w:val="17"/>
              </w:rPr>
              <w:t xml:space="preserve"> </w:t>
            </w:r>
            <w:r>
              <w:rPr>
                <w:sz w:val="17"/>
              </w:rPr>
              <w:t xml:space="preserve">→</w:t>
            </w:r>
            <w:r>
              <w:rPr>
                <w:sz w:val="17"/>
              </w:rPr>
              <w:t xml:space="preserve"> </w:t>
            </w:r>
            <w:r>
              <w:rPr>
                <w:rStyle w:val="VerbatimChar"/>
                <w:sz w:val="17"/>
              </w:rPr>
              <w:t xml:space="preserve">SUSPENDU</w:t>
            </w:r>
            <w:r>
              <w:rPr>
                <w:sz w:val="17"/>
              </w:rPr>
              <w:t xml:space="preserve"> </w:t>
            </w:r>
            <w:r>
              <w:rPr>
                <w:sz w:val="17"/>
              </w:rPr>
              <w:t xml:space="preserve">/</w:t>
            </w:r>
            <w:r>
              <w:rPr>
                <w:sz w:val="17"/>
              </w:rPr>
              <w:t xml:space="preserve"> </w:t>
            </w:r>
            <w:r>
              <w:rPr>
                <w:rStyle w:val="VerbatimChar"/>
                <w:sz w:val="17"/>
              </w:rPr>
              <w:t xml:space="preserve">RETIRÉ</w:t>
            </w:r>
          </w:p>
        </w:tc>
      </w:tr>
    </w:tbl>
    <w:bookmarkEnd w:id="455"/>
    <w:bookmarkStart w:id="456" w:name="Xa96fba5511eaa2f4a0ab2ad9179daf4ea70fe46"/>
    <w:p>
      <w:pPr>
        <w:pStyle w:val="Heading3"/>
      </w:pPr>
      <w:r>
        <w:t xml:space="preserve">H.8.5 Gestion des agents et contrôle qualité</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Exigence</w:t>
            </w:r>
          </w:p>
        </w:tc>
        <w:tc>
          <w:tcPr>
            <w:shd w:val="clear" w:color="auto" w:fill="232C6B"/>
          </w:tcPr>
          <w:p>
            <w:pPr>
              <w:pStyle w:val="Compact"/>
            </w:pPr>
            <w:r>
              <w:rPr>
                <w:b/>
                <w:color w:val="FFFFFF"/>
                <w:sz w:val="17"/>
              </w:rPr>
              <w:t xml:space="preserve">Détail</w:t>
            </w:r>
          </w:p>
        </w:tc>
      </w:tr>
      <w:tr>
        <w:tc>
          <w:tcPr/>
          <w:p>
            <w:pPr>
              <w:pStyle w:val="Compact"/>
            </w:pPr>
            <w:r>
              <w:rPr>
                <w:sz w:val="17"/>
              </w:rPr>
              <w:t xml:space="preserve">Comptes</w:t>
            </w:r>
          </w:p>
        </w:tc>
        <w:tc>
          <w:tcPr/>
          <w:p>
            <w:pPr>
              <w:pStyle w:val="Compact"/>
            </w:pPr>
            <w:r>
              <w:rPr>
                <w:sz w:val="17"/>
              </w:rPr>
              <w:t xml:space="preserve">Invités par leur gestionnaire ; nominatifs ;</w:t>
            </w:r>
            <w:r>
              <w:rPr>
                <w:sz w:val="17"/>
              </w:rPr>
              <w:t xml:space="preserve"> </w:t>
            </w:r>
            <w:r>
              <w:rPr>
                <w:b/>
                <w:bCs/>
                <w:sz w:val="17"/>
              </w:rPr>
              <w:t xml:space="preserve">aucun compte partagé</w:t>
            </w:r>
          </w:p>
        </w:tc>
      </w:tr>
      <w:tr>
        <w:tc>
          <w:tcPr>
            <w:shd w:val="clear" w:color="auto" w:fill="F5F7FB"/>
          </w:tcPr>
          <w:p>
            <w:pPr>
              <w:pStyle w:val="Compact"/>
            </w:pPr>
            <w:r>
              <w:rPr>
                <w:sz w:val="17"/>
              </w:rPr>
              <w:t xml:space="preserve">Activation</w:t>
            </w:r>
          </w:p>
        </w:tc>
        <w:tc>
          <w:tcPr>
            <w:shd w:val="clear" w:color="auto" w:fill="F5F7FB"/>
          </w:tcPr>
          <w:p>
            <w:pPr>
              <w:pStyle w:val="Compact"/>
            </w:pPr>
            <w:r>
              <w:rPr>
                <w:sz w:val="17"/>
              </w:rPr>
              <w:t xml:space="preserve">Seulement après</w:t>
            </w:r>
            <w:r>
              <w:rPr>
                <w:sz w:val="17"/>
              </w:rPr>
              <w:t xml:space="preserve"> </w:t>
            </w:r>
            <w:r>
              <w:rPr>
                <w:b/>
                <w:bCs/>
                <w:sz w:val="17"/>
              </w:rPr>
              <w:t xml:space="preserve">habilitation par la régie</w:t>
            </w:r>
            <w:r>
              <w:rPr>
                <w:sz w:val="17"/>
              </w:rPr>
              <w:t xml:space="preserve"> </w:t>
            </w:r>
            <w:r>
              <w:rPr>
                <w:sz w:val="17"/>
              </w:rPr>
              <w:t xml:space="preserve">: identité vérifiée, certification de formation (module 50 bloque l’habilitation d’un agent non certifié), engagement déontologique signé, liaison à un terminal enrôlé</w:t>
            </w:r>
          </w:p>
        </w:tc>
      </w:tr>
      <w:tr>
        <w:tc>
          <w:tcPr/>
          <w:p>
            <w:pPr>
              <w:pStyle w:val="Compact"/>
            </w:pPr>
            <w:r>
              <w:rPr>
                <w:sz w:val="17"/>
              </w:rPr>
              <w:t xml:space="preserve">Missions</w:t>
            </w:r>
          </w:p>
        </w:tc>
        <w:tc>
          <w:tcPr/>
          <w:p>
            <w:pPr>
              <w:pStyle w:val="Compact"/>
            </w:pPr>
            <w:r>
              <w:rPr>
                <w:sz w:val="17"/>
              </w:rPr>
              <w:t xml:space="preserve">Réparties dans la zone et la période attribuées ;</w:t>
            </w:r>
            <w:r>
              <w:rPr>
                <w:sz w:val="17"/>
              </w:rPr>
              <w:t xml:space="preserve"> </w:t>
            </w:r>
            <w:r>
              <w:rPr>
                <w:b/>
                <w:bCs/>
                <w:sz w:val="17"/>
              </w:rPr>
              <w:t xml:space="preserve">aucune mission hors lot</w:t>
            </w:r>
            <w:r>
              <w:rPr>
                <w:sz w:val="17"/>
              </w:rPr>
              <w:t xml:space="preserve"> </w:t>
            </w:r>
            <w:r>
              <w:rPr>
                <w:sz w:val="17"/>
              </w:rPr>
              <w:t xml:space="preserve">(refus technique)</w:t>
            </w:r>
          </w:p>
        </w:tc>
      </w:tr>
      <w:tr>
        <w:tc>
          <w:tcPr>
            <w:shd w:val="clear" w:color="auto" w:fill="F5F7FB"/>
          </w:tcPr>
          <w:p>
            <w:pPr>
              <w:pStyle w:val="Compact"/>
            </w:pPr>
            <w:r>
              <w:rPr>
                <w:sz w:val="17"/>
              </w:rPr>
              <w:t xml:space="preserve">Suivi</w:t>
            </w:r>
          </w:p>
        </w:tc>
        <w:tc>
          <w:tcPr>
            <w:shd w:val="clear" w:color="auto" w:fill="F5F7FB"/>
          </w:tcPr>
          <w:p>
            <w:pPr>
              <w:pStyle w:val="Compact"/>
            </w:pPr>
            <w:r>
              <w:rPr>
                <w:sz w:val="17"/>
              </w:rPr>
              <w:t xml:space="preserve">Production, qualité, rejets, alertes en temps réel ; suspension conservatoire immédiate sur décision motivée</w:t>
            </w:r>
          </w:p>
        </w:tc>
      </w:tr>
      <w:tr>
        <w:tc>
          <w:tcPr/>
          <w:p>
            <w:pPr>
              <w:pStyle w:val="Compact"/>
            </w:pPr>
            <w:r>
              <w:rPr>
                <w:sz w:val="17"/>
              </w:rPr>
              <w:t xml:space="preserve">Sortie</w:t>
            </w:r>
          </w:p>
        </w:tc>
        <w:tc>
          <w:tcPr/>
          <w:p>
            <w:pPr>
              <w:pStyle w:val="Compact"/>
            </w:pPr>
            <w:r>
              <w:rPr>
                <w:sz w:val="17"/>
              </w:rPr>
              <w:t xml:space="preserve">Révocation + effacement à distance du terminal ; la suspension d’un sous-traitant révoque tous ses agents</w:t>
            </w:r>
          </w:p>
        </w:tc>
      </w:tr>
      <w:tr>
        <w:tc>
          <w:tcPr>
            <w:shd w:val="clear" w:color="auto" w:fill="F5F7FB"/>
          </w:tcPr>
          <w:p>
            <w:pPr>
              <w:pStyle w:val="Compact"/>
            </w:pPr>
            <w:r>
              <w:rPr>
                <w:sz w:val="17"/>
              </w:rPr>
              <w:t xml:space="preserve">Contrôle qualité</w:t>
            </w:r>
          </w:p>
        </w:tc>
        <w:tc>
          <w:tcPr>
            <w:shd w:val="clear" w:color="auto" w:fill="F5F7FB"/>
          </w:tcPr>
          <w:p>
            <w:pPr>
              <w:pStyle w:val="Compact"/>
            </w:pPr>
            <w:r>
              <w:rPr>
                <w:sz w:val="17"/>
              </w:rPr>
              <w:t xml:space="preserve">Indépendant de la régie : ré-inspection d’un échantillon aléatoire (≥ 5 %, et 100 % des cas à risque, § 15.3), intégrité GPS et photo (hachage), doublons, objets fictifs</w:t>
            </w:r>
          </w:p>
        </w:tc>
      </w:tr>
      <w:tr>
        <w:tc>
          <w:tcPr/>
          <w:p>
            <w:pPr>
              <w:pStyle w:val="Compact"/>
            </w:pPr>
            <w:r>
              <w:rPr>
                <w:sz w:val="17"/>
              </w:rPr>
              <w:t xml:space="preserve">Tableau de qualité</w:t>
            </w:r>
          </w:p>
        </w:tc>
        <w:tc>
          <w:tcPr/>
          <w:p>
            <w:pPr>
              <w:pStyle w:val="Compact"/>
            </w:pPr>
            <w:r>
              <w:rPr>
                <w:sz w:val="17"/>
              </w:rPr>
              <w:t xml:space="preserve">Par agent, équipe, sous-traitant : taux de rejet, taux d’objets confirmés, contestations, anomalies, délais</w:t>
            </w:r>
          </w:p>
        </w:tc>
      </w:tr>
      <w:tr>
        <w:tc>
          <w:tcPr>
            <w:shd w:val="clear" w:color="auto" w:fill="F5F7FB"/>
          </w:tcPr>
          <w:p>
            <w:pPr>
              <w:pStyle w:val="Compact"/>
            </w:pPr>
            <w:r>
              <w:rPr>
                <w:sz w:val="17"/>
              </w:rPr>
              <w:t xml:space="preserve">Rotation</w:t>
            </w:r>
          </w:p>
        </w:tc>
        <w:tc>
          <w:tcPr>
            <w:shd w:val="clear" w:color="auto" w:fill="F5F7FB"/>
          </w:tcPr>
          <w:p>
            <w:pPr>
              <w:pStyle w:val="Compact"/>
            </w:pPr>
            <w:r>
              <w:rPr>
                <w:sz w:val="17"/>
              </w:rPr>
              <w:t xml:space="preserve">Rotation périodique des zones ;</w:t>
            </w:r>
            <w:r>
              <w:rPr>
                <w:sz w:val="17"/>
              </w:rPr>
              <w:t xml:space="preserve"> </w:t>
            </w:r>
            <w:r>
              <w:rPr>
                <w:b/>
                <w:bCs/>
                <w:sz w:val="17"/>
              </w:rPr>
              <w:t xml:space="preserve">interdiction d’affecter un agent à sa propre rue ou aux objets de ses proches</w:t>
            </w:r>
          </w:p>
        </w:tc>
      </w:tr>
      <w:tr>
        <w:tc>
          <w:tcPr/>
          <w:p>
            <w:pPr>
              <w:pStyle w:val="Compact"/>
            </w:pPr>
            <w:r>
              <w:rPr>
                <w:sz w:val="17"/>
              </w:rPr>
              <w:t xml:space="preserve">Identification</w:t>
            </w:r>
          </w:p>
        </w:tc>
        <w:tc>
          <w:tcPr/>
          <w:p>
            <w:pPr>
              <w:pStyle w:val="Compact"/>
            </w:pPr>
            <w:r>
              <w:rPr>
                <w:sz w:val="17"/>
              </w:rPr>
              <w:t xml:space="preserve">Badge photo + QR signé + code court ; vérification par scan, SMS, SVI (habilitation, module, zone, période, structure) ; agent non vérifiable → signalement (module 69)</w:t>
            </w:r>
          </w:p>
        </w:tc>
      </w:tr>
    </w:tbl>
    <w:bookmarkEnd w:id="456"/>
    <w:bookmarkStart w:id="457" w:name="X117c1b89f5053cd89d2cb7f2ab7ae422d2bb4bf"/>
    <w:p>
      <w:pPr>
        <w:pStyle w:val="Heading3"/>
      </w:pPr>
      <w:r>
        <w:t xml:space="preserve">H.8.6 Rémunération des sous-traitants (réécrite selon RW6)</w:t>
      </w:r>
    </w:p>
    <w:p>
      <w:pPr>
        <w:pStyle w:val="FirstParagraph"/>
      </w:pPr>
      <w:r>
        <w:t xml:space="preserve">La source prévoyait une rémunération prélevée sur une « réserve de 10 % » des recettes (ARB-11). Position retenue :</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Élément</w:t>
            </w:r>
          </w:p>
        </w:tc>
        <w:tc>
          <w:tcPr>
            <w:shd w:val="clear" w:color="auto" w:fill="232C6B"/>
          </w:tcPr>
          <w:p>
            <w:pPr>
              <w:pStyle w:val="Compact"/>
            </w:pPr>
            <w:r>
              <w:rPr>
                <w:b/>
                <w:color w:val="FFFFFF"/>
                <w:sz w:val="17"/>
              </w:rPr>
              <w:t xml:space="preserve">Règle</w:t>
            </w:r>
          </w:p>
        </w:tc>
      </w:tr>
      <w:tr>
        <w:tc>
          <w:tcPr/>
          <w:p>
            <w:pPr>
              <w:pStyle w:val="Compact"/>
            </w:pPr>
            <w:r>
              <w:rPr>
                <w:sz w:val="17"/>
              </w:rPr>
              <w:t xml:space="preserve">Base</w:t>
            </w:r>
          </w:p>
        </w:tc>
        <w:tc>
          <w:tcPr/>
          <w:p>
            <w:pPr>
              <w:pStyle w:val="Compact"/>
            </w:pPr>
            <w:r>
              <w:rPr>
                <w:b/>
                <w:bCs/>
                <w:sz w:val="17"/>
              </w:rPr>
              <w:t xml:space="preserve">Livrables vérifiés</w:t>
            </w:r>
            <w:r>
              <w:rPr>
                <w:sz w:val="17"/>
              </w:rPr>
              <w:t xml:space="preserve"> </w:t>
            </w:r>
            <w:r>
              <w:rPr>
                <w:sz w:val="17"/>
              </w:rPr>
              <w:t xml:space="preserve">: objets confirmés après contrôle qualité, enrôlements valides, missions réalisées à temps</w:t>
            </w:r>
          </w:p>
        </w:tc>
      </w:tr>
      <w:tr>
        <w:tc>
          <w:tcPr>
            <w:shd w:val="clear" w:color="auto" w:fill="F5F7FB"/>
          </w:tcPr>
          <w:p>
            <w:pPr>
              <w:pStyle w:val="Compact"/>
            </w:pPr>
            <w:r>
              <w:rPr>
                <w:sz w:val="17"/>
              </w:rPr>
              <w:t xml:space="preserve">Prix</w:t>
            </w:r>
          </w:p>
        </w:tc>
        <w:tc>
          <w:tcPr>
            <w:shd w:val="clear" w:color="auto" w:fill="F5F7FB"/>
          </w:tcPr>
          <w:p>
            <w:pPr>
              <w:pStyle w:val="Compact"/>
            </w:pPr>
            <w:r>
              <w:rPr>
                <w:sz w:val="17"/>
              </w:rPr>
              <w:t xml:space="preserve">Prix unitaires fixés au contrat, après mise en concurrence ;</w:t>
            </w:r>
            <w:r>
              <w:rPr>
                <w:sz w:val="17"/>
              </w:rPr>
              <w:t xml:space="preserve"> </w:t>
            </w:r>
            <w:r>
              <w:rPr>
                <w:b/>
                <w:bCs/>
                <w:sz w:val="17"/>
              </w:rPr>
              <w:t xml:space="preserve">jamais un pourcentage des recettes</w:t>
            </w:r>
            <w:r>
              <w:rPr>
                <w:sz w:val="17"/>
              </w:rPr>
              <w:t xml:space="preserve"> </w:t>
            </w:r>
            <w:r>
              <w:rPr>
                <w:sz w:val="17"/>
              </w:rPr>
              <w:t xml:space="preserve">ni un montant lié au montant liquidé</w:t>
            </w:r>
          </w:p>
        </w:tc>
      </w:tr>
      <w:tr>
        <w:tc>
          <w:tcPr/>
          <w:p>
            <w:pPr>
              <w:pStyle w:val="Compact"/>
            </w:pPr>
            <w:r>
              <w:rPr>
                <w:sz w:val="17"/>
              </w:rPr>
              <w:t xml:space="preserve">Paiement</w:t>
            </w:r>
          </w:p>
        </w:tc>
        <w:tc>
          <w:tcPr/>
          <w:p>
            <w:pPr>
              <w:pStyle w:val="Compact"/>
            </w:pPr>
            <w:r>
              <w:rPr>
                <w:sz w:val="17"/>
              </w:rPr>
              <w:t xml:space="preserve">Sur crédit budgétaire, après certification des livrables par la régie</w:t>
            </w:r>
          </w:p>
        </w:tc>
      </w:tr>
      <w:tr>
        <w:tc>
          <w:tcPr>
            <w:shd w:val="clear" w:color="auto" w:fill="F5F7FB"/>
          </w:tcPr>
          <w:p>
            <w:pPr>
              <w:pStyle w:val="Compact"/>
            </w:pPr>
            <w:r>
              <w:rPr>
                <w:sz w:val="17"/>
              </w:rPr>
              <w:t xml:space="preserve">Récupération</w:t>
            </w:r>
          </w:p>
        </w:tc>
        <w:tc>
          <w:tcPr>
            <w:shd w:val="clear" w:color="auto" w:fill="F5F7FB"/>
          </w:tcPr>
          <w:p>
            <w:pPr>
              <w:pStyle w:val="Compact"/>
            </w:pPr>
            <w:r>
              <w:rPr>
                <w:sz w:val="17"/>
              </w:rPr>
              <w:t xml:space="preserve">Récupération des sommes versées pour des objets fictifs ou des constats frauduleux ; pénalités contractuelles</w:t>
            </w:r>
          </w:p>
        </w:tc>
      </w:tr>
      <w:tr>
        <w:tc>
          <w:tcPr/>
          <w:p>
            <w:pPr>
              <w:pStyle w:val="Compact"/>
            </w:pPr>
            <w:r>
              <w:rPr>
                <w:sz w:val="17"/>
              </w:rPr>
              <w:t xml:space="preserve">Critère</w:t>
            </w:r>
          </w:p>
        </w:tc>
        <w:tc>
          <w:tcPr/>
          <w:p>
            <w:pPr>
              <w:pStyle w:val="Compact"/>
            </w:pPr>
            <w:r>
              <w:rPr>
                <w:sz w:val="17"/>
              </w:rPr>
              <w:t xml:space="preserve">AC-SUB-01 : un agent invité par un sous-traitant n’agit qu’après habilitation par la régie, dans la zone et la période du lot ; aucun constat ne produit d’obligation sans validation indépendante</w:t>
            </w:r>
          </w:p>
        </w:tc>
      </w:tr>
    </w:tbl>
    <w:bookmarkEnd w:id="457"/>
    <w:bookmarkEnd w:id="458"/>
    <w:bookmarkStart w:id="463" w:name="X43df1b2d4f5ccf11051071cb8da56bc93789a72"/>
    <w:p>
      <w:pPr>
        <w:pStyle w:val="Heading2"/>
      </w:pPr>
      <w:r>
        <w:t xml:space="preserve">H.9 Chapitres 16 et 17 — Foncier, plaque fiscale immobilière et cadastre</w:t>
      </w:r>
    </w:p>
    <w:bookmarkStart w:id="459" w:name="h.9.1-plaque-fiscale-immobilière-nfiu"/>
    <w:p>
      <w:pPr>
        <w:pStyle w:val="Heading3"/>
      </w:pPr>
      <w:r>
        <w:t xml:space="preserve">H.9.1 Plaque fiscale immobilière (NFIU)</w:t>
      </w:r>
    </w:p>
    <w:p>
      <w:pPr>
        <w:pStyle w:val="FirstParagraph"/>
      </w:pPr>
      <w:r>
        <w:t xml:space="preserve">La v3.0 (§ 16.8) prévoit une plaque par bâtiment. Le dossier source NFIU (Numéro Fiscal Immobilier Unique) est intégré comme suit :</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Aspect</w:t>
            </w:r>
          </w:p>
        </w:tc>
        <w:tc>
          <w:tcPr>
            <w:shd w:val="clear" w:color="auto" w:fill="232C6B"/>
          </w:tcPr>
          <w:p>
            <w:pPr>
              <w:pStyle w:val="Compact"/>
            </w:pPr>
            <w:r>
              <w:rPr>
                <w:b/>
                <w:color w:val="FFFFFF"/>
                <w:sz w:val="17"/>
              </w:rPr>
              <w:t xml:space="preserve">Exigence intégrée</w:t>
            </w:r>
          </w:p>
        </w:tc>
        <w:tc>
          <w:tcPr>
            <w:shd w:val="clear" w:color="auto" w:fill="232C6B"/>
          </w:tcPr>
          <w:p>
            <w:pPr>
              <w:pStyle w:val="Compact"/>
            </w:pPr>
            <w:r>
              <w:rPr>
                <w:b/>
                <w:color w:val="FFFFFF"/>
                <w:sz w:val="17"/>
              </w:rPr>
              <w:t xml:space="preserve">Statut</w:t>
            </w:r>
          </w:p>
        </w:tc>
      </w:tr>
      <w:tr>
        <w:tc>
          <w:tcPr/>
          <w:p>
            <w:pPr>
              <w:pStyle w:val="Compact"/>
            </w:pPr>
            <w:r>
              <w:rPr>
                <w:sz w:val="17"/>
              </w:rPr>
              <w:t xml:space="preserve">Plaque</w:t>
            </w:r>
          </w:p>
        </w:tc>
        <w:tc>
          <w:tcPr/>
          <w:p>
            <w:pPr>
              <w:pStyle w:val="Compact"/>
            </w:pPr>
            <w:r>
              <w:rPr>
                <w:sz w:val="17"/>
              </w:rPr>
              <w:t xml:space="preserve">Plaque officielle normalisée et visible : NFIU (= code territorial lisible de l’IGF, § 17.3), QR signé, code court, commune, quartier, logo de la Ville ; identité fiscale permanente du bien</w:t>
            </w:r>
          </w:p>
        </w:tc>
        <w:tc>
          <w:tcPr/>
          <w:p>
            <w:pPr>
              <w:pStyle w:val="Compact"/>
            </w:pPr>
            <w:r>
              <w:rPr>
                <w:sz w:val="17"/>
              </w:rPr>
              <w:t xml:space="preserve">Pose [ACTE REQUIS J27] pour l’obligation ; pose administrative possible avant</w:t>
            </w:r>
          </w:p>
        </w:tc>
      </w:tr>
      <w:tr>
        <w:tc>
          <w:tcPr>
            <w:shd w:val="clear" w:color="auto" w:fill="F5F7FB"/>
          </w:tcPr>
          <w:p>
            <w:pPr>
              <w:pStyle w:val="Compact"/>
            </w:pPr>
            <w:r>
              <w:rPr>
                <w:sz w:val="17"/>
              </w:rPr>
              <w:t xml:space="preserve">Scan par un agent habilité</w:t>
            </w:r>
          </w:p>
        </w:tc>
        <w:tc>
          <w:tcPr>
            <w:shd w:val="clear" w:color="auto" w:fill="F5F7FB"/>
          </w:tcPr>
          <w:p>
            <w:pPr>
              <w:pStyle w:val="Compact"/>
            </w:pPr>
            <w:r>
              <w:rPr>
                <w:sz w:val="17"/>
              </w:rPr>
              <w:t xml:space="preserve">Identifiant, localisation, statut d’occupation (occupé par le propriétaire / mis en bail), couleur de situation IF et IRL, dernier constat ;</w:t>
            </w:r>
            <w:r>
              <w:rPr>
                <w:sz w:val="17"/>
              </w:rPr>
              <w:t xml:space="preserve"> </w:t>
            </w:r>
            <w:r>
              <w:rPr>
                <w:b/>
                <w:bCs/>
                <w:sz w:val="17"/>
              </w:rPr>
              <w:t xml:space="preserve">aucun montant modifiable, aucune négociation, aucune estimation manuelle</w:t>
            </w:r>
          </w:p>
        </w:tc>
        <w:tc>
          <w:tcPr>
            <w:shd w:val="clear" w:color="auto" w:fill="F5F7FB"/>
          </w:tcPr>
          <w:p>
            <w:pPr>
              <w:pStyle w:val="Compact"/>
            </w:pPr>
            <w:r>
              <w:rPr>
                <w:sz w:val="17"/>
              </w:rPr>
              <w:t xml:space="preserve">Conforme § 15.1</w:t>
            </w:r>
          </w:p>
        </w:tc>
      </w:tr>
      <w:tr>
        <w:tc>
          <w:tcPr/>
          <w:p>
            <w:pPr>
              <w:pStyle w:val="Compact"/>
            </w:pPr>
            <w:r>
              <w:rPr>
                <w:sz w:val="17"/>
              </w:rPr>
              <w:t xml:space="preserve">Scan public</w:t>
            </w:r>
          </w:p>
        </w:tc>
        <w:tc>
          <w:tcPr/>
          <w:p>
            <w:pPr>
              <w:pStyle w:val="Compact"/>
            </w:pPr>
            <w:r>
              <w:rPr>
                <w:sz w:val="17"/>
              </w:rPr>
              <w:t xml:space="preserve">« Plaque authentique, bâtiment enregistré, commune, quartier » et</w:t>
            </w:r>
            <w:r>
              <w:rPr>
                <w:sz w:val="17"/>
              </w:rPr>
              <w:t xml:space="preserve"> </w:t>
            </w:r>
            <w:r>
              <w:rPr>
                <w:b/>
                <w:bCs/>
                <w:sz w:val="17"/>
              </w:rPr>
              <w:t xml:space="preserve">couleur de situation fiscale</w:t>
            </w:r>
            <w:r>
              <w:rPr>
                <w:sz w:val="17"/>
              </w:rPr>
              <w:t xml:space="preserve"> </w:t>
            </w:r>
            <w:r>
              <w:rPr>
                <w:sz w:val="17"/>
              </w:rPr>
              <w:t xml:space="preserve">avec légende générique, sans nom, adresse précise ni montant (§ 16.8)</w:t>
            </w:r>
          </w:p>
        </w:tc>
        <w:tc>
          <w:tcPr/>
          <w:p>
            <w:pPr>
              <w:pStyle w:val="Compact"/>
            </w:pPr>
            <w:r>
              <w:rPr>
                <w:b/>
                <w:bCs/>
                <w:sz w:val="17"/>
              </w:rPr>
              <w:t xml:space="preserve">La source prévaut</w:t>
            </w:r>
            <w:r>
              <w:rPr>
                <w:sz w:val="17"/>
              </w:rPr>
              <w:t xml:space="preserve"> </w:t>
            </w:r>
            <w:r>
              <w:rPr>
                <w:sz w:val="17"/>
              </w:rPr>
              <w:t xml:space="preserve">(décision de la Ville, ARB-76 révisé)</w:t>
            </w:r>
          </w:p>
        </w:tc>
      </w:tr>
      <w:tr>
        <w:tc>
          <w:tcPr>
            <w:shd w:val="clear" w:color="auto" w:fill="F5F7FB"/>
          </w:tcPr>
          <w:p>
            <w:pPr>
              <w:pStyle w:val="Compact"/>
            </w:pPr>
            <w:r>
              <w:rPr>
                <w:sz w:val="17"/>
              </w:rPr>
              <w:t xml:space="preserve">Propriétaire</w:t>
            </w:r>
          </w:p>
        </w:tc>
        <w:tc>
          <w:tcPr>
            <w:shd w:val="clear" w:color="auto" w:fill="F5F7FB"/>
          </w:tcPr>
          <w:p>
            <w:pPr>
              <w:pStyle w:val="Compact"/>
            </w:pPr>
            <w:r>
              <w:rPr>
                <w:sz w:val="17"/>
              </w:rPr>
              <w:t xml:space="preserve">Application et portail : statut, loyer déclaré, obligations, paiement ;</w:t>
            </w:r>
            <w:r>
              <w:rPr>
                <w:sz w:val="17"/>
              </w:rPr>
              <w:t xml:space="preserve"> </w:t>
            </w:r>
            <w:r>
              <w:rPr>
                <w:b/>
                <w:bCs/>
                <w:sz w:val="17"/>
              </w:rPr>
              <w:t xml:space="preserve">sans smartphone</w:t>
            </w:r>
            <w:r>
              <w:rPr>
                <w:sz w:val="17"/>
              </w:rPr>
              <w:t xml:space="preserve"> </w:t>
            </w:r>
            <w:r>
              <w:rPr>
                <w:sz w:val="17"/>
              </w:rPr>
              <w:t xml:space="preserve">: paiement en banque ou au guichet sur présentation du NFIU, rattachement automatique à l’obligation</w:t>
            </w:r>
          </w:p>
        </w:tc>
        <w:tc>
          <w:tcPr>
            <w:shd w:val="clear" w:color="auto" w:fill="F5F7FB"/>
          </w:tcPr>
          <w:p>
            <w:pPr>
              <w:pStyle w:val="Compact"/>
            </w:pPr>
            <w:r>
              <w:rPr>
                <w:sz w:val="17"/>
              </w:rPr>
              <w:t xml:space="preserve">Module 79</w:t>
            </w:r>
          </w:p>
        </w:tc>
      </w:tr>
      <w:tr>
        <w:tc>
          <w:tcPr/>
          <w:p>
            <w:pPr>
              <w:pStyle w:val="Compact"/>
            </w:pPr>
            <w:r>
              <w:rPr>
                <w:sz w:val="17"/>
              </w:rPr>
              <w:t xml:space="preserve">Rapports</w:t>
            </w:r>
          </w:p>
        </w:tc>
        <w:tc>
          <w:tcPr/>
          <w:p>
            <w:pPr>
              <w:pStyle w:val="Compact"/>
            </w:pPr>
            <w:r>
              <w:rPr>
                <w:b/>
                <w:bCs/>
                <w:sz w:val="17"/>
              </w:rPr>
              <w:t xml:space="preserve">Rapports journaliers automatiques</w:t>
            </w:r>
            <w:r>
              <w:rPr>
                <w:sz w:val="17"/>
              </w:rPr>
              <w:t xml:space="preserve"> </w:t>
            </w:r>
            <w:r>
              <w:rPr>
                <w:sz w:val="17"/>
              </w:rPr>
              <w:t xml:space="preserve">d’activité des agents (plaques posées, scans, constats) au superviseur</w:t>
            </w:r>
          </w:p>
        </w:tc>
        <w:tc>
          <w:tcPr/>
          <w:p>
            <w:pPr>
              <w:pStyle w:val="Compact"/>
            </w:pPr>
            <w:r>
              <w:rPr>
                <w:sz w:val="17"/>
              </w:rPr>
              <w:t xml:space="preserve">Module 79</w:t>
            </w:r>
          </w:p>
        </w:tc>
      </w:tr>
      <w:tr>
        <w:tc>
          <w:tcPr>
            <w:shd w:val="clear" w:color="auto" w:fill="F5F7FB"/>
          </w:tcPr>
          <w:p>
            <w:pPr>
              <w:pStyle w:val="Compact"/>
            </w:pPr>
            <w:r>
              <w:rPr>
                <w:sz w:val="17"/>
              </w:rPr>
              <w:t xml:space="preserve">Restriction de location</w:t>
            </w:r>
          </w:p>
        </w:tc>
        <w:tc>
          <w:tcPr>
            <w:shd w:val="clear" w:color="auto" w:fill="F5F7FB"/>
          </w:tcPr>
          <w:p>
            <w:pPr>
              <w:pStyle w:val="Compact"/>
            </w:pPr>
            <w:r>
              <w:rPr>
                <w:sz w:val="17"/>
              </w:rPr>
              <w:t xml:space="preserve">Interdiction de mettre en bail une maison non immatriculée</w:t>
            </w:r>
          </w:p>
        </w:tc>
        <w:tc>
          <w:tcPr>
            <w:shd w:val="clear" w:color="auto" w:fill="F5F7FB"/>
          </w:tcPr>
          <w:p>
            <w:pPr>
              <w:pStyle w:val="Compact"/>
            </w:pPr>
            <w:r>
              <w:rPr>
                <w:sz w:val="17"/>
              </w:rPr>
              <w:t xml:space="preserve">[ACTE REQUIS J27] ;</w:t>
            </w:r>
            <w:r>
              <w:rPr>
                <w:sz w:val="17"/>
              </w:rPr>
              <w:t xml:space="preserve"> </w:t>
            </w:r>
            <w:r>
              <w:rPr>
                <w:b/>
                <w:bCs/>
                <w:sz w:val="17"/>
              </w:rPr>
              <w:t xml:space="preserve">non appliquée par le système avant l’acte</w:t>
            </w:r>
            <w:r>
              <w:rPr>
                <w:sz w:val="17"/>
              </w:rPr>
              <w:t xml:space="preserve"> </w:t>
            </w:r>
            <w:r>
              <w:rPr>
                <w:sz w:val="17"/>
              </w:rPr>
              <w:t xml:space="preserve">(ARB-16)</w:t>
            </w:r>
          </w:p>
        </w:tc>
      </w:tr>
    </w:tbl>
    <w:bookmarkEnd w:id="459"/>
    <w:bookmarkStart w:id="460" w:name="Xb876b2b886211ef0d3e22c8dd02aa327f8993cf"/>
    <w:p>
      <w:pPr>
        <w:pStyle w:val="Heading3"/>
      </w:pPr>
      <w:r>
        <w:t xml:space="preserve">H.9.2 Identifiant géofiscal et provenance des données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Exigence source</w:t>
            </w:r>
          </w:p>
        </w:tc>
        <w:tc>
          <w:tcPr>
            <w:shd w:val="clear" w:color="auto" w:fill="232C6B"/>
          </w:tcPr>
          <w:p>
            <w:pPr>
              <w:pStyle w:val="Compact"/>
            </w:pPr>
            <w:r>
              <w:rPr>
                <w:b/>
                <w:color w:val="FFFFFF"/>
                <w:sz w:val="17"/>
              </w:rPr>
              <w:t xml:space="preserve">Position</w:t>
            </w:r>
          </w:p>
        </w:tc>
      </w:tr>
      <w:tr>
        <w:tc>
          <w:tcPr/>
          <w:p>
            <w:pPr>
              <w:pStyle w:val="Compact"/>
            </w:pPr>
            <w:r>
              <w:rPr>
                <w:sz w:val="17"/>
              </w:rPr>
              <w:t xml:space="preserve">Format</w:t>
            </w:r>
            <w:r>
              <w:rPr>
                <w:sz w:val="17"/>
              </w:rPr>
              <w:t xml:space="preserve"> </w:t>
            </w:r>
            <w:r>
              <w:rPr>
                <w:rStyle w:val="VerbatimChar"/>
                <w:sz w:val="17"/>
              </w:rPr>
              <w:t xml:space="preserve">KIN-&lt;commune&gt;-&lt;quartier&gt;-&lt;voie&gt;-&lt;séquence&gt;</w:t>
            </w:r>
            <w:r>
              <w:rPr>
                <w:sz w:val="17"/>
              </w:rPr>
              <w:t xml:space="preserve"> </w:t>
            </w:r>
            <w:r>
              <w:rPr>
                <w:sz w:val="17"/>
              </w:rPr>
              <w:t xml:space="preserve">(exemple</w:t>
            </w:r>
            <w:r>
              <w:rPr>
                <w:sz w:val="17"/>
              </w:rPr>
              <w:t xml:space="preserve"> </w:t>
            </w:r>
            <w:r>
              <w:rPr>
                <w:rStyle w:val="VerbatimChar"/>
                <w:sz w:val="17"/>
              </w:rPr>
              <w:t xml:space="preserve">KIN-GOM-GOMBE-AV-MONT-001245</w:t>
            </w:r>
            <w:r>
              <w:rPr>
                <w:sz w:val="17"/>
              </w:rPr>
              <w:t xml:space="preserve">)</w:t>
            </w:r>
          </w:p>
        </w:tc>
        <w:tc>
          <w:tcPr/>
          <w:p>
            <w:pPr>
              <w:pStyle w:val="Compact"/>
            </w:pPr>
            <w:r>
              <w:rPr>
                <w:sz w:val="17"/>
              </w:rPr>
              <w:t xml:space="preserve">Remplacé par le format v3.0</w:t>
            </w:r>
            <w:r>
              <w:rPr>
                <w:sz w:val="17"/>
              </w:rPr>
              <w:t xml:space="preserve"> </w:t>
            </w:r>
            <w:r>
              <w:rPr>
                <w:rStyle w:val="VerbatimChar"/>
                <w:sz w:val="17"/>
              </w:rPr>
              <w:t xml:space="preserve">KIN-GOM-Q012-P004517-B01-U03</w:t>
            </w:r>
            <w:r>
              <w:rPr>
                <w:sz w:val="17"/>
              </w:rPr>
              <w:t xml:space="preserve"> </w:t>
            </w:r>
            <w:r>
              <w:rPr>
                <w:sz w:val="17"/>
              </w:rPr>
              <w:t xml:space="preserve">(commune, quartier, parcelle, bâtiment, unité), code lisible</w:t>
            </w:r>
            <w:r>
              <w:rPr>
                <w:sz w:val="17"/>
              </w:rPr>
              <w:t xml:space="preserve"> </w:t>
            </w:r>
            <w:r>
              <w:rPr>
                <w:b/>
                <w:bCs/>
                <w:sz w:val="17"/>
              </w:rPr>
              <w:t xml:space="preserve">versionné</w:t>
            </w:r>
            <w:r>
              <w:rPr>
                <w:sz w:val="17"/>
              </w:rPr>
              <w:t xml:space="preserve">, adossé à un UUID permanent (ARB-59)</w:t>
            </w:r>
          </w:p>
        </w:tc>
      </w:tr>
      <w:tr>
        <w:tc>
          <w:tcPr>
            <w:shd w:val="clear" w:color="auto" w:fill="F5F7FB"/>
          </w:tcPr>
          <w:p>
            <w:pPr>
              <w:pStyle w:val="Compact"/>
            </w:pPr>
            <w:r>
              <w:rPr>
                <w:sz w:val="17"/>
              </w:rPr>
              <w:t xml:space="preserve">Chaque donnée recensée porte</w:t>
            </w:r>
            <w:r>
              <w:rPr>
                <w:sz w:val="17"/>
              </w:rPr>
              <w:t xml:space="preserve"> </w:t>
            </w:r>
            <w:r>
              <w:rPr>
                <w:b/>
                <w:bCs/>
                <w:sz w:val="17"/>
              </w:rPr>
              <w:t xml:space="preserve">provenance, niveau de confiance, date de vérification, responsable de validation</w:t>
            </w:r>
          </w:p>
        </w:tc>
        <w:tc>
          <w:tcPr>
            <w:shd w:val="clear" w:color="auto" w:fill="F5F7FB"/>
          </w:tcPr>
          <w:p>
            <w:pPr>
              <w:pStyle w:val="Compact"/>
            </w:pPr>
            <w:r>
              <w:rPr>
                <w:sz w:val="17"/>
              </w:rPr>
              <w:t xml:space="preserve">Intégré : attributs</w:t>
            </w:r>
            <w:r>
              <w:rPr>
                <w:sz w:val="17"/>
              </w:rPr>
              <w:t xml:space="preserve"> </w:t>
            </w:r>
            <w:r>
              <w:rPr>
                <w:rStyle w:val="VerbatimChar"/>
                <w:sz w:val="17"/>
              </w:rPr>
              <w:t xml:space="preserve">source</w:t>
            </w:r>
            <w:r>
              <w:rPr>
                <w:sz w:val="17"/>
              </w:rPr>
              <w:t xml:space="preserve">,</w:t>
            </w:r>
            <w:r>
              <w:rPr>
                <w:sz w:val="17"/>
              </w:rPr>
              <w:t xml:space="preserve"> </w:t>
            </w:r>
            <w:r>
              <w:rPr>
                <w:rStyle w:val="VerbatimChar"/>
                <w:sz w:val="17"/>
              </w:rPr>
              <w:t xml:space="preserve">confidence</w:t>
            </w:r>
            <w:r>
              <w:rPr>
                <w:sz w:val="17"/>
              </w:rPr>
              <w:t xml:space="preserve">,</w:t>
            </w:r>
            <w:r>
              <w:rPr>
                <w:sz w:val="17"/>
              </w:rPr>
              <w:t xml:space="preserve"> </w:t>
            </w:r>
            <w:r>
              <w:rPr>
                <w:rStyle w:val="VerbatimChar"/>
                <w:sz w:val="17"/>
              </w:rPr>
              <w:t xml:space="preserve">verified_at</w:t>
            </w:r>
            <w:r>
              <w:rPr>
                <w:sz w:val="17"/>
              </w:rPr>
              <w:t xml:space="preserve">,</w:t>
            </w:r>
            <w:r>
              <w:rPr>
                <w:sz w:val="17"/>
              </w:rPr>
              <w:t xml:space="preserve"> </w:t>
            </w:r>
            <w:r>
              <w:rPr>
                <w:rStyle w:val="VerbatimChar"/>
                <w:sz w:val="17"/>
              </w:rPr>
              <w:t xml:space="preserve">verified_by</w:t>
            </w:r>
            <w:r>
              <w:rPr>
                <w:sz w:val="17"/>
              </w:rPr>
              <w:t xml:space="preserve"> </w:t>
            </w:r>
            <w:r>
              <w:rPr>
                <w:sz w:val="17"/>
              </w:rPr>
              <w:t xml:space="preserve">obligatoires sur</w:t>
            </w:r>
            <w:r>
              <w:rPr>
                <w:sz w:val="17"/>
              </w:rPr>
              <w:t xml:space="preserve"> </w:t>
            </w:r>
            <w:r>
              <w:rPr>
                <w:rStyle w:val="VerbatimChar"/>
                <w:sz w:val="17"/>
              </w:rPr>
              <w:t xml:space="preserve">FiscalObject</w:t>
            </w:r>
            <w:r>
              <w:rPr>
                <w:sz w:val="17"/>
              </w:rPr>
              <w:t xml:space="preserve">,</w:t>
            </w:r>
            <w:r>
              <w:rPr>
                <w:sz w:val="17"/>
              </w:rPr>
              <w:t xml:space="preserve"> </w:t>
            </w:r>
            <w:r>
              <w:rPr>
                <w:rStyle w:val="VerbatimChar"/>
                <w:sz w:val="17"/>
              </w:rPr>
              <w:t xml:space="preserve">Geolocation</w:t>
            </w:r>
            <w:r>
              <w:rPr>
                <w:sz w:val="17"/>
              </w:rPr>
              <w:t xml:space="preserve">,</w:t>
            </w:r>
            <w:r>
              <w:rPr>
                <w:sz w:val="17"/>
              </w:rPr>
              <w:t xml:space="preserve"> </w:t>
            </w:r>
            <w:r>
              <w:rPr>
                <w:rStyle w:val="VerbatimChar"/>
                <w:sz w:val="17"/>
              </w:rPr>
              <w:t xml:space="preserve">Lease</w:t>
            </w:r>
            <w:r>
              <w:rPr>
                <w:sz w:val="17"/>
              </w:rPr>
              <w:t xml:space="preserve">,</w:t>
            </w:r>
            <w:r>
              <w:rPr>
                <w:sz w:val="17"/>
              </w:rPr>
              <w:t xml:space="preserve"> </w:t>
            </w:r>
            <w:r>
              <w:rPr>
                <w:rStyle w:val="VerbatimChar"/>
                <w:sz w:val="17"/>
              </w:rPr>
              <w:t xml:space="preserve">Occupation</w:t>
            </w:r>
            <w:r>
              <w:rPr>
                <w:sz w:val="17"/>
              </w:rPr>
              <w:t xml:space="preserve"> </w:t>
            </w:r>
            <w:r>
              <w:rPr>
                <w:sz w:val="17"/>
              </w:rPr>
              <w:t xml:space="preserve">(complète § 29.1)</w:t>
            </w:r>
          </w:p>
        </w:tc>
      </w:tr>
      <w:tr>
        <w:tc>
          <w:tcPr/>
          <w:p>
            <w:pPr>
              <w:pStyle w:val="Compact"/>
            </w:pPr>
            <w:r>
              <w:rPr>
                <w:sz w:val="17"/>
              </w:rPr>
              <w:t xml:space="preserve">QR = jeton signé ou URL de vérification à durée contrôlée ; n’expose jamais nom, montant, historique</w:t>
            </w:r>
          </w:p>
        </w:tc>
        <w:tc>
          <w:tcPr/>
          <w:p>
            <w:pPr>
              <w:pStyle w:val="Compact"/>
            </w:pPr>
            <w:r>
              <w:rPr>
                <w:sz w:val="17"/>
              </w:rPr>
              <w:t xml:space="preserve">Couvert (§ 19.2, § 16.8)</w:t>
            </w:r>
          </w:p>
        </w:tc>
      </w:tr>
    </w:tbl>
    <w:bookmarkEnd w:id="460"/>
    <w:bookmarkStart w:id="461" w:name="Xfa380f3037c19a22cf6022229c6646a04723efb"/>
    <w:p>
      <w:pPr>
        <w:pStyle w:val="Heading3"/>
      </w:pPr>
      <w:r>
        <w:t xml:space="preserve">H.9.3 Vagues de recensement comme états de l’objet</w:t>
      </w:r>
    </w:p>
    <w:p>
      <w:pPr>
        <w:pStyle w:val="FirstParagraph"/>
      </w:pPr>
      <w:r>
        <w:t xml:space="preserve">La méthode de recensement du § 17.5 est complétée par les six vagues du Cahier, qui deviennent le</w:t>
      </w:r>
      <w:r>
        <w:t xml:space="preserve"> </w:t>
      </w:r>
      <w:r>
        <w:rPr>
          <w:b/>
          <w:bCs/>
        </w:rPr>
        <w:t xml:space="preserve">statut de maturité</w:t>
      </w:r>
      <w:r>
        <w:t xml:space="preserve"> </w:t>
      </w:r>
      <w:r>
        <w:t xml:space="preserve">de chaque objet et un indicateur de couverture :</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Vague</w:t>
            </w:r>
          </w:p>
        </w:tc>
        <w:tc>
          <w:tcPr>
            <w:shd w:val="clear" w:color="auto" w:fill="232C6B"/>
          </w:tcPr>
          <w:p>
            <w:pPr>
              <w:pStyle w:val="Compact"/>
            </w:pPr>
            <w:r>
              <w:rPr>
                <w:b/>
                <w:color w:val="FFFFFF"/>
                <w:sz w:val="17"/>
              </w:rPr>
              <w:t xml:space="preserve">Contenu</w:t>
            </w:r>
          </w:p>
        </w:tc>
        <w:tc>
          <w:tcPr>
            <w:shd w:val="clear" w:color="auto" w:fill="232C6B"/>
          </w:tcPr>
          <w:p>
            <w:pPr>
              <w:pStyle w:val="Compact"/>
            </w:pPr>
            <w:r>
              <w:rPr>
                <w:b/>
                <w:color w:val="FFFFFF"/>
                <w:sz w:val="17"/>
              </w:rPr>
              <w:t xml:space="preserve">Statut de maturité de l’objet</w:t>
            </w:r>
          </w:p>
        </w:tc>
        <w:tc>
          <w:tcPr>
            <w:shd w:val="clear" w:color="auto" w:fill="232C6B"/>
          </w:tcPr>
          <w:p>
            <w:pPr>
              <w:pStyle w:val="Compact"/>
            </w:pPr>
            <w:r>
              <w:rPr>
                <w:b/>
                <w:color w:val="FFFFFF"/>
                <w:sz w:val="17"/>
              </w:rPr>
              <w:t xml:space="preserve">Effet fiscal</w:t>
            </w:r>
          </w:p>
        </w:tc>
      </w:tr>
      <w:tr>
        <w:tc>
          <w:tcPr/>
          <w:p>
            <w:pPr>
              <w:pStyle w:val="Compact"/>
            </w:pPr>
            <w:r>
              <w:rPr>
                <w:sz w:val="17"/>
              </w:rPr>
              <w:t xml:space="preserve">0 — Préparation</w:t>
            </w:r>
          </w:p>
        </w:tc>
        <w:tc>
          <w:tcPr/>
          <w:p>
            <w:pPr>
              <w:pStyle w:val="Compact"/>
            </w:pPr>
            <w:r>
              <w:rPr>
                <w:sz w:val="17"/>
              </w:rPr>
              <w:t xml:space="preserve">Découpage, import, carte de référence, doublons, zones blanches</w:t>
            </w:r>
          </w:p>
        </w:tc>
        <w:tc>
          <w:tcPr/>
          <w:p>
            <w:pPr>
              <w:pStyle w:val="Compact"/>
            </w:pPr>
            <w:r>
              <w:rPr>
                <w:rStyle w:val="VerbatimChar"/>
                <w:sz w:val="17"/>
              </w:rPr>
              <w:t xml:space="preserve">PRÉ_POINTÉ</w:t>
            </w:r>
          </w:p>
        </w:tc>
        <w:tc>
          <w:tcPr/>
          <w:p>
            <w:pPr>
              <w:pStyle w:val="Compact"/>
            </w:pPr>
            <w:r>
              <w:rPr>
                <w:sz w:val="17"/>
              </w:rPr>
              <w:t xml:space="preserve">Aucun</w:t>
            </w:r>
          </w:p>
        </w:tc>
      </w:tr>
      <w:tr>
        <w:tc>
          <w:tcPr>
            <w:shd w:val="clear" w:color="auto" w:fill="F5F7FB"/>
          </w:tcPr>
          <w:p>
            <w:pPr>
              <w:pStyle w:val="Compact"/>
            </w:pPr>
            <w:r>
              <w:rPr>
                <w:sz w:val="17"/>
              </w:rPr>
              <w:t xml:space="preserve">1 — Détection</w:t>
            </w:r>
          </w:p>
        </w:tc>
        <w:tc>
          <w:tcPr>
            <w:shd w:val="clear" w:color="auto" w:fill="F5F7FB"/>
          </w:tcPr>
          <w:p>
            <w:pPr>
              <w:pStyle w:val="Compact"/>
            </w:pPr>
            <w:r>
              <w:rPr>
                <w:sz w:val="17"/>
              </w:rPr>
              <w:t xml:space="preserve">Objet provisoire + preuve minimale</w:t>
            </w:r>
          </w:p>
        </w:tc>
        <w:tc>
          <w:tcPr>
            <w:shd w:val="clear" w:color="auto" w:fill="F5F7FB"/>
          </w:tcPr>
          <w:p>
            <w:pPr>
              <w:pStyle w:val="Compact"/>
            </w:pPr>
            <w:r>
              <w:rPr>
                <w:rStyle w:val="VerbatimChar"/>
                <w:sz w:val="17"/>
              </w:rPr>
              <w:t xml:space="preserve">DÉTECTÉ</w:t>
            </w:r>
          </w:p>
        </w:tc>
        <w:tc>
          <w:tcPr>
            <w:shd w:val="clear" w:color="auto" w:fill="F5F7FB"/>
          </w:tcPr>
          <w:p>
            <w:pPr>
              <w:pStyle w:val="Compact"/>
            </w:pPr>
            <w:r>
              <w:rPr>
                <w:sz w:val="17"/>
              </w:rPr>
              <w:t xml:space="preserve">Aucun</w:t>
            </w:r>
          </w:p>
        </w:tc>
      </w:tr>
      <w:tr>
        <w:tc>
          <w:tcPr/>
          <w:p>
            <w:pPr>
              <w:pStyle w:val="Compact"/>
            </w:pPr>
            <w:r>
              <w:rPr>
                <w:sz w:val="17"/>
              </w:rPr>
              <w:t xml:space="preserve">2 — Qualification</w:t>
            </w:r>
          </w:p>
        </w:tc>
        <w:tc>
          <w:tcPr/>
          <w:p>
            <w:pPr>
              <w:pStyle w:val="Compact"/>
            </w:pPr>
            <w:r>
              <w:rPr>
                <w:sz w:val="17"/>
              </w:rPr>
              <w:t xml:space="preserve">Fiche complète + score de confiance</w:t>
            </w:r>
          </w:p>
        </w:tc>
        <w:tc>
          <w:tcPr/>
          <w:p>
            <w:pPr>
              <w:pStyle w:val="Compact"/>
            </w:pPr>
            <w:r>
              <w:rPr>
                <w:rStyle w:val="VerbatimChar"/>
                <w:sz w:val="17"/>
              </w:rPr>
              <w:t xml:space="preserve">QUALIFIÉ</w:t>
            </w:r>
          </w:p>
        </w:tc>
        <w:tc>
          <w:tcPr/>
          <w:p>
            <w:pPr>
              <w:pStyle w:val="Compact"/>
            </w:pPr>
            <w:r>
              <w:rPr>
                <w:sz w:val="17"/>
              </w:rPr>
              <w:t xml:space="preserve">Aucun</w:t>
            </w:r>
          </w:p>
        </w:tc>
      </w:tr>
      <w:tr>
        <w:tc>
          <w:tcPr>
            <w:shd w:val="clear" w:color="auto" w:fill="F5F7FB"/>
          </w:tcPr>
          <w:p>
            <w:pPr>
              <w:pStyle w:val="Compact"/>
            </w:pPr>
            <w:r>
              <w:rPr>
                <w:sz w:val="17"/>
              </w:rPr>
              <w:t xml:space="preserve">3 — Rattachement</w:t>
            </w:r>
          </w:p>
        </w:tc>
        <w:tc>
          <w:tcPr>
            <w:shd w:val="clear" w:color="auto" w:fill="F5F7FB"/>
          </w:tcPr>
          <w:p>
            <w:pPr>
              <w:pStyle w:val="Compact"/>
            </w:pPr>
            <w:r>
              <w:rPr>
                <w:sz w:val="17"/>
              </w:rPr>
              <w:t xml:space="preserve">Relation contribuable vérifiée ou à confirmer</w:t>
            </w:r>
          </w:p>
        </w:tc>
        <w:tc>
          <w:tcPr>
            <w:shd w:val="clear" w:color="auto" w:fill="F5F7FB"/>
          </w:tcPr>
          <w:p>
            <w:pPr>
              <w:pStyle w:val="Compact"/>
            </w:pPr>
            <w:r>
              <w:rPr>
                <w:rStyle w:val="VerbatimChar"/>
                <w:sz w:val="17"/>
              </w:rPr>
              <w:t xml:space="preserve">RATTACHÉ</w:t>
            </w:r>
          </w:p>
        </w:tc>
        <w:tc>
          <w:tcPr>
            <w:shd w:val="clear" w:color="auto" w:fill="F5F7FB"/>
          </w:tcPr>
          <w:p>
            <w:pPr>
              <w:pStyle w:val="Compact"/>
            </w:pPr>
            <w:r>
              <w:rPr>
                <w:sz w:val="17"/>
              </w:rPr>
              <w:t xml:space="preserve">Aucun avant vérification</w:t>
            </w:r>
          </w:p>
        </w:tc>
      </w:tr>
      <w:tr>
        <w:tc>
          <w:tcPr/>
          <w:p>
            <w:pPr>
              <w:pStyle w:val="Compact"/>
            </w:pPr>
            <w:r>
              <w:rPr>
                <w:sz w:val="17"/>
              </w:rPr>
              <w:t xml:space="preserve">4 — Fiscalisation</w:t>
            </w:r>
          </w:p>
        </w:tc>
        <w:tc>
          <w:tcPr/>
          <w:p>
            <w:pPr>
              <w:pStyle w:val="Compact"/>
            </w:pPr>
            <w:r>
              <w:rPr>
                <w:sz w:val="17"/>
              </w:rPr>
              <w:t xml:space="preserve">Application des seules règles actives</w:t>
            </w:r>
          </w:p>
        </w:tc>
        <w:tc>
          <w:tcPr/>
          <w:p>
            <w:pPr>
              <w:pStyle w:val="Compact"/>
            </w:pPr>
            <w:r>
              <w:rPr>
                <w:rStyle w:val="VerbatimChar"/>
                <w:sz w:val="17"/>
              </w:rPr>
              <w:t xml:space="preserve">FISCALISÉ</w:t>
            </w:r>
          </w:p>
        </w:tc>
        <w:tc>
          <w:tcPr/>
          <w:p>
            <w:pPr>
              <w:pStyle w:val="Compact"/>
            </w:pPr>
            <w:r>
              <w:rPr>
                <w:sz w:val="17"/>
              </w:rPr>
              <w:t xml:space="preserve">Obligations</w:t>
            </w:r>
          </w:p>
        </w:tc>
      </w:tr>
      <w:tr>
        <w:tc>
          <w:tcPr>
            <w:shd w:val="clear" w:color="auto" w:fill="F5F7FB"/>
          </w:tcPr>
          <w:p>
            <w:pPr>
              <w:pStyle w:val="Compact"/>
            </w:pPr>
            <w:r>
              <w:rPr>
                <w:sz w:val="17"/>
              </w:rPr>
              <w:t xml:space="preserve">5 — Entretien</w:t>
            </w:r>
          </w:p>
        </w:tc>
        <w:tc>
          <w:tcPr>
            <w:shd w:val="clear" w:color="auto" w:fill="F5F7FB"/>
          </w:tcPr>
          <w:p>
            <w:pPr>
              <w:pStyle w:val="Compact"/>
            </w:pPr>
            <w:r>
              <w:rPr>
                <w:sz w:val="17"/>
              </w:rPr>
              <w:t xml:space="preserve">Ouvertures, fermetures, mutations</w:t>
            </w:r>
          </w:p>
        </w:tc>
        <w:tc>
          <w:tcPr>
            <w:shd w:val="clear" w:color="auto" w:fill="F5F7FB"/>
          </w:tcPr>
          <w:p>
            <w:pPr>
              <w:pStyle w:val="Compact"/>
            </w:pPr>
            <w:r>
              <w:rPr>
                <w:rStyle w:val="VerbatimChar"/>
                <w:sz w:val="17"/>
              </w:rPr>
              <w:t xml:space="preserve">EN_ENTRETIEN</w:t>
            </w:r>
          </w:p>
        </w:tc>
        <w:tc>
          <w:tcPr>
            <w:shd w:val="clear" w:color="auto" w:fill="F5F7FB"/>
          </w:tcPr>
          <w:p>
            <w:pPr>
              <w:pStyle w:val="Compact"/>
            </w:pPr>
            <w:r>
              <w:rPr>
                <w:sz w:val="17"/>
              </w:rPr>
              <w:t xml:space="preserve">Mise à jour des obligations à la date d’effet</w:t>
            </w:r>
          </w:p>
        </w:tc>
      </w:tr>
    </w:tbl>
    <w:bookmarkEnd w:id="461"/>
    <w:bookmarkStart w:id="462" w:name="h.9.4-compléments-fonciers-et-locatifs"/>
    <w:p>
      <w:pPr>
        <w:pStyle w:val="Heading3"/>
      </w:pPr>
      <w:r>
        <w:t xml:space="preserve">H.9.4 Compléments fonciers et locatifs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Exigence</w:t>
            </w:r>
          </w:p>
        </w:tc>
        <w:tc>
          <w:tcPr>
            <w:shd w:val="clear" w:color="auto" w:fill="232C6B"/>
          </w:tcPr>
          <w:p>
            <w:pPr>
              <w:pStyle w:val="Compact"/>
            </w:pPr>
            <w:r>
              <w:rPr>
                <w:b/>
                <w:color w:val="FFFFFF"/>
                <w:sz w:val="17"/>
              </w:rPr>
              <w:t xml:space="preserve">Intégration</w:t>
            </w:r>
          </w:p>
        </w:tc>
      </w:tr>
      <w:tr>
        <w:tc>
          <w:tcPr/>
          <w:p>
            <w:pPr>
              <w:pStyle w:val="Compact"/>
            </w:pPr>
            <w:r>
              <w:rPr>
                <w:sz w:val="17"/>
              </w:rPr>
              <w:t xml:space="preserve">Couleurs de la couche fiscale : « orange » (source) / « ambre » (v3.0)</w:t>
            </w:r>
          </w:p>
        </w:tc>
        <w:tc>
          <w:tcPr/>
          <w:p>
            <w:pPr>
              <w:pStyle w:val="Compact"/>
            </w:pPr>
            <w:r>
              <w:rPr>
                <w:b/>
                <w:bCs/>
                <w:sz w:val="17"/>
              </w:rPr>
              <w:t xml:space="preserve">Ambre</w:t>
            </w:r>
            <w:r>
              <w:rPr>
                <w:sz w:val="17"/>
              </w:rPr>
              <w:t xml:space="preserve"> </w:t>
            </w:r>
            <w:r>
              <w:rPr>
                <w:sz w:val="17"/>
              </w:rPr>
              <w:t xml:space="preserve">retenu partout (ARB-35)</w:t>
            </w:r>
          </w:p>
        </w:tc>
      </w:tr>
      <w:tr>
        <w:tc>
          <w:tcPr>
            <w:shd w:val="clear" w:color="auto" w:fill="F5F7FB"/>
          </w:tcPr>
          <w:p>
            <w:pPr>
              <w:pStyle w:val="Compact"/>
            </w:pPr>
            <w:r>
              <w:rPr>
                <w:sz w:val="17"/>
              </w:rPr>
              <w:t xml:space="preserve">Registre des</w:t>
            </w:r>
            <w:r>
              <w:rPr>
                <w:sz w:val="17"/>
              </w:rPr>
              <w:t xml:space="preserve"> </w:t>
            </w:r>
            <w:r>
              <w:rPr>
                <w:b/>
                <w:bCs/>
                <w:sz w:val="17"/>
              </w:rPr>
              <w:t xml:space="preserve">unités louables</w:t>
            </w:r>
            <w:r>
              <w:rPr>
                <w:sz w:val="17"/>
              </w:rPr>
              <w:t xml:space="preserve"> </w:t>
            </w:r>
            <w:r>
              <w:rPr>
                <w:sz w:val="17"/>
              </w:rPr>
              <w:t xml:space="preserve">(pas seulement des propriétaires)</w:t>
            </w:r>
          </w:p>
        </w:tc>
        <w:tc>
          <w:tcPr>
            <w:shd w:val="clear" w:color="auto" w:fill="F5F7FB"/>
          </w:tcPr>
          <w:p>
            <w:pPr>
              <w:pStyle w:val="Compact"/>
            </w:pPr>
            <w:r>
              <w:rPr>
                <w:sz w:val="17"/>
              </w:rPr>
              <w:t xml:space="preserve">Couvert par le modèle parcelle → bâtiment → étage → unité (§ 16.1) ; indicateur « unités louables recensées » ajouté (§ H.19)</w:t>
            </w:r>
          </w:p>
        </w:tc>
      </w:tr>
      <w:tr>
        <w:tc>
          <w:tcPr/>
          <w:p>
            <w:pPr>
              <w:pStyle w:val="Compact"/>
            </w:pPr>
            <w:r>
              <w:rPr>
                <w:sz w:val="17"/>
              </w:rPr>
              <w:t xml:space="preserve">Déclaration de bail en « deux minutes » par le bailleur ou le locataire</w:t>
            </w:r>
          </w:p>
        </w:tc>
        <w:tc>
          <w:tcPr/>
          <w:p>
            <w:pPr>
              <w:pStyle w:val="Compact"/>
            </w:pPr>
            <w:r>
              <w:rPr>
                <w:sz w:val="17"/>
              </w:rPr>
              <w:t xml:space="preserve">Exigence d’ergonomie du module 9, mesurée en recette utilisateur</w:t>
            </w:r>
          </w:p>
        </w:tc>
      </w:tr>
      <w:tr>
        <w:tc>
          <w:tcPr>
            <w:shd w:val="clear" w:color="auto" w:fill="F5F7FB"/>
          </w:tcPr>
          <w:p>
            <w:pPr>
              <w:pStyle w:val="Compact"/>
            </w:pPr>
            <w:r>
              <w:rPr>
                <w:sz w:val="17"/>
              </w:rPr>
              <w:t xml:space="preserve">Calcul de la retenue et de l’IRL</w:t>
            </w:r>
            <w:r>
              <w:rPr>
                <w:sz w:val="17"/>
              </w:rPr>
              <w:t xml:space="preserve"> </w:t>
            </w:r>
            <w:r>
              <w:rPr>
                <w:b/>
                <w:bCs/>
                <w:sz w:val="17"/>
              </w:rPr>
              <w:t xml:space="preserve">à partir des baux vérifiés</w:t>
            </w:r>
          </w:p>
        </w:tc>
        <w:tc>
          <w:tcPr>
            <w:shd w:val="clear" w:color="auto" w:fill="F5F7FB"/>
          </w:tcPr>
          <w:p>
            <w:pPr>
              <w:pStyle w:val="Compact"/>
            </w:pPr>
            <w:r>
              <w:rPr>
                <w:sz w:val="17"/>
              </w:rPr>
              <w:t xml:space="preserve">Couvert (§ 16.2) ; déclarés si la procédure est déclarative</w:t>
            </w:r>
          </w:p>
        </w:tc>
      </w:tr>
      <w:tr>
        <w:tc>
          <w:tcPr/>
          <w:p>
            <w:pPr>
              <w:pStyle w:val="Compact"/>
            </w:pPr>
            <w:r>
              <w:rPr>
                <w:sz w:val="17"/>
              </w:rPr>
              <w:t xml:space="preserve">Élargissement 2026 (baux emphytéotiques, sociétés immobilières, indemnités de logement) : formulaire propre, contrôle de cohérence, voie de recours (résolutions du Conseil national du travail invoquées par les entreprises)</w:t>
            </w:r>
          </w:p>
        </w:tc>
        <w:tc>
          <w:tcPr/>
          <w:p>
            <w:pPr>
              <w:pStyle w:val="Compact"/>
            </w:pPr>
            <w:r>
              <w:rPr>
                <w:sz w:val="17"/>
              </w:rPr>
              <w:t xml:space="preserve">Couvert (§ 6.4) ; argument des résolutions du Conseil national du travail ajouté au dossier de contentieux prévisible [À VÉRIFIER]</w:t>
            </w:r>
          </w:p>
        </w:tc>
      </w:tr>
    </w:tbl>
    <w:bookmarkEnd w:id="462"/>
    <w:bookmarkEnd w:id="463"/>
    <w:bookmarkStart w:id="479" w:name="X2554ae789d909430d36d3eae981d278cadbb3a1"/>
    <w:p>
      <w:pPr>
        <w:pStyle w:val="Heading2"/>
      </w:pPr>
      <w:r>
        <w:t xml:space="preserve">H.10 Chapitres 18 à 20 — Paiement de bout en bout, preuve de paiement et rapprochement</w:t>
      </w:r>
    </w:p>
    <w:bookmarkStart w:id="464" w:name="h.10.1-principe"/>
    <w:p>
      <w:pPr>
        <w:pStyle w:val="Heading3"/>
      </w:pPr>
      <w:r>
        <w:t xml:space="preserve">H.10.1 Principe</w:t>
      </w:r>
    </w:p>
    <w:p>
      <w:pPr>
        <w:pStyle w:val="FirstParagraph"/>
      </w:pPr>
      <w:r>
        <w:t xml:space="preserve">Les espèces ne sont possibles</w:t>
      </w:r>
      <w:r>
        <w:t xml:space="preserve"> </w:t>
      </w:r>
      <w:r>
        <w:rPr>
          <w:b/>
          <w:bCs/>
        </w:rPr>
        <w:t xml:space="preserve">que dans des établissements régulés, rapprochés chaque jour</w:t>
      </w:r>
      <w:r>
        <w:t xml:space="preserve"> </w:t>
      </w:r>
      <w:r>
        <w:t xml:space="preserve">; le montant est fixé par le système, jamais négocié ;</w:t>
      </w:r>
      <w:r>
        <w:t xml:space="preserve"> </w:t>
      </w:r>
      <w:r>
        <w:rPr>
          <w:b/>
          <w:bCs/>
        </w:rPr>
        <w:t xml:space="preserve">la seule preuve est l’enregistrement du système</w:t>
      </w:r>
      <w:r>
        <w:t xml:space="preserve">.</w:t>
      </w:r>
    </w:p>
    <w:bookmarkEnd w:id="464"/>
    <w:bookmarkStart w:id="465" w:name="h.10.2-trois-modes-de-paiement"/>
    <w:p>
      <w:pPr>
        <w:pStyle w:val="Heading3"/>
      </w:pPr>
      <w:r>
        <w:t xml:space="preserve">H.10.2 Trois modes de paiement</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Mode</w:t>
            </w:r>
          </w:p>
        </w:tc>
        <w:tc>
          <w:tcPr>
            <w:shd w:val="clear" w:color="auto" w:fill="232C6B"/>
          </w:tcPr>
          <w:p>
            <w:pPr>
              <w:pStyle w:val="Compact"/>
            </w:pPr>
            <w:r>
              <w:rPr>
                <w:b/>
                <w:color w:val="FFFFFF"/>
                <w:sz w:val="17"/>
              </w:rPr>
              <w:t xml:space="preserve">Déroulement</w:t>
            </w:r>
          </w:p>
        </w:tc>
        <w:tc>
          <w:tcPr>
            <w:shd w:val="clear" w:color="auto" w:fill="232C6B"/>
          </w:tcPr>
          <w:p>
            <w:pPr>
              <w:pStyle w:val="Compact"/>
            </w:pPr>
            <w:r>
              <w:rPr>
                <w:b/>
                <w:color w:val="FFFFFF"/>
                <w:sz w:val="17"/>
              </w:rPr>
              <w:t xml:space="preserve">Rôle de l’agent public</w:t>
            </w:r>
          </w:p>
        </w:tc>
      </w:tr>
      <w:tr>
        <w:tc>
          <w:tcPr/>
          <w:p>
            <w:pPr>
              <w:pStyle w:val="Compact"/>
            </w:pPr>
            <w:r>
              <w:rPr>
                <w:sz w:val="17"/>
              </w:rPr>
              <w:t xml:space="preserve">Autonome</w:t>
            </w:r>
          </w:p>
        </w:tc>
        <w:tc>
          <w:tcPr/>
          <w:p>
            <w:pPr>
              <w:pStyle w:val="Compact"/>
            </w:pPr>
            <w:r>
              <w:rPr>
                <w:sz w:val="17"/>
              </w:rPr>
              <w:t xml:space="preserve">Le contribuable initie et paie (application, USSD, banque en ligne) vers le compte public</w:t>
            </w:r>
          </w:p>
        </w:tc>
        <w:tc>
          <w:tcPr/>
          <w:p>
            <w:pPr>
              <w:pStyle w:val="Compact"/>
            </w:pPr>
            <w:r>
              <w:rPr>
                <w:sz w:val="17"/>
              </w:rPr>
              <w:t xml:space="preserve">Aucun</w:t>
            </w:r>
          </w:p>
        </w:tc>
      </w:tr>
      <w:tr>
        <w:tc>
          <w:tcPr>
            <w:shd w:val="clear" w:color="auto" w:fill="F5F7FB"/>
          </w:tcPr>
          <w:p>
            <w:pPr>
              <w:pStyle w:val="Compact"/>
            </w:pPr>
            <w:r>
              <w:rPr>
                <w:sz w:val="17"/>
              </w:rPr>
              <w:t xml:space="preserve">Assisté</w:t>
            </w:r>
          </w:p>
        </w:tc>
        <w:tc>
          <w:tcPr>
            <w:shd w:val="clear" w:color="auto" w:fill="F5F7FB"/>
          </w:tcPr>
          <w:p>
            <w:pPr>
              <w:pStyle w:val="Compact"/>
            </w:pPr>
            <w:r>
              <w:rPr>
                <w:sz w:val="17"/>
              </w:rPr>
              <w:t xml:space="preserve">L’agent ou le guichetier génère la référence et explique ; le contribuable paie sur son téléphone ou chez un point agréé</w:t>
            </w:r>
          </w:p>
        </w:tc>
        <w:tc>
          <w:tcPr>
            <w:shd w:val="clear" w:color="auto" w:fill="F5F7FB"/>
          </w:tcPr>
          <w:p>
            <w:pPr>
              <w:pStyle w:val="Compact"/>
            </w:pPr>
            <w:r>
              <w:rPr>
                <w:sz w:val="17"/>
              </w:rPr>
              <w:t xml:space="preserve">Génère la référence ;</w:t>
            </w:r>
            <w:r>
              <w:rPr>
                <w:sz w:val="17"/>
              </w:rPr>
              <w:t xml:space="preserve"> </w:t>
            </w:r>
            <w:r>
              <w:rPr>
                <w:b/>
                <w:bCs/>
                <w:sz w:val="17"/>
              </w:rPr>
              <w:t xml:space="preserve">ne reçoit jamais de fonds</w:t>
            </w:r>
          </w:p>
        </w:tc>
      </w:tr>
      <w:tr>
        <w:tc>
          <w:tcPr/>
          <w:p>
            <w:pPr>
              <w:pStyle w:val="Compact"/>
            </w:pPr>
            <w:r>
              <w:rPr>
                <w:sz w:val="17"/>
              </w:rPr>
              <w:t xml:space="preserve">Au guichet</w:t>
            </w:r>
          </w:p>
        </w:tc>
        <w:tc>
          <w:tcPr/>
          <w:p>
            <w:pPr>
              <w:pStyle w:val="Compact"/>
            </w:pPr>
            <w:r>
              <w:rPr>
                <w:sz w:val="17"/>
              </w:rPr>
              <w:t xml:space="preserve">Le contribuable présente sa carte, son avis ou la plaque de l’objet ; paie en espèces ou par carte chez un point agréé, qui règle le compte public dans le délai contractuel</w:t>
            </w:r>
          </w:p>
        </w:tc>
        <w:tc>
          <w:tcPr/>
          <w:p>
            <w:pPr>
              <w:pStyle w:val="Compact"/>
            </w:pPr>
            <w:r>
              <w:rPr>
                <w:sz w:val="17"/>
              </w:rPr>
              <w:t xml:space="preserve">Aucun</w:t>
            </w:r>
          </w:p>
        </w:tc>
      </w:tr>
    </w:tbl>
    <w:bookmarkEnd w:id="465"/>
    <w:bookmarkStart w:id="466" w:name="Xcea89c9ae2d8b4465968c50be83c88d6cc81b44"/>
    <w:p>
      <w:pPr>
        <w:pStyle w:val="Heading3"/>
      </w:pPr>
      <w:r>
        <w:t xml:space="preserve">H.10.3 Réseau des points de paiement agréés (module 66)</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Type de point</w:t>
            </w:r>
          </w:p>
        </w:tc>
        <w:tc>
          <w:tcPr>
            <w:shd w:val="clear" w:color="auto" w:fill="232C6B"/>
          </w:tcPr>
          <w:p>
            <w:pPr>
              <w:pStyle w:val="Compact"/>
            </w:pPr>
            <w:r>
              <w:rPr>
                <w:b/>
                <w:color w:val="FFFFFF"/>
                <w:sz w:val="17"/>
              </w:rPr>
              <w:t xml:space="preserve">Exemples</w:t>
            </w:r>
          </w:p>
        </w:tc>
        <w:tc>
          <w:tcPr>
            <w:shd w:val="clear" w:color="auto" w:fill="232C6B"/>
          </w:tcPr>
          <w:p>
            <w:pPr>
              <w:pStyle w:val="Compact"/>
            </w:pPr>
            <w:r>
              <w:rPr>
                <w:b/>
                <w:color w:val="FFFFFF"/>
                <w:sz w:val="17"/>
              </w:rPr>
              <w:t xml:space="preserve">Conditions</w:t>
            </w:r>
          </w:p>
        </w:tc>
      </w:tr>
      <w:tr>
        <w:tc>
          <w:tcPr/>
          <w:p>
            <w:pPr>
              <w:pStyle w:val="Compact"/>
            </w:pPr>
            <w:r>
              <w:rPr>
                <w:sz w:val="17"/>
              </w:rPr>
              <w:t xml:space="preserve">Monnaie mobile</w:t>
            </w:r>
          </w:p>
        </w:tc>
        <w:tc>
          <w:tcPr/>
          <w:p>
            <w:pPr>
              <w:pStyle w:val="Compact"/>
            </w:pPr>
            <w:r>
              <w:rPr>
                <w:sz w:val="17"/>
              </w:rPr>
              <w:t xml:space="preserve">Application, USSD de l’opérateur</w:t>
            </w:r>
          </w:p>
        </w:tc>
        <w:tc>
          <w:tcPr/>
          <w:p>
            <w:pPr>
              <w:pStyle w:val="Compact"/>
            </w:pPr>
            <w:r>
              <w:rPr>
                <w:sz w:val="17"/>
              </w:rPr>
              <w:t xml:space="preserve">Émetteur agréé BCC (J9)</w:t>
            </w:r>
          </w:p>
        </w:tc>
      </w:tr>
      <w:tr>
        <w:tc>
          <w:tcPr>
            <w:shd w:val="clear" w:color="auto" w:fill="F5F7FB"/>
          </w:tcPr>
          <w:p>
            <w:pPr>
              <w:pStyle w:val="Compact"/>
            </w:pPr>
            <w:r>
              <w:rPr>
                <w:sz w:val="17"/>
              </w:rPr>
              <w:t xml:space="preserve">Agent de monnaie mobile de quartier</w:t>
            </w:r>
          </w:p>
        </w:tc>
        <w:tc>
          <w:tcPr>
            <w:shd w:val="clear" w:color="auto" w:fill="F5F7FB"/>
          </w:tcPr>
          <w:p>
            <w:pPr>
              <w:pStyle w:val="Compact"/>
            </w:pPr>
            <w:r>
              <w:rPr>
                <w:sz w:val="17"/>
              </w:rPr>
              <w:t xml:space="preserve">Agent référencé de l’émetteur</w:t>
            </w:r>
          </w:p>
        </w:tc>
        <w:tc>
          <w:tcPr>
            <w:shd w:val="clear" w:color="auto" w:fill="F5F7FB"/>
          </w:tcPr>
          <w:p>
            <w:pPr>
              <w:pStyle w:val="Compact"/>
            </w:pPr>
            <w:r>
              <w:rPr>
                <w:sz w:val="17"/>
              </w:rPr>
              <w:t xml:space="preserve">Référencé dans MOSOLO ; plafonds ; contrôles mystère</w:t>
            </w:r>
          </w:p>
        </w:tc>
      </w:tr>
      <w:tr>
        <w:tc>
          <w:tcPr/>
          <w:p>
            <w:pPr>
              <w:pStyle w:val="Compact"/>
            </w:pPr>
            <w:r>
              <w:rPr>
                <w:sz w:val="17"/>
              </w:rPr>
              <w:t xml:space="preserve">Agence bancaire</w:t>
            </w:r>
          </w:p>
        </w:tc>
        <w:tc>
          <w:tcPr/>
          <w:p>
            <w:pPr>
              <w:pStyle w:val="Compact"/>
            </w:pPr>
            <w:r>
              <w:rPr>
                <w:sz w:val="17"/>
              </w:rPr>
              <w:t xml:space="preserve">Banque de recettes conventionnée</w:t>
            </w:r>
          </w:p>
        </w:tc>
        <w:tc>
          <w:tcPr/>
          <w:p>
            <w:pPr>
              <w:pStyle w:val="Compact"/>
            </w:pPr>
            <w:r>
              <w:rPr>
                <w:sz w:val="17"/>
              </w:rPr>
              <w:t xml:space="preserve">Convention, relevés quotidiens</w:t>
            </w:r>
          </w:p>
        </w:tc>
      </w:tr>
      <w:tr>
        <w:tc>
          <w:tcPr>
            <w:shd w:val="clear" w:color="auto" w:fill="F5F7FB"/>
          </w:tcPr>
          <w:p>
            <w:pPr>
              <w:pStyle w:val="Compact"/>
            </w:pPr>
            <w:r>
              <w:rPr>
                <w:sz w:val="17"/>
              </w:rPr>
              <w:t xml:space="preserve">Guichet bancaire dans un guichet MOSOLO</w:t>
            </w:r>
          </w:p>
        </w:tc>
        <w:tc>
          <w:tcPr>
            <w:shd w:val="clear" w:color="auto" w:fill="F5F7FB"/>
          </w:tcPr>
          <w:p>
            <w:pPr>
              <w:pStyle w:val="Compact"/>
            </w:pPr>
            <w:r>
              <w:rPr>
                <w:sz w:val="17"/>
              </w:rPr>
              <w:t xml:space="preserve">Guichet d’une banque partenaire installé au kiosque communal</w:t>
            </w:r>
          </w:p>
        </w:tc>
        <w:tc>
          <w:tcPr>
            <w:shd w:val="clear" w:color="auto" w:fill="F5F7FB"/>
          </w:tcPr>
          <w:p>
            <w:pPr>
              <w:pStyle w:val="Compact"/>
            </w:pPr>
            <w:r>
              <w:rPr>
                <w:sz w:val="17"/>
              </w:rPr>
              <w:t xml:space="preserve">Idem ; seul le guichet bancaire encaisse</w:t>
            </w:r>
          </w:p>
        </w:tc>
      </w:tr>
      <w:tr>
        <w:tc>
          <w:tcPr/>
          <w:p>
            <w:pPr>
              <w:pStyle w:val="Compact"/>
            </w:pPr>
            <w:r>
              <w:rPr>
                <w:sz w:val="17"/>
              </w:rPr>
              <w:t xml:space="preserve">TPE d’un prestataire habilité</w:t>
            </w:r>
          </w:p>
        </w:tc>
        <w:tc>
          <w:tcPr/>
          <w:p>
            <w:pPr>
              <w:pStyle w:val="Compact"/>
            </w:pPr>
            <w:r>
              <w:rPr>
                <w:sz w:val="17"/>
              </w:rPr>
              <w:t xml:space="preserve">Terminal de paiement opéré par un prestataire agréé BCC</w:t>
            </w:r>
          </w:p>
        </w:tc>
        <w:tc>
          <w:tcPr/>
          <w:p>
            <w:pPr>
              <w:pStyle w:val="Compact"/>
            </w:pPr>
            <w:r>
              <w:rPr>
                <w:sz w:val="17"/>
              </w:rPr>
              <w:t xml:space="preserve">Agrément vérifié (J20)</w:t>
            </w:r>
          </w:p>
        </w:tc>
      </w:tr>
      <w:tr>
        <w:tc>
          <w:tcPr>
            <w:shd w:val="clear" w:color="auto" w:fill="F5F7FB"/>
          </w:tcPr>
          <w:p>
            <w:pPr>
              <w:pStyle w:val="Compact"/>
            </w:pPr>
            <w:r>
              <w:rPr>
                <w:sz w:val="17"/>
              </w:rPr>
              <w:t xml:space="preserve">Carte en ligne</w:t>
            </w:r>
          </w:p>
        </w:tc>
        <w:tc>
          <w:tcPr>
            <w:shd w:val="clear" w:color="auto" w:fill="F5F7FB"/>
          </w:tcPr>
          <w:p>
            <w:pPr>
              <w:pStyle w:val="Compact"/>
            </w:pPr>
            <w:r>
              <w:rPr>
                <w:sz w:val="17"/>
              </w:rPr>
              <w:t xml:space="preserve">Diaspora, entreprises</w:t>
            </w:r>
          </w:p>
        </w:tc>
        <w:tc>
          <w:tcPr>
            <w:shd w:val="clear" w:color="auto" w:fill="F5F7FB"/>
          </w:tcPr>
          <w:p>
            <w:pPr>
              <w:pStyle w:val="Compact"/>
            </w:pPr>
            <w:r>
              <w:rPr>
                <w:sz w:val="17"/>
              </w:rPr>
              <w:t xml:space="preserve">Acquéreur habilité ; 3-D Secure</w:t>
            </w:r>
          </w:p>
        </w:tc>
      </w:tr>
    </w:tbl>
    <w:p>
      <w:pPr>
        <w:pStyle w:val="BodyText"/>
      </w:pPr>
      <w:r>
        <w:rPr>
          <w:b/>
          <w:bCs/>
        </w:rPr>
        <w:t xml:space="preserve">Référencement</w:t>
      </w:r>
      <w:r>
        <w:t xml:space="preserve"> </w:t>
      </w:r>
      <w:r>
        <w:t xml:space="preserve">: localisation, opérateur, horaires, statut (</w:t>
      </w:r>
      <w:r>
        <w:rPr>
          <w:rStyle w:val="VerbatimChar"/>
        </w:rPr>
        <w:t xml:space="preserve">RÉFÉRENCÉ</w:t>
      </w:r>
      <w:r>
        <w:t xml:space="preserve"> </w:t>
      </w:r>
      <w:r>
        <w:t xml:space="preserve">→</w:t>
      </w:r>
      <w:r>
        <w:t xml:space="preserve"> </w:t>
      </w:r>
      <w:r>
        <w:rPr>
          <w:rStyle w:val="VerbatimChar"/>
        </w:rPr>
        <w:t xml:space="preserve">ACTIF</w:t>
      </w:r>
      <w:r>
        <w:t xml:space="preserve"> </w:t>
      </w:r>
      <w:r>
        <w:t xml:space="preserve">→</w:t>
      </w:r>
      <w:r>
        <w:t xml:space="preserve"> </w:t>
      </w:r>
      <w:r>
        <w:rPr>
          <w:rStyle w:val="VerbatimChar"/>
        </w:rPr>
        <w:t xml:space="preserve">SUSPENDU</w:t>
      </w:r>
      <w:r>
        <w:t xml:space="preserve">) ; liste consultable par SMS, SVI, avis imprimé et portail (</w:t>
      </w:r>
      <w:r>
        <w:rPr>
          <w:rStyle w:val="VerbatimChar"/>
        </w:rPr>
        <w:t xml:space="preserve">GET</w:t>
      </w:r>
      <w:r>
        <w:t xml:space="preserve"> </w:t>
      </w:r>
      <w:r>
        <w:t xml:space="preserve">public, § H.16.6).</w:t>
      </w:r>
      <w:r>
        <w:t xml:space="preserve"> </w:t>
      </w:r>
      <w:r>
        <w:rPr>
          <w:b/>
          <w:bCs/>
        </w:rPr>
        <w:t xml:space="preserve">Un point non référencé ne peut émettre aucune preuve valable.</w:t>
      </w:r>
      <w:r>
        <w:t xml:space="preserve"> </w:t>
      </w:r>
      <w:r>
        <w:t xml:space="preserve">Indicateur d’accessibilité : part de la population à moins de 15 minutes de marche d’un point agréé (§ H.19).</w:t>
      </w:r>
    </w:p>
    <w:bookmarkEnd w:id="466"/>
    <w:bookmarkStart w:id="470" w:name="h.10.4-étapes-du-paiement-sur-référence"/>
    <w:p>
      <w:pPr>
        <w:pStyle w:val="Heading3"/>
      </w:pPr>
      <w:r>
        <w:t xml:space="preserve">H.10.4 Étapes du paiement sur référence</w:t>
      </w:r>
    </w:p>
    <w:p>
      <w:pPr>
        <w:pStyle w:val="FirstParagraph"/>
      </w:pPr>
      <w:r>
        <w:drawing>
          <wp:inline>
            <wp:extent cx="6108700" cy="3132267"/>
            <wp:effectExtent b="0" l="0" r="0" t="0"/>
            <wp:docPr descr="" title="" id="468" name="Picture"/>
            <a:graphic>
              <a:graphicData uri="http://schemas.openxmlformats.org/drawingml/2006/picture">
                <pic:pic>
                  <pic:nvPicPr>
                    <pic:cNvPr descr="figures/mermaid/mmd-875da270e8da.png" id="469" name="Picture"/>
                    <pic:cNvPicPr>
                      <a:picLocks noChangeArrowheads="1" noChangeAspect="1"/>
                    </pic:cNvPicPr>
                  </pic:nvPicPr>
                  <pic:blipFill>
                    <a:blip r:embed="rId467"/>
                    <a:stretch>
                      <a:fillRect/>
                    </a:stretch>
                  </pic:blipFill>
                  <pic:spPr bwMode="auto">
                    <a:xfrm>
                      <a:off x="0" y="0"/>
                      <a:ext cx="6108700" cy="3132267"/>
                    </a:xfrm>
                    <a:prstGeom prst="rect">
                      <a:avLst/>
                    </a:prstGeom>
                    <a:noFill/>
                    <a:ln w="9525">
                      <a:noFill/>
                      <a:headEnd/>
                      <a:tailEnd/>
                    </a:ln>
                  </pic:spPr>
                </pic:pic>
              </a:graphicData>
            </a:graphic>
          </wp:inline>
        </w:drawing>
      </w:r>
    </w:p>
    <w:bookmarkEnd w:id="470"/>
    <w:bookmarkStart w:id="471" w:name="h.10.5-formes-de-la-preuve-de-paiement"/>
    <w:p>
      <w:pPr>
        <w:pStyle w:val="Heading3"/>
      </w:pPr>
      <w:r>
        <w:t xml:space="preserve">H.10.5 Formes de la preuve de paiement</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Forme</w:t>
            </w:r>
          </w:p>
        </w:tc>
        <w:tc>
          <w:tcPr>
            <w:shd w:val="clear" w:color="auto" w:fill="232C6B"/>
          </w:tcPr>
          <w:p>
            <w:pPr>
              <w:pStyle w:val="Compact"/>
            </w:pPr>
            <w:r>
              <w:rPr>
                <w:b/>
                <w:color w:val="FFFFFF"/>
                <w:sz w:val="17"/>
              </w:rPr>
              <w:t xml:space="preserve">Contenu</w:t>
            </w:r>
          </w:p>
        </w:tc>
        <w:tc>
          <w:tcPr>
            <w:shd w:val="clear" w:color="auto" w:fill="232C6B"/>
          </w:tcPr>
          <w:p>
            <w:pPr>
              <w:pStyle w:val="Compact"/>
            </w:pPr>
            <w:r>
              <w:rPr>
                <w:b/>
                <w:color w:val="FFFFFF"/>
                <w:sz w:val="17"/>
              </w:rPr>
              <w:t xml:space="preserve">Vérifiable sans smartphone</w:t>
            </w:r>
          </w:p>
        </w:tc>
      </w:tr>
      <w:tr>
        <w:tc>
          <w:tcPr/>
          <w:p>
            <w:pPr>
              <w:pStyle w:val="Compact"/>
            </w:pPr>
            <w:r>
              <w:rPr>
                <w:sz w:val="17"/>
              </w:rPr>
              <w:t xml:space="preserve">SMS de quittance</w:t>
            </w:r>
          </w:p>
        </w:tc>
        <w:tc>
          <w:tcPr/>
          <w:p>
            <w:pPr>
              <w:pStyle w:val="Compact"/>
            </w:pPr>
            <w:r>
              <w:rPr>
                <w:sz w:val="17"/>
              </w:rPr>
              <w:t xml:space="preserve">Numéro, montant, objet, période, code de vérification court</w:t>
            </w:r>
          </w:p>
        </w:tc>
        <w:tc>
          <w:tcPr/>
          <w:p>
            <w:pPr>
              <w:pStyle w:val="Compact"/>
            </w:pPr>
            <w:r>
              <w:rPr>
                <w:sz w:val="17"/>
              </w:rPr>
              <w:t xml:space="preserve">Oui (SMS au code court)</w:t>
            </w:r>
          </w:p>
        </w:tc>
      </w:tr>
      <w:tr>
        <w:tc>
          <w:tcPr>
            <w:shd w:val="clear" w:color="auto" w:fill="F5F7FB"/>
          </w:tcPr>
          <w:p>
            <w:pPr>
              <w:pStyle w:val="Compact"/>
            </w:pPr>
            <w:r>
              <w:rPr>
                <w:sz w:val="17"/>
              </w:rPr>
              <w:t xml:space="preserve">Quittance imprimée</w:t>
            </w:r>
          </w:p>
        </w:tc>
        <w:tc>
          <w:tcPr>
            <w:shd w:val="clear" w:color="auto" w:fill="F5F7FB"/>
          </w:tcPr>
          <w:p>
            <w:pPr>
              <w:pStyle w:val="Compact"/>
            </w:pPr>
            <w:r>
              <w:rPr>
                <w:sz w:val="17"/>
              </w:rPr>
              <w:t xml:space="preserve">Contenu du § 19.1, QR signé, pictogrammes</w:t>
            </w:r>
          </w:p>
        </w:tc>
        <w:tc>
          <w:tcPr>
            <w:shd w:val="clear" w:color="auto" w:fill="F5F7FB"/>
          </w:tcPr>
          <w:p>
            <w:pPr>
              <w:pStyle w:val="Compact"/>
            </w:pPr>
            <w:r>
              <w:rPr>
                <w:sz w:val="17"/>
              </w:rPr>
              <w:t xml:space="preserve">Oui (guichet, SVI par numéro)</w:t>
            </w:r>
          </w:p>
        </w:tc>
      </w:tr>
      <w:tr>
        <w:tc>
          <w:tcPr/>
          <w:p>
            <w:pPr>
              <w:pStyle w:val="Compact"/>
            </w:pPr>
            <w:r>
              <w:rPr>
                <w:sz w:val="17"/>
              </w:rPr>
              <w:t xml:space="preserve">Quittance électronique PDF</w:t>
            </w:r>
          </w:p>
        </w:tc>
        <w:tc>
          <w:tcPr/>
          <w:p>
            <w:pPr>
              <w:pStyle w:val="Compact"/>
            </w:pPr>
            <w:r>
              <w:rPr>
                <w:sz w:val="17"/>
              </w:rPr>
              <w:t xml:space="preserve">Signature électronique avancée</w:t>
            </w:r>
          </w:p>
        </w:tc>
        <w:tc>
          <w:tcPr/>
          <w:p>
            <w:pPr>
              <w:pStyle w:val="Compact"/>
            </w:pPr>
            <w:r>
              <w:rPr>
                <w:sz w:val="17"/>
              </w:rPr>
              <w:t xml:space="preserve">—</w:t>
            </w:r>
          </w:p>
        </w:tc>
      </w:tr>
      <w:tr>
        <w:tc>
          <w:tcPr>
            <w:shd w:val="clear" w:color="auto" w:fill="F5F7FB"/>
          </w:tcPr>
          <w:p>
            <w:pPr>
              <w:pStyle w:val="Compact"/>
            </w:pPr>
            <w:r>
              <w:rPr>
                <w:sz w:val="17"/>
              </w:rPr>
              <w:t xml:space="preserve">Confirmation vocale</w:t>
            </w:r>
          </w:p>
        </w:tc>
        <w:tc>
          <w:tcPr>
            <w:shd w:val="clear" w:color="auto" w:fill="F5F7FB"/>
          </w:tcPr>
          <w:p>
            <w:pPr>
              <w:pStyle w:val="Compact"/>
            </w:pPr>
            <w:r>
              <w:rPr>
                <w:sz w:val="17"/>
              </w:rPr>
              <w:t xml:space="preserve">Lecture par le SVI</w:t>
            </w:r>
          </w:p>
        </w:tc>
        <w:tc>
          <w:tcPr>
            <w:shd w:val="clear" w:color="auto" w:fill="F5F7FB"/>
          </w:tcPr>
          <w:p>
            <w:pPr>
              <w:pStyle w:val="Compact"/>
            </w:pPr>
            <w:r>
              <w:rPr>
                <w:sz w:val="17"/>
              </w:rPr>
              <w:t xml:space="preserve">Oui</w:t>
            </w:r>
          </w:p>
        </w:tc>
      </w:tr>
      <w:tr>
        <w:tc>
          <w:tcPr/>
          <w:p>
            <w:pPr>
              <w:pStyle w:val="Compact"/>
            </w:pPr>
            <w:r>
              <w:rPr>
                <w:sz w:val="17"/>
              </w:rPr>
              <w:t xml:space="preserve">Statut de l’objet</w:t>
            </w:r>
          </w:p>
        </w:tc>
        <w:tc>
          <w:tcPr/>
          <w:p>
            <w:pPr>
              <w:pStyle w:val="Compact"/>
            </w:pPr>
            <w:r>
              <w:rPr>
                <w:sz w:val="17"/>
              </w:rPr>
              <w:t xml:space="preserve">Plaque QR : payé / non payé pour la période (vue agent habilité)</w:t>
            </w:r>
          </w:p>
        </w:tc>
        <w:tc>
          <w:tcPr/>
          <w:p>
            <w:pPr>
              <w:pStyle w:val="Compact"/>
            </w:pPr>
            <w:r>
              <w:rPr>
                <w:sz w:val="17"/>
              </w:rPr>
              <w:t xml:space="preserve">Oui (contrôle)</w:t>
            </w:r>
          </w:p>
        </w:tc>
      </w:tr>
      <w:tr>
        <w:tc>
          <w:tcPr>
            <w:shd w:val="clear" w:color="auto" w:fill="F5F7FB"/>
          </w:tcPr>
          <w:p>
            <w:pPr>
              <w:pStyle w:val="Compact"/>
            </w:pPr>
            <w:r>
              <w:rPr>
                <w:sz w:val="17"/>
              </w:rPr>
              <w:t xml:space="preserve">Historique du compte</w:t>
            </w:r>
          </w:p>
        </w:tc>
        <w:tc>
          <w:tcPr>
            <w:shd w:val="clear" w:color="auto" w:fill="F5F7FB"/>
          </w:tcPr>
          <w:p>
            <w:pPr>
              <w:pStyle w:val="Compact"/>
            </w:pPr>
            <w:r>
              <w:rPr>
                <w:sz w:val="17"/>
              </w:rPr>
              <w:t xml:space="preserve">Toutes les quittances téléchargeables</w:t>
            </w:r>
          </w:p>
        </w:tc>
        <w:tc>
          <w:tcPr>
            <w:shd w:val="clear" w:color="auto" w:fill="F5F7FB"/>
          </w:tcPr>
          <w:p>
            <w:pPr>
              <w:pStyle w:val="Compact"/>
            </w:pPr>
            <w:r>
              <w:rPr>
                <w:sz w:val="17"/>
              </w:rPr>
              <w:t xml:space="preserve">—</w:t>
            </w:r>
          </w:p>
        </w:tc>
      </w:tr>
    </w:tbl>
    <w:bookmarkEnd w:id="471"/>
    <w:bookmarkStart w:id="472" w:name="h.10.6-vérification-par-acteur"/>
    <w:p>
      <w:pPr>
        <w:pStyle w:val="Heading3"/>
      </w:pPr>
      <w:r>
        <w:t xml:space="preserve">H.10.6 Vérification par acteur</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Acteur</w:t>
            </w:r>
          </w:p>
        </w:tc>
        <w:tc>
          <w:tcPr>
            <w:shd w:val="clear" w:color="auto" w:fill="232C6B"/>
          </w:tcPr>
          <w:p>
            <w:pPr>
              <w:pStyle w:val="Compact"/>
            </w:pPr>
            <w:r>
              <w:rPr>
                <w:b/>
                <w:color w:val="FFFFFF"/>
                <w:sz w:val="17"/>
              </w:rPr>
              <w:t xml:space="preserve">Moyen</w:t>
            </w:r>
          </w:p>
        </w:tc>
        <w:tc>
          <w:tcPr>
            <w:shd w:val="clear" w:color="auto" w:fill="232C6B"/>
          </w:tcPr>
          <w:p>
            <w:pPr>
              <w:pStyle w:val="Compact"/>
            </w:pPr>
            <w:r>
              <w:rPr>
                <w:b/>
                <w:color w:val="FFFFFF"/>
                <w:sz w:val="17"/>
              </w:rPr>
              <w:t xml:space="preserve">Résultat</w:t>
            </w:r>
          </w:p>
        </w:tc>
      </w:tr>
      <w:tr>
        <w:tc>
          <w:tcPr/>
          <w:p>
            <w:pPr>
              <w:pStyle w:val="Compact"/>
            </w:pPr>
            <w:r>
              <w:rPr>
                <w:sz w:val="17"/>
              </w:rPr>
              <w:t xml:space="preserve">Contribuable</w:t>
            </w:r>
          </w:p>
        </w:tc>
        <w:tc>
          <w:tcPr/>
          <w:p>
            <w:pPr>
              <w:pStyle w:val="Compact"/>
            </w:pPr>
            <w:r>
              <w:rPr>
                <w:sz w:val="17"/>
              </w:rPr>
              <w:t xml:space="preserve">SMS du code au numéro court, USSD, SVI, scan du QR</w:t>
            </w:r>
          </w:p>
        </w:tc>
        <w:tc>
          <w:tcPr/>
          <w:p>
            <w:pPr>
              <w:pStyle w:val="Compact"/>
            </w:pPr>
            <w:r>
              <w:rPr>
                <w:sz w:val="17"/>
              </w:rPr>
              <w:t xml:space="preserve">Statut minimal (§ 19.2)</w:t>
            </w:r>
          </w:p>
        </w:tc>
      </w:tr>
      <w:tr>
        <w:tc>
          <w:tcPr>
            <w:shd w:val="clear" w:color="auto" w:fill="F5F7FB"/>
          </w:tcPr>
          <w:p>
            <w:pPr>
              <w:pStyle w:val="Compact"/>
            </w:pPr>
            <w:r>
              <w:rPr>
                <w:sz w:val="17"/>
              </w:rPr>
              <w:t xml:space="preserve">Contrôleur</w:t>
            </w:r>
          </w:p>
        </w:tc>
        <w:tc>
          <w:tcPr>
            <w:shd w:val="clear" w:color="auto" w:fill="F5F7FB"/>
          </w:tcPr>
          <w:p>
            <w:pPr>
              <w:pStyle w:val="Compact"/>
            </w:pPr>
            <w:r>
              <w:rPr>
                <w:sz w:val="17"/>
              </w:rPr>
              <w:t xml:space="preserve">Scan de la plaque ou du QR,</w:t>
            </w:r>
            <w:r>
              <w:rPr>
                <w:sz w:val="17"/>
              </w:rPr>
              <w:t xml:space="preserve"> </w:t>
            </w:r>
            <w:r>
              <w:rPr>
                <w:b/>
                <w:bCs/>
                <w:sz w:val="17"/>
              </w:rPr>
              <w:t xml:space="preserve">hors ligne avec statut minimal</w:t>
            </w:r>
            <w:r>
              <w:rPr>
                <w:sz w:val="17"/>
              </w:rPr>
              <w:t xml:space="preserve"> </w:t>
            </w:r>
            <w:r>
              <w:rPr>
                <w:sz w:val="17"/>
              </w:rPr>
              <w:t xml:space="preserve">(signature + liste de révocation, § 19.3)</w:t>
            </w:r>
          </w:p>
        </w:tc>
        <w:tc>
          <w:tcPr>
            <w:shd w:val="clear" w:color="auto" w:fill="F5F7FB"/>
          </w:tcPr>
          <w:p>
            <w:pPr>
              <w:pStyle w:val="Compact"/>
            </w:pPr>
            <w:r>
              <w:rPr>
                <w:sz w:val="17"/>
              </w:rPr>
              <w:t xml:space="preserve">« Authentique — statut vérifié au … »</w:t>
            </w:r>
          </w:p>
        </w:tc>
      </w:tr>
      <w:tr>
        <w:tc>
          <w:tcPr/>
          <w:p>
            <w:pPr>
              <w:pStyle w:val="Compact"/>
            </w:pPr>
            <w:r>
              <w:rPr>
                <w:sz w:val="17"/>
              </w:rPr>
              <w:t xml:space="preserve">Guichet, banque, administration</w:t>
            </w:r>
          </w:p>
        </w:tc>
        <w:tc>
          <w:tcPr/>
          <w:p>
            <w:pPr>
              <w:pStyle w:val="Compact"/>
            </w:pPr>
            <w:r>
              <w:rPr>
                <w:sz w:val="17"/>
              </w:rPr>
              <w:t xml:space="preserve">QR ou code</w:t>
            </w:r>
          </w:p>
        </w:tc>
        <w:tc>
          <w:tcPr/>
          <w:p>
            <w:pPr>
              <w:pStyle w:val="Compact"/>
            </w:pPr>
            <w:r>
              <w:rPr>
                <w:sz w:val="17"/>
              </w:rPr>
              <w:t xml:space="preserve">Validité de la quittance et du quitus (API, R37)</w:t>
            </w:r>
          </w:p>
        </w:tc>
      </w:tr>
      <w:tr>
        <w:tc>
          <w:tcPr>
            <w:shd w:val="clear" w:color="auto" w:fill="F5F7FB"/>
          </w:tcPr>
          <w:p>
            <w:pPr>
              <w:pStyle w:val="Compact"/>
            </w:pPr>
            <w:r>
              <w:rPr>
                <w:sz w:val="17"/>
              </w:rPr>
              <w:t xml:space="preserve">Trésorerie</w:t>
            </w:r>
          </w:p>
        </w:tc>
        <w:tc>
          <w:tcPr>
            <w:shd w:val="clear" w:color="auto" w:fill="F5F7FB"/>
          </w:tcPr>
          <w:p>
            <w:pPr>
              <w:pStyle w:val="Compact"/>
            </w:pPr>
            <w:r>
              <w:rPr>
                <w:sz w:val="17"/>
              </w:rPr>
              <w:t xml:space="preserve">Rapprochement quotidien quittance ↔ paiement ↔ règlement ↔ écriture</w:t>
            </w:r>
          </w:p>
        </w:tc>
        <w:tc>
          <w:tcPr>
            <w:shd w:val="clear" w:color="auto" w:fill="F5F7FB"/>
          </w:tcPr>
          <w:p>
            <w:pPr>
              <w:pStyle w:val="Compact"/>
            </w:pPr>
            <w:r>
              <w:rPr>
                <w:sz w:val="17"/>
              </w:rPr>
              <w:t xml:space="preserve">Files d’exception</w:t>
            </w:r>
          </w:p>
        </w:tc>
      </w:tr>
      <w:tr>
        <w:tc>
          <w:tcPr/>
          <w:p>
            <w:pPr>
              <w:pStyle w:val="Compact"/>
            </w:pPr>
            <w:r>
              <w:rPr>
                <w:sz w:val="17"/>
              </w:rPr>
              <w:t xml:space="preserve">Auditeur</w:t>
            </w:r>
          </w:p>
        </w:tc>
        <w:tc>
          <w:tcPr/>
          <w:p>
            <w:pPr>
              <w:pStyle w:val="Compact"/>
            </w:pPr>
            <w:r>
              <w:rPr>
                <w:sz w:val="17"/>
              </w:rPr>
              <w:t xml:space="preserve">Piste complète</w:t>
            </w:r>
          </w:p>
        </w:tc>
        <w:tc>
          <w:tcPr/>
          <w:p>
            <w:pPr>
              <w:pStyle w:val="Compact"/>
            </w:pPr>
            <w:r>
              <w:rPr>
                <w:sz w:val="17"/>
              </w:rPr>
              <w:t xml:space="preserve">Chaîne sans trou</w:t>
            </w:r>
          </w:p>
        </w:tc>
      </w:tr>
    </w:tbl>
    <w:bookmarkEnd w:id="472"/>
    <w:bookmarkStart w:id="473" w:name="h.10.7-authenticité-de-la-preuve"/>
    <w:p>
      <w:pPr>
        <w:pStyle w:val="Heading3"/>
      </w:pPr>
      <w:r>
        <w:t xml:space="preserve">H.10.7 Authenticité de la preuve</w:t>
      </w:r>
    </w:p>
    <w:p>
      <w:pPr>
        <w:pStyle w:val="Compact"/>
        <w:numPr>
          <w:ilvl w:val="0"/>
          <w:numId w:val="1029"/>
        </w:numPr>
      </w:pPr>
      <w:r>
        <w:t xml:space="preserve">Seul le système émet un numéro de quittance, après confirmation serveur à serveur.</w:t>
      </w:r>
    </w:p>
    <w:p>
      <w:pPr>
        <w:pStyle w:val="Compact"/>
        <w:numPr>
          <w:ilvl w:val="0"/>
          <w:numId w:val="1029"/>
        </w:numPr>
      </w:pPr>
      <w:r>
        <w:t xml:space="preserve">Le QR est un jeton signé renvoyant à la vérification en ligne ; toute copie modifiée est déclarée « invalide ».</w:t>
      </w:r>
    </w:p>
    <w:p>
      <w:pPr>
        <w:pStyle w:val="Compact"/>
        <w:numPr>
          <w:ilvl w:val="0"/>
          <w:numId w:val="1029"/>
        </w:numPr>
      </w:pPr>
      <w:r>
        <w:t xml:space="preserve">Code court avec chiffre de contrôle ;</w:t>
      </w:r>
      <w:r>
        <w:t xml:space="preserve"> </w:t>
      </w:r>
      <w:r>
        <w:rPr>
          <w:b/>
          <w:bCs/>
        </w:rPr>
        <w:t xml:space="preserve">limitation de fréquence contre l’énumération</w:t>
      </w:r>
      <w:r>
        <w:t xml:space="preserve"> </w:t>
      </w:r>
      <w:r>
        <w:t xml:space="preserve">(module 68).</w:t>
      </w:r>
    </w:p>
    <w:p>
      <w:pPr>
        <w:pStyle w:val="Compact"/>
        <w:numPr>
          <w:ilvl w:val="0"/>
          <w:numId w:val="1029"/>
        </w:numPr>
      </w:pPr>
      <w:r>
        <w:t xml:space="preserve">Une quittance par paiement ; une réimpression porte la mention «</w:t>
      </w:r>
      <w:r>
        <w:t xml:space="preserve"> </w:t>
      </w:r>
      <w:r>
        <w:rPr>
          <w:b/>
          <w:bCs/>
        </w:rPr>
        <w:t xml:space="preserve">DUPLICATA</w:t>
      </w:r>
      <w:r>
        <w:t xml:space="preserve"> </w:t>
      </w:r>
      <w:r>
        <w:t xml:space="preserve">» et la même référence.</w:t>
      </w:r>
    </w:p>
    <w:p>
      <w:pPr>
        <w:pStyle w:val="Compact"/>
        <w:numPr>
          <w:ilvl w:val="0"/>
          <w:numId w:val="1029"/>
        </w:numPr>
      </w:pPr>
      <w:r>
        <w:rPr>
          <w:b/>
          <w:bCs/>
        </w:rPr>
        <w:t xml:space="preserve">Un papier seul, sans enregistrement dans le système, n’a aucune valeur.</w:t>
      </w:r>
    </w:p>
    <w:bookmarkEnd w:id="473"/>
    <w:bookmarkStart w:id="474" w:name="h.10.8-verrouillage-des-fuites"/>
    <w:p>
      <w:pPr>
        <w:pStyle w:val="Heading3"/>
      </w:pPr>
      <w:r>
        <w:t xml:space="preserve">H.10.8 Verrouillage des fuites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Fuite</w:t>
            </w:r>
          </w:p>
        </w:tc>
        <w:tc>
          <w:tcPr>
            <w:shd w:val="clear" w:color="auto" w:fill="232C6B"/>
          </w:tcPr>
          <w:p>
            <w:pPr>
              <w:pStyle w:val="Compact"/>
            </w:pPr>
            <w:r>
              <w:rPr>
                <w:b/>
                <w:color w:val="FFFFFF"/>
                <w:sz w:val="17"/>
              </w:rPr>
              <w:t xml:space="preserve">Verrou</w:t>
            </w:r>
          </w:p>
        </w:tc>
      </w:tr>
      <w:tr>
        <w:tc>
          <w:tcPr/>
          <w:p>
            <w:pPr>
              <w:pStyle w:val="Compact"/>
            </w:pPr>
            <w:r>
              <w:rPr>
                <w:sz w:val="17"/>
              </w:rPr>
              <w:t xml:space="preserve">Agent ou sous-traitant qui encaisse</w:t>
            </w:r>
          </w:p>
        </w:tc>
        <w:tc>
          <w:tcPr/>
          <w:p>
            <w:pPr>
              <w:pStyle w:val="Compact"/>
            </w:pPr>
            <w:r>
              <w:rPr>
                <w:sz w:val="17"/>
              </w:rPr>
              <w:t xml:space="preserve">Aucune fonction d’encaissement ; interdiction contractuelle ; résiliation ; poursuites</w:t>
            </w:r>
          </w:p>
        </w:tc>
      </w:tr>
      <w:tr>
        <w:tc>
          <w:tcPr>
            <w:shd w:val="clear" w:color="auto" w:fill="F5F7FB"/>
          </w:tcPr>
          <w:p>
            <w:pPr>
              <w:pStyle w:val="Compact"/>
            </w:pPr>
            <w:r>
              <w:rPr>
                <w:sz w:val="17"/>
              </w:rPr>
              <w:t xml:space="preserve">Faux agent</w:t>
            </w:r>
          </w:p>
        </w:tc>
        <w:tc>
          <w:tcPr>
            <w:shd w:val="clear" w:color="auto" w:fill="F5F7FB"/>
          </w:tcPr>
          <w:p>
            <w:pPr>
              <w:pStyle w:val="Compact"/>
            </w:pPr>
            <w:r>
              <w:rPr>
                <w:sz w:val="17"/>
              </w:rPr>
              <w:t xml:space="preserve">Badge vérifiable par SMS, USSD, SVI</w:t>
            </w:r>
          </w:p>
        </w:tc>
      </w:tr>
      <w:tr>
        <w:tc>
          <w:tcPr/>
          <w:p>
            <w:pPr>
              <w:pStyle w:val="Compact"/>
            </w:pPr>
            <w:r>
              <w:rPr>
                <w:sz w:val="17"/>
              </w:rPr>
              <w:t xml:space="preserve">Montant négocié</w:t>
            </w:r>
          </w:p>
        </w:tc>
        <w:tc>
          <w:tcPr/>
          <w:p>
            <w:pPr>
              <w:pStyle w:val="Compact"/>
            </w:pPr>
            <w:r>
              <w:rPr>
                <w:sz w:val="17"/>
              </w:rPr>
              <w:t xml:space="preserve">Montant fixé par le moteur, non modifiable au point de paiement</w:t>
            </w:r>
          </w:p>
        </w:tc>
      </w:tr>
      <w:tr>
        <w:tc>
          <w:tcPr>
            <w:shd w:val="clear" w:color="auto" w:fill="F5F7FB"/>
          </w:tcPr>
          <w:p>
            <w:pPr>
              <w:pStyle w:val="Compact"/>
            </w:pPr>
            <w:r>
              <w:rPr>
                <w:sz w:val="17"/>
              </w:rPr>
              <w:t xml:space="preserve">Fausse quittance</w:t>
            </w:r>
          </w:p>
        </w:tc>
        <w:tc>
          <w:tcPr>
            <w:shd w:val="clear" w:color="auto" w:fill="F5F7FB"/>
          </w:tcPr>
          <w:p>
            <w:pPr>
              <w:pStyle w:val="Compact"/>
            </w:pPr>
            <w:r>
              <w:rPr>
                <w:sz w:val="17"/>
              </w:rPr>
              <w:t xml:space="preserve">Numérotation exclusive ; vérification publique</w:t>
            </w:r>
          </w:p>
        </w:tc>
      </w:tr>
      <w:tr>
        <w:tc>
          <w:tcPr/>
          <w:p>
            <w:pPr>
              <w:pStyle w:val="Compact"/>
            </w:pPr>
            <w:r>
              <w:rPr>
                <w:sz w:val="17"/>
              </w:rPr>
              <w:t xml:space="preserve">Point conservant les fonds</w:t>
            </w:r>
          </w:p>
        </w:tc>
        <w:tc>
          <w:tcPr/>
          <w:p>
            <w:pPr>
              <w:pStyle w:val="Compact"/>
            </w:pPr>
            <w:r>
              <w:rPr>
                <w:sz w:val="17"/>
              </w:rPr>
              <w:t xml:space="preserve">Délai contractuel de règlement ; rapprochement quotidien ; alerte ;</w:t>
            </w:r>
            <w:r>
              <w:rPr>
                <w:sz w:val="17"/>
              </w:rPr>
              <w:t xml:space="preserve"> </w:t>
            </w:r>
            <w:r>
              <w:rPr>
                <w:b/>
                <w:bCs/>
                <w:sz w:val="17"/>
              </w:rPr>
              <w:t xml:space="preserve">suspension du point décidée par le Trésor</w:t>
            </w:r>
            <w:r>
              <w:rPr>
                <w:sz w:val="17"/>
              </w:rPr>
              <w:t xml:space="preserve"> </w:t>
            </w:r>
            <w:r>
              <w:rPr>
                <w:sz w:val="17"/>
              </w:rPr>
              <w:t xml:space="preserve">sur proposition du système (ARB-12)</w:t>
            </w:r>
          </w:p>
        </w:tc>
      </w:tr>
      <w:tr>
        <w:tc>
          <w:tcPr>
            <w:shd w:val="clear" w:color="auto" w:fill="F5F7FB"/>
          </w:tcPr>
          <w:p>
            <w:pPr>
              <w:pStyle w:val="Compact"/>
            </w:pPr>
            <w:r>
              <w:rPr>
                <w:sz w:val="17"/>
              </w:rPr>
              <w:t xml:space="preserve">Faux point de paiement</w:t>
            </w:r>
          </w:p>
        </w:tc>
        <w:tc>
          <w:tcPr>
            <w:shd w:val="clear" w:color="auto" w:fill="F5F7FB"/>
          </w:tcPr>
          <w:p>
            <w:pPr>
              <w:pStyle w:val="Compact"/>
            </w:pPr>
            <w:r>
              <w:rPr>
                <w:sz w:val="17"/>
              </w:rPr>
              <w:t xml:space="preserve">Seuls les points référencés produisent une preuve valable</w:t>
            </w:r>
          </w:p>
        </w:tc>
      </w:tr>
      <w:tr>
        <w:tc>
          <w:tcPr/>
          <w:p>
            <w:pPr>
              <w:pStyle w:val="Compact"/>
            </w:pPr>
            <w:r>
              <w:rPr>
                <w:sz w:val="17"/>
              </w:rPr>
              <w:t xml:space="preserve">Détournement vers un autre compte</w:t>
            </w:r>
          </w:p>
        </w:tc>
        <w:tc>
          <w:tcPr/>
          <w:p>
            <w:pPr>
              <w:pStyle w:val="Compact"/>
            </w:pPr>
            <w:r>
              <w:rPr>
                <w:sz w:val="17"/>
              </w:rPr>
              <w:t xml:space="preserve">Coffre, quorum, refroidissement 72 h (§ 12.6)</w:t>
            </w:r>
          </w:p>
        </w:tc>
      </w:tr>
      <w:tr>
        <w:tc>
          <w:tcPr>
            <w:shd w:val="clear" w:color="auto" w:fill="F5F7FB"/>
          </w:tcPr>
          <w:p>
            <w:pPr>
              <w:pStyle w:val="Compact"/>
            </w:pPr>
            <w:r>
              <w:rPr>
                <w:sz w:val="17"/>
              </w:rPr>
              <w:t xml:space="preserve">Paiement perdu</w:t>
            </w:r>
          </w:p>
        </w:tc>
        <w:tc>
          <w:tcPr>
            <w:shd w:val="clear" w:color="auto" w:fill="F5F7FB"/>
          </w:tcPr>
          <w:p>
            <w:pPr>
              <w:pStyle w:val="Compact"/>
            </w:pPr>
            <w:r>
              <w:rPr>
                <w:sz w:val="17"/>
              </w:rPr>
              <w:t xml:space="preserve">Rapprochement quotidien ;</w:t>
            </w:r>
            <w:r>
              <w:rPr>
                <w:sz w:val="17"/>
              </w:rPr>
              <w:t xml:space="preserve"> </w:t>
            </w:r>
            <w:r>
              <w:rPr>
                <w:b/>
                <w:bCs/>
                <w:sz w:val="17"/>
              </w:rPr>
              <w:t xml:space="preserve">files d’exception traitées sous 48 heures</w:t>
            </w:r>
            <w:r>
              <w:rPr>
                <w:sz w:val="17"/>
              </w:rPr>
              <w:t xml:space="preserve"> </w:t>
            </w:r>
            <w:r>
              <w:rPr>
                <w:sz w:val="17"/>
              </w:rPr>
              <w:t xml:space="preserve">(revue du contrôle interne)</w:t>
            </w:r>
          </w:p>
        </w:tc>
      </w:tr>
      <w:tr>
        <w:tc>
          <w:tcPr/>
          <w:p>
            <w:pPr>
              <w:pStyle w:val="Compact"/>
            </w:pPr>
            <w:r>
              <w:rPr>
                <w:sz w:val="17"/>
              </w:rPr>
              <w:t xml:space="preserve">Objets fictifs</w:t>
            </w:r>
          </w:p>
        </w:tc>
        <w:tc>
          <w:tcPr/>
          <w:p>
            <w:pPr>
              <w:pStyle w:val="Compact"/>
            </w:pPr>
            <w:r>
              <w:rPr>
                <w:sz w:val="17"/>
              </w:rPr>
              <w:t xml:space="preserve">Contrôle qualité ; récupération des sommes versées</w:t>
            </w:r>
          </w:p>
        </w:tc>
      </w:tr>
      <w:tr>
        <w:tc>
          <w:tcPr>
            <w:shd w:val="clear" w:color="auto" w:fill="F5F7FB"/>
          </w:tcPr>
          <w:p>
            <w:pPr>
              <w:pStyle w:val="Compact"/>
            </w:pPr>
            <w:r>
              <w:rPr>
                <w:sz w:val="17"/>
              </w:rPr>
              <w:t xml:space="preserve">Effacement de traces</w:t>
            </w:r>
          </w:p>
        </w:tc>
        <w:tc>
          <w:tcPr>
            <w:shd w:val="clear" w:color="auto" w:fill="F5F7FB"/>
          </w:tcPr>
          <w:p>
            <w:pPr>
              <w:pStyle w:val="Compact"/>
            </w:pPr>
            <w:r>
              <w:rPr>
                <w:sz w:val="17"/>
              </w:rPr>
              <w:t xml:space="preserve">Ajout seul ; contre-écritures</w:t>
            </w:r>
          </w:p>
        </w:tc>
      </w:tr>
    </w:tbl>
    <w:bookmarkEnd w:id="474"/>
    <w:bookmarkStart w:id="475" w:name="X0f8ce68f468e45bfbbcc690e9da8692de0d13df"/>
    <w:p>
      <w:pPr>
        <w:pStyle w:val="Heading3"/>
      </w:pPr>
      <w:r>
        <w:t xml:space="preserve">H.10.9 Ligne de signalement et contrôles mystère (module 69)</w:t>
      </w:r>
    </w:p>
    <w:p>
      <w:pPr>
        <w:pStyle w:val="Compact"/>
        <w:numPr>
          <w:ilvl w:val="0"/>
          <w:numId w:val="1030"/>
        </w:numPr>
      </w:pPr>
      <w:r>
        <w:t xml:space="preserve">Numéro gratuit, SMS, SVI ; anonymat possible ;</w:t>
      </w:r>
      <w:r>
        <w:t xml:space="preserve"> </w:t>
      </w:r>
      <w:r>
        <w:rPr>
          <w:b/>
          <w:bCs/>
        </w:rPr>
        <w:t xml:space="preserve">protection du signalant</w:t>
      </w:r>
      <w:r>
        <w:t xml:space="preserve"> </w:t>
      </w:r>
      <w:r>
        <w:t xml:space="preserve">(identité jamais révélée par l’opérateur).</w:t>
      </w:r>
    </w:p>
    <w:p>
      <w:pPr>
        <w:pStyle w:val="Compact"/>
        <w:numPr>
          <w:ilvl w:val="0"/>
          <w:numId w:val="1030"/>
        </w:numPr>
      </w:pPr>
      <w:r>
        <w:t xml:space="preserve">Chaque signalement est enregistré, qualifié, transmis à l’enquêteur ; délai de traitement suivi jusqu’à clôture.</w:t>
      </w:r>
    </w:p>
    <w:p>
      <w:pPr>
        <w:pStyle w:val="Compact"/>
        <w:numPr>
          <w:ilvl w:val="0"/>
          <w:numId w:val="1030"/>
        </w:numPr>
      </w:pPr>
      <w:r>
        <w:rPr>
          <w:b/>
          <w:bCs/>
        </w:rPr>
        <w:t xml:space="preserve">Contrôles mystère périodiques</w:t>
      </w:r>
      <w:r>
        <w:t xml:space="preserve"> </w:t>
      </w:r>
      <w:r>
        <w:t xml:space="preserve">auprès des agents, des sous-traitants et des points de paiement ;</w:t>
      </w:r>
      <w:r>
        <w:t xml:space="preserve"> </w:t>
      </w:r>
      <w:r>
        <w:rPr>
          <w:b/>
          <w:bCs/>
        </w:rPr>
        <w:t xml:space="preserve">résultats publiés sous forme agrégée</w:t>
      </w:r>
      <w:r>
        <w:t xml:space="preserve">.</w:t>
      </w:r>
    </w:p>
    <w:p>
      <w:pPr>
        <w:pStyle w:val="Compact"/>
        <w:numPr>
          <w:ilvl w:val="0"/>
          <w:numId w:val="1030"/>
        </w:numPr>
      </w:pPr>
      <w:r>
        <w:t xml:space="preserve">Critère AC-PPT-03 : un paiement en espèces chez un point agréé donne un montant non modifiable, une quittance émise seulement après confirmation S2S, une preuve imprimée et un SMS, et le statut « payé » de l’objet.</w:t>
      </w:r>
    </w:p>
    <w:bookmarkEnd w:id="475"/>
    <w:bookmarkStart w:id="476" w:name="X4b40adf10a08521ac52ea2deebb35f55dbb970e"/>
    <w:p>
      <w:pPr>
        <w:pStyle w:val="Heading3"/>
      </w:pPr>
      <w:r>
        <w:t xml:space="preserve">H.10.10 Statuts de quittance : correspondance des vocabulaires</w:t>
      </w:r>
    </w:p>
    <w:p>
      <w:pPr>
        <w:pStyle w:val="FirstParagraph"/>
      </w:pPr>
      <w:r>
        <w:t xml:space="preserve">Trois vocabulaires coexistaient dans les sources (ARB-34). La correspondance normative est :</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État interne (</w:t>
            </w:r>
            <w:r>
              <w:rPr>
                <w:rStyle w:val="VerbatimChar"/>
                <w:b/>
                <w:color w:val="FFFFFF"/>
                <w:sz w:val="17"/>
              </w:rPr>
              <w:t xml:space="preserve">Receipt.status</w:t>
            </w:r>
            <w:r>
              <w:rPr>
                <w:b/>
                <w:color w:val="FFFFFF"/>
                <w:sz w:val="17"/>
              </w:rPr>
              <w:t xml:space="preserve">, § 29.3)</w:t>
            </w:r>
          </w:p>
        </w:tc>
        <w:tc>
          <w:tcPr>
            <w:shd w:val="clear" w:color="auto" w:fill="232C6B"/>
          </w:tcPr>
          <w:p>
            <w:pPr>
              <w:pStyle w:val="Compact"/>
            </w:pPr>
            <w:r>
              <w:rPr>
                <w:b/>
                <w:color w:val="FFFFFF"/>
                <w:sz w:val="17"/>
              </w:rPr>
              <w:t xml:space="preserve">Affichage public (§ 19.2)</w:t>
            </w:r>
          </w:p>
        </w:tc>
        <w:tc>
          <w:tcPr>
            <w:shd w:val="clear" w:color="auto" w:fill="232C6B"/>
          </w:tcPr>
          <w:p>
            <w:pPr>
              <w:pStyle w:val="Compact"/>
            </w:pPr>
            <w:r>
              <w:rPr>
                <w:b/>
                <w:color w:val="FFFFFF"/>
                <w:sz w:val="17"/>
              </w:rPr>
              <w:t xml:space="preserve">Code court (module 68)</w:t>
            </w:r>
          </w:p>
        </w:tc>
        <w:tc>
          <w:tcPr>
            <w:shd w:val="clear" w:color="auto" w:fill="232C6B"/>
          </w:tcPr>
          <w:p>
            <w:pPr>
              <w:pStyle w:val="Compact"/>
            </w:pPr>
            <w:r>
              <w:rPr>
                <w:b/>
                <w:color w:val="FFFFFF"/>
                <w:sz w:val="17"/>
              </w:rPr>
              <w:t xml:space="preserve">État de paiement (§ 18.4)</w:t>
            </w:r>
          </w:p>
        </w:tc>
      </w:tr>
      <w:tr>
        <w:tc>
          <w:tcPr/>
          <w:p>
            <w:pPr>
              <w:pStyle w:val="Compact"/>
            </w:pPr>
            <w:r>
              <w:rPr>
                <w:rStyle w:val="VerbatimChar"/>
                <w:sz w:val="17"/>
              </w:rPr>
              <w:t xml:space="preserve">PROVISOIRE</w:t>
            </w:r>
          </w:p>
        </w:tc>
        <w:tc>
          <w:tcPr/>
          <w:p>
            <w:pPr>
              <w:pStyle w:val="Compact"/>
            </w:pPr>
            <w:r>
              <w:rPr>
                <w:sz w:val="17"/>
              </w:rPr>
              <w:t xml:space="preserve">⏳ En attente (« paiement confirmé, règlement en cours »)</w:t>
            </w:r>
          </w:p>
        </w:tc>
        <w:tc>
          <w:tcPr/>
          <w:p>
            <w:pPr>
              <w:pStyle w:val="Compact"/>
            </w:pPr>
            <w:r>
              <w:rPr>
                <w:sz w:val="17"/>
              </w:rPr>
              <w:t xml:space="preserve">EN ATTENTE</w:t>
            </w:r>
          </w:p>
        </w:tc>
        <w:tc>
          <w:tcPr/>
          <w:p>
            <w:pPr>
              <w:pStyle w:val="Compact"/>
            </w:pPr>
            <w:r>
              <w:rPr>
                <w:rStyle w:val="VerbatimChar"/>
                <w:sz w:val="17"/>
              </w:rPr>
              <w:t xml:space="preserve">CONFIRME</w:t>
            </w:r>
            <w:r>
              <w:rPr>
                <w:sz w:val="17"/>
              </w:rPr>
              <w:t xml:space="preserve">,</w:t>
            </w:r>
            <w:r>
              <w:rPr>
                <w:sz w:val="17"/>
              </w:rPr>
              <w:t xml:space="preserve"> </w:t>
            </w:r>
            <w:r>
              <w:rPr>
                <w:rStyle w:val="VerbatimChar"/>
                <w:sz w:val="17"/>
              </w:rPr>
              <w:t xml:space="preserve">REGLE</w:t>
            </w:r>
          </w:p>
        </w:tc>
      </w:tr>
      <w:tr>
        <w:tc>
          <w:tcPr>
            <w:shd w:val="clear" w:color="auto" w:fill="F5F7FB"/>
          </w:tcPr>
          <w:p>
            <w:pPr>
              <w:pStyle w:val="Compact"/>
            </w:pPr>
            <w:r>
              <w:rPr>
                <w:rStyle w:val="VerbatimChar"/>
                <w:sz w:val="17"/>
              </w:rPr>
              <w:t xml:space="preserve">DÉFINITIVE</w:t>
            </w:r>
          </w:p>
        </w:tc>
        <w:tc>
          <w:tcPr>
            <w:shd w:val="clear" w:color="auto" w:fill="F5F7FB"/>
          </w:tcPr>
          <w:p>
            <w:pPr>
              <w:pStyle w:val="Compact"/>
            </w:pPr>
            <w:r>
              <w:rPr>
                <w:sz w:val="17"/>
              </w:rPr>
              <w:t xml:space="preserve">✅ Valide</w:t>
            </w:r>
          </w:p>
        </w:tc>
        <w:tc>
          <w:tcPr>
            <w:shd w:val="clear" w:color="auto" w:fill="F5F7FB"/>
          </w:tcPr>
          <w:p>
            <w:pPr>
              <w:pStyle w:val="Compact"/>
            </w:pPr>
            <w:r>
              <w:rPr>
                <w:sz w:val="17"/>
              </w:rPr>
              <w:t xml:space="preserve">VALIDE</w:t>
            </w:r>
          </w:p>
        </w:tc>
        <w:tc>
          <w:tcPr>
            <w:shd w:val="clear" w:color="auto" w:fill="F5F7FB"/>
          </w:tcPr>
          <w:p>
            <w:pPr>
              <w:pStyle w:val="Compact"/>
            </w:pPr>
            <w:r>
              <w:rPr>
                <w:rStyle w:val="VerbatimChar"/>
                <w:sz w:val="17"/>
              </w:rPr>
              <w:t xml:space="preserve">RAPPROCHE</w:t>
            </w:r>
          </w:p>
        </w:tc>
      </w:tr>
      <w:tr>
        <w:tc>
          <w:tcPr/>
          <w:p>
            <w:pPr>
              <w:pStyle w:val="Compact"/>
            </w:pPr>
            <w:r>
              <w:rPr>
                <w:rStyle w:val="VerbatimChar"/>
                <w:sz w:val="17"/>
              </w:rPr>
              <w:t xml:space="preserve">ANNULÉE</w:t>
            </w:r>
          </w:p>
        </w:tc>
        <w:tc>
          <w:tcPr/>
          <w:p>
            <w:pPr>
              <w:pStyle w:val="Compact"/>
            </w:pPr>
            <w:r>
              <w:rPr>
                <w:sz w:val="17"/>
              </w:rPr>
              <w:t xml:space="preserve">❌ Non valable</w:t>
            </w:r>
          </w:p>
        </w:tc>
        <w:tc>
          <w:tcPr/>
          <w:p>
            <w:pPr>
              <w:pStyle w:val="Compact"/>
            </w:pPr>
            <w:r>
              <w:rPr>
                <w:sz w:val="17"/>
              </w:rPr>
              <w:t xml:space="preserve">RÉVOQUÉE</w:t>
            </w:r>
          </w:p>
        </w:tc>
        <w:tc>
          <w:tcPr/>
          <w:p>
            <w:pPr>
              <w:pStyle w:val="Compact"/>
            </w:pPr>
            <w:r>
              <w:rPr>
                <w:rStyle w:val="VerbatimChar"/>
                <w:sz w:val="17"/>
              </w:rPr>
              <w:t xml:space="preserve">ECHOUE</w:t>
            </w:r>
            <w:r>
              <w:rPr>
                <w:sz w:val="17"/>
              </w:rPr>
              <w:t xml:space="preserve"> </w:t>
            </w:r>
            <w:r>
              <w:rPr>
                <w:sz w:val="17"/>
              </w:rPr>
              <w:t xml:space="preserve">après émission, décision</w:t>
            </w:r>
          </w:p>
        </w:tc>
      </w:tr>
      <w:tr>
        <w:tc>
          <w:tcPr>
            <w:shd w:val="clear" w:color="auto" w:fill="F5F7FB"/>
          </w:tcPr>
          <w:p>
            <w:pPr>
              <w:pStyle w:val="Compact"/>
            </w:pPr>
            <w:r>
              <w:rPr>
                <w:rStyle w:val="VerbatimChar"/>
                <w:sz w:val="17"/>
              </w:rPr>
              <w:t xml:space="preserve">CONTREPASSÉE</w:t>
            </w:r>
          </w:p>
        </w:tc>
        <w:tc>
          <w:tcPr>
            <w:shd w:val="clear" w:color="auto" w:fill="F5F7FB"/>
          </w:tcPr>
          <w:p>
            <w:pPr>
              <w:pStyle w:val="Compact"/>
            </w:pPr>
            <w:r>
              <w:rPr>
                <w:sz w:val="17"/>
              </w:rPr>
              <w:t xml:space="preserve">❌ Non valable (contrepassée)</w:t>
            </w:r>
          </w:p>
        </w:tc>
        <w:tc>
          <w:tcPr>
            <w:shd w:val="clear" w:color="auto" w:fill="F5F7FB"/>
          </w:tcPr>
          <w:p>
            <w:pPr>
              <w:pStyle w:val="Compact"/>
            </w:pPr>
            <w:r>
              <w:rPr>
                <w:sz w:val="17"/>
              </w:rPr>
              <w:t xml:space="preserve">RÉVOQUÉE</w:t>
            </w:r>
          </w:p>
        </w:tc>
        <w:tc>
          <w:tcPr>
            <w:shd w:val="clear" w:color="auto" w:fill="F5F7FB"/>
          </w:tcPr>
          <w:p>
            <w:pPr>
              <w:pStyle w:val="Compact"/>
            </w:pPr>
            <w:r>
              <w:rPr>
                <w:rStyle w:val="VerbatimChar"/>
                <w:sz w:val="17"/>
              </w:rPr>
              <w:t xml:space="preserve">CONTREPASSE</w:t>
            </w:r>
          </w:p>
        </w:tc>
      </w:tr>
      <w:tr>
        <w:tc>
          <w:tcPr/>
          <w:p>
            <w:pPr>
              <w:pStyle w:val="Compact"/>
            </w:pPr>
            <w:r>
              <w:rPr>
                <w:rStyle w:val="VerbatimChar"/>
                <w:sz w:val="17"/>
              </w:rPr>
              <w:t xml:space="preserve">REMPLACÉE</w:t>
            </w:r>
          </w:p>
        </w:tc>
        <w:tc>
          <w:tcPr/>
          <w:p>
            <w:pPr>
              <w:pStyle w:val="Compact"/>
            </w:pPr>
            <w:r>
              <w:rPr>
                <w:sz w:val="17"/>
              </w:rPr>
              <w:t xml:space="preserve">🔁 Remplacée par la quittance n° …</w:t>
            </w:r>
          </w:p>
        </w:tc>
        <w:tc>
          <w:tcPr/>
          <w:p>
            <w:pPr>
              <w:pStyle w:val="Compact"/>
            </w:pPr>
            <w:r>
              <w:rPr>
                <w:sz w:val="17"/>
              </w:rPr>
              <w:t xml:space="preserve">RÉVOQUÉE (renvoi)</w:t>
            </w:r>
          </w:p>
        </w:tc>
        <w:tc>
          <w:tcPr/>
          <w:p>
            <w:pPr>
              <w:pStyle w:val="Compact"/>
            </w:pPr>
            <w:r>
              <w:rPr>
                <w:sz w:val="17"/>
              </w:rPr>
              <w:t xml:space="preserve">—</w:t>
            </w:r>
          </w:p>
        </w:tc>
      </w:tr>
      <w:tr>
        <w:tc>
          <w:tcPr>
            <w:shd w:val="clear" w:color="auto" w:fill="F5F7FB"/>
          </w:tcPr>
          <w:p>
            <w:pPr>
              <w:pStyle w:val="Compact"/>
            </w:pPr>
            <w:r>
              <w:rPr>
                <w:rStyle w:val="VerbatimChar"/>
                <w:sz w:val="17"/>
              </w:rPr>
              <w:t xml:space="preserve">SUSPECTE</w:t>
            </w:r>
          </w:p>
        </w:tc>
        <w:tc>
          <w:tcPr>
            <w:shd w:val="clear" w:color="auto" w:fill="F5F7FB"/>
          </w:tcPr>
          <w:p>
            <w:pPr>
              <w:pStyle w:val="Compact"/>
            </w:pPr>
            <w:r>
              <w:rPr>
                <w:sz w:val="17"/>
              </w:rPr>
              <w:t xml:space="preserve">⚠️ Vérification impossible — contactez la régie</w:t>
            </w:r>
          </w:p>
        </w:tc>
        <w:tc>
          <w:tcPr>
            <w:shd w:val="clear" w:color="auto" w:fill="F5F7FB"/>
          </w:tcPr>
          <w:p>
            <w:pPr>
              <w:pStyle w:val="Compact"/>
            </w:pPr>
            <w:r>
              <w:rPr>
                <w:sz w:val="17"/>
              </w:rPr>
              <w:t xml:space="preserve">RÉVOQUÉE (message générique)</w:t>
            </w:r>
          </w:p>
        </w:tc>
        <w:tc>
          <w:tcPr>
            <w:shd w:val="clear" w:color="auto" w:fill="F5F7FB"/>
          </w:tcPr>
          <w:p>
            <w:pPr>
              <w:pStyle w:val="Compact"/>
            </w:pPr>
            <w:r>
              <w:rPr>
                <w:rStyle w:val="VerbatimChar"/>
                <w:sz w:val="17"/>
              </w:rPr>
              <w:t xml:space="preserve">CONTESTE</w:t>
            </w:r>
          </w:p>
        </w:tc>
      </w:tr>
      <w:tr>
        <w:tc>
          <w:tcPr/>
          <w:p>
            <w:pPr>
              <w:pStyle w:val="Compact"/>
            </w:pPr>
            <w:r>
              <w:rPr>
                <w:sz w:val="17"/>
              </w:rPr>
              <w:t xml:space="preserve">— (titre)</w:t>
            </w:r>
          </w:p>
        </w:tc>
        <w:tc>
          <w:tcPr/>
          <w:p>
            <w:pPr>
              <w:pStyle w:val="Compact"/>
            </w:pPr>
            <w:r>
              <w:rPr>
                <w:sz w:val="17"/>
              </w:rPr>
              <w:t xml:space="preserve">—</w:t>
            </w:r>
          </w:p>
        </w:tc>
        <w:tc>
          <w:tcPr/>
          <w:p>
            <w:pPr>
              <w:pStyle w:val="Compact"/>
            </w:pPr>
            <w:r>
              <w:rPr>
                <w:sz w:val="17"/>
              </w:rPr>
              <w:t xml:space="preserve">EXPIRÉ (titre uniquement)</w:t>
            </w:r>
          </w:p>
        </w:tc>
        <w:tc>
          <w:tcPr/>
          <w:p>
            <w:pPr>
              <w:pStyle w:val="Compact"/>
            </w:pPr>
            <w:r>
              <w:rPr>
                <w:sz w:val="17"/>
              </w:rPr>
              <w:t xml:space="preserve">—</w:t>
            </w:r>
          </w:p>
        </w:tc>
      </w:tr>
    </w:tbl>
    <w:bookmarkEnd w:id="476"/>
    <w:bookmarkStart w:id="477" w:name="X0e7e2cd2cf3c47bbebf60bd01e253cb6f8ca277"/>
    <w:p>
      <w:pPr>
        <w:pStyle w:val="Heading3"/>
      </w:pPr>
      <w:r>
        <w:t xml:space="preserve">H.10.11 Rapprochement : rythme des contrôles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Contrôle</w:t>
            </w:r>
          </w:p>
        </w:tc>
        <w:tc>
          <w:tcPr>
            <w:shd w:val="clear" w:color="auto" w:fill="232C6B"/>
          </w:tcPr>
          <w:p>
            <w:pPr>
              <w:pStyle w:val="Compact"/>
            </w:pPr>
            <w:r>
              <w:rPr>
                <w:b/>
                <w:color w:val="FFFFFF"/>
                <w:sz w:val="17"/>
              </w:rPr>
              <w:t xml:space="preserve">Fréquence</w:t>
            </w:r>
          </w:p>
        </w:tc>
        <w:tc>
          <w:tcPr>
            <w:shd w:val="clear" w:color="auto" w:fill="232C6B"/>
          </w:tcPr>
          <w:p>
            <w:pPr>
              <w:pStyle w:val="Compact"/>
            </w:pPr>
            <w:r>
              <w:rPr>
                <w:b/>
                <w:color w:val="FFFFFF"/>
                <w:sz w:val="17"/>
              </w:rPr>
              <w:t xml:space="preserve">Responsable</w:t>
            </w:r>
          </w:p>
        </w:tc>
        <w:tc>
          <w:tcPr>
            <w:shd w:val="clear" w:color="auto" w:fill="232C6B"/>
          </w:tcPr>
          <w:p>
            <w:pPr>
              <w:pStyle w:val="Compact"/>
            </w:pPr>
            <w:r>
              <w:rPr>
                <w:b/>
                <w:color w:val="FFFFFF"/>
                <w:sz w:val="17"/>
              </w:rPr>
              <w:t xml:space="preserve">Déclencheur d’exception</w:t>
            </w:r>
          </w:p>
        </w:tc>
      </w:tr>
      <w:tr>
        <w:tc>
          <w:tcPr/>
          <w:p>
            <w:pPr>
              <w:pStyle w:val="Compact"/>
            </w:pPr>
            <w:r>
              <w:rPr>
                <w:sz w:val="17"/>
              </w:rPr>
              <w:t xml:space="preserve">Appariement automatique à trois voies</w:t>
            </w:r>
          </w:p>
        </w:tc>
        <w:tc>
          <w:tcPr/>
          <w:p>
            <w:pPr>
              <w:pStyle w:val="Compact"/>
            </w:pPr>
            <w:r>
              <w:rPr>
                <w:sz w:val="17"/>
              </w:rPr>
              <w:t xml:space="preserve">Continu</w:t>
            </w:r>
          </w:p>
        </w:tc>
        <w:tc>
          <w:tcPr/>
          <w:p>
            <w:pPr>
              <w:pStyle w:val="Compact"/>
            </w:pPr>
            <w:r>
              <w:rPr>
                <w:sz w:val="17"/>
              </w:rPr>
              <w:t xml:space="preserve">Système</w:t>
            </w:r>
          </w:p>
        </w:tc>
        <w:tc>
          <w:tcPr/>
          <w:p>
            <w:pPr>
              <w:pStyle w:val="Compact"/>
            </w:pPr>
            <w:r>
              <w:rPr>
                <w:sz w:val="17"/>
              </w:rPr>
              <w:t xml:space="preserve">Tout écart</w:t>
            </w:r>
          </w:p>
        </w:tc>
      </w:tr>
      <w:tr>
        <w:tc>
          <w:tcPr>
            <w:shd w:val="clear" w:color="auto" w:fill="F5F7FB"/>
          </w:tcPr>
          <w:p>
            <w:pPr>
              <w:pStyle w:val="Compact"/>
            </w:pPr>
            <w:r>
              <w:rPr>
                <w:sz w:val="17"/>
              </w:rPr>
              <w:t xml:space="preserve">Rapprochement bancaire</w:t>
            </w:r>
          </w:p>
        </w:tc>
        <w:tc>
          <w:tcPr>
            <w:shd w:val="clear" w:color="auto" w:fill="F5F7FB"/>
          </w:tcPr>
          <w:p>
            <w:pPr>
              <w:pStyle w:val="Compact"/>
            </w:pPr>
            <w:r>
              <w:rPr>
                <w:sz w:val="17"/>
              </w:rPr>
              <w:t xml:space="preserve">Quotidien</w:t>
            </w:r>
          </w:p>
        </w:tc>
        <w:tc>
          <w:tcPr>
            <w:shd w:val="clear" w:color="auto" w:fill="F5F7FB"/>
          </w:tcPr>
          <w:p>
            <w:pPr>
              <w:pStyle w:val="Compact"/>
            </w:pPr>
            <w:r>
              <w:rPr>
                <w:sz w:val="17"/>
              </w:rPr>
              <w:t xml:space="preserve">Trésorerie provinciale</w:t>
            </w:r>
          </w:p>
        </w:tc>
        <w:tc>
          <w:tcPr>
            <w:shd w:val="clear" w:color="auto" w:fill="F5F7FB"/>
          </w:tcPr>
          <w:p>
            <w:pPr>
              <w:pStyle w:val="Compact"/>
            </w:pPr>
            <w:r>
              <w:rPr>
                <w:sz w:val="17"/>
              </w:rPr>
              <w:t xml:space="preserve">Écart &gt; seuil ou règlement &gt; 24 h (J+1 ouvré, § 20.1)</w:t>
            </w:r>
          </w:p>
        </w:tc>
      </w:tr>
      <w:tr>
        <w:tc>
          <w:tcPr/>
          <w:p>
            <w:pPr>
              <w:pStyle w:val="Compact"/>
            </w:pPr>
            <w:r>
              <w:rPr>
                <w:sz w:val="17"/>
              </w:rPr>
              <w:t xml:space="preserve">Revue des exceptions</w:t>
            </w:r>
          </w:p>
        </w:tc>
        <w:tc>
          <w:tcPr/>
          <w:p>
            <w:pPr>
              <w:pStyle w:val="Compact"/>
            </w:pPr>
            <w:r>
              <w:rPr>
                <w:sz w:val="17"/>
              </w:rPr>
              <w:t xml:space="preserve">Quotidienne</w:t>
            </w:r>
          </w:p>
        </w:tc>
        <w:tc>
          <w:tcPr/>
          <w:p>
            <w:pPr>
              <w:pStyle w:val="Compact"/>
            </w:pPr>
            <w:r>
              <w:rPr>
                <w:sz w:val="17"/>
              </w:rPr>
              <w:t xml:space="preserve">Contrôle interne</w:t>
            </w:r>
          </w:p>
        </w:tc>
        <w:tc>
          <w:tcPr/>
          <w:p>
            <w:pPr>
              <w:pStyle w:val="Compact"/>
            </w:pPr>
            <w:r>
              <w:rPr>
                <w:sz w:val="17"/>
              </w:rPr>
              <w:t xml:space="preserve">File non traitée</w:t>
            </w:r>
            <w:r>
              <w:rPr>
                <w:sz w:val="17"/>
              </w:rPr>
              <w:t xml:space="preserve"> </w:t>
            </w:r>
            <w:r>
              <w:rPr>
                <w:b/>
                <w:bCs/>
                <w:sz w:val="17"/>
              </w:rPr>
              <w:t xml:space="preserve">sous 48 heures</w:t>
            </w:r>
          </w:p>
        </w:tc>
      </w:tr>
      <w:tr>
        <w:tc>
          <w:tcPr>
            <w:shd w:val="clear" w:color="auto" w:fill="F5F7FB"/>
          </w:tcPr>
          <w:p>
            <w:pPr>
              <w:pStyle w:val="Compact"/>
            </w:pPr>
            <w:r>
              <w:rPr>
                <w:sz w:val="17"/>
              </w:rPr>
              <w:t xml:space="preserve">Clôture comptable</w:t>
            </w:r>
          </w:p>
        </w:tc>
        <w:tc>
          <w:tcPr>
            <w:shd w:val="clear" w:color="auto" w:fill="F5F7FB"/>
          </w:tcPr>
          <w:p>
            <w:pPr>
              <w:pStyle w:val="Compact"/>
            </w:pPr>
            <w:r>
              <w:rPr>
                <w:sz w:val="17"/>
              </w:rPr>
              <w:t xml:space="preserve">Quotidienne (hachage) et mensuelle</w:t>
            </w:r>
          </w:p>
        </w:tc>
        <w:tc>
          <w:tcPr>
            <w:shd w:val="clear" w:color="auto" w:fill="F5F7FB"/>
          </w:tcPr>
          <w:p>
            <w:pPr>
              <w:pStyle w:val="Compact"/>
            </w:pPr>
            <w:r>
              <w:rPr>
                <w:sz w:val="17"/>
              </w:rPr>
              <w:t xml:space="preserve">Comptable public</w:t>
            </w:r>
          </w:p>
        </w:tc>
        <w:tc>
          <w:tcPr>
            <w:shd w:val="clear" w:color="auto" w:fill="F5F7FB"/>
          </w:tcPr>
          <w:p>
            <w:pPr>
              <w:pStyle w:val="Compact"/>
            </w:pPr>
            <w:r>
              <w:rPr>
                <w:sz w:val="17"/>
              </w:rPr>
              <w:t xml:space="preserve">Écritures non imputées</w:t>
            </w:r>
          </w:p>
        </w:tc>
      </w:tr>
      <w:tr>
        <w:tc>
          <w:tcPr/>
          <w:p>
            <w:pPr>
              <w:pStyle w:val="Compact"/>
            </w:pPr>
            <w:r>
              <w:rPr>
                <w:sz w:val="17"/>
              </w:rPr>
              <w:t xml:space="preserve">Audit indépendant</w:t>
            </w:r>
          </w:p>
        </w:tc>
        <w:tc>
          <w:tcPr/>
          <w:p>
            <w:pPr>
              <w:pStyle w:val="Compact"/>
            </w:pPr>
            <w:r>
              <w:rPr>
                <w:sz w:val="17"/>
              </w:rPr>
              <w:t xml:space="preserve">Trimestriel</w:t>
            </w:r>
          </w:p>
        </w:tc>
        <w:tc>
          <w:tcPr/>
          <w:p>
            <w:pPr>
              <w:pStyle w:val="Compact"/>
            </w:pPr>
            <w:r>
              <w:rPr>
                <w:sz w:val="17"/>
              </w:rPr>
              <w:t xml:space="preserve">Audit interne, inspection</w:t>
            </w:r>
          </w:p>
        </w:tc>
        <w:tc>
          <w:tcPr/>
          <w:p>
            <w:pPr>
              <w:pStyle w:val="Compact"/>
            </w:pPr>
            <w:r>
              <w:rPr>
                <w:sz w:val="17"/>
              </w:rPr>
              <w:t xml:space="preserve">Correction non motivée</w:t>
            </w:r>
          </w:p>
        </w:tc>
      </w:tr>
    </w:tbl>
    <w:p>
      <w:pPr>
        <w:pStyle w:val="BodyText"/>
      </w:pPr>
      <w:r>
        <w:t xml:space="preserve">Chaque exception a un délai de traitement, un responsable et un circuit d’approbation. Critère AC-REC-01 : un appariement déterministe au-dessus du seuil est proposé ou appliqué selon la politique approuvée, et audité ; l’auditeur voit l’original, chaque événement, l’auteur, les approbations, l’horodatage, la contre-écriture et son motif,</w:t>
      </w:r>
      <w:r>
        <w:t xml:space="preserve"> </w:t>
      </w:r>
      <w:r>
        <w:rPr>
          <w:b/>
          <w:bCs/>
        </w:rPr>
        <w:t xml:space="preserve">sans trou de journal</w:t>
      </w:r>
      <w:r>
        <w:t xml:space="preserve">.</w:t>
      </w:r>
    </w:p>
    <w:bookmarkEnd w:id="477"/>
    <w:bookmarkStart w:id="478" w:name="Xb7cac11bbaf9bbda7b713fa69220573ef87695f"/>
    <w:p>
      <w:pPr>
        <w:pStyle w:val="Heading3"/>
      </w:pPr>
      <w:r>
        <w:t xml:space="preserve">H.10.12 Compléments au modèle de paiement</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Exigence source</w:t>
            </w:r>
          </w:p>
        </w:tc>
        <w:tc>
          <w:tcPr>
            <w:shd w:val="clear" w:color="auto" w:fill="232C6B"/>
          </w:tcPr>
          <w:p>
            <w:pPr>
              <w:pStyle w:val="Compact"/>
            </w:pPr>
            <w:r>
              <w:rPr>
                <w:b/>
                <w:color w:val="FFFFFF"/>
                <w:sz w:val="17"/>
              </w:rPr>
              <w:t xml:space="preserve">Position</w:t>
            </w:r>
          </w:p>
        </w:tc>
      </w:tr>
      <w:tr>
        <w:tc>
          <w:tcPr/>
          <w:p>
            <w:pPr>
              <w:pStyle w:val="Compact"/>
            </w:pPr>
            <w:r>
              <w:rPr>
                <w:sz w:val="17"/>
              </w:rPr>
              <w:t xml:space="preserve">Aucun canal exclusif ; choix du contribuable</w:t>
            </w:r>
          </w:p>
        </w:tc>
        <w:tc>
          <w:tcPr/>
          <w:p>
            <w:pPr>
              <w:pStyle w:val="Compact"/>
            </w:pPr>
            <w:r>
              <w:rPr>
                <w:sz w:val="17"/>
              </w:rPr>
              <w:t xml:space="preserve">Couvert (§ 18.2) ; indépendance vis-à-vis d’un prestataire unique (§ 33.2)</w:t>
            </w:r>
          </w:p>
        </w:tc>
      </w:tr>
      <w:tr>
        <w:tc>
          <w:tcPr>
            <w:shd w:val="clear" w:color="auto" w:fill="F5F7FB"/>
          </w:tcPr>
          <w:p>
            <w:pPr>
              <w:pStyle w:val="Compact"/>
            </w:pPr>
            <w:r>
              <w:rPr>
                <w:sz w:val="17"/>
              </w:rPr>
              <w:t xml:space="preserve">Plafonds et seuils d’alerte</w:t>
            </w:r>
            <w:r>
              <w:rPr>
                <w:sz w:val="17"/>
              </w:rPr>
              <w:t xml:space="preserve"> </w:t>
            </w:r>
            <w:r>
              <w:rPr>
                <w:b/>
                <w:bCs/>
                <w:sz w:val="17"/>
              </w:rPr>
              <w:t xml:space="preserve">par canal, par agent (générateur de référence) et par point d’encaissement</w:t>
            </w:r>
          </w:p>
        </w:tc>
        <w:tc>
          <w:tcPr>
            <w:shd w:val="clear" w:color="auto" w:fill="F5F7FB"/>
          </w:tcPr>
          <w:p>
            <w:pPr>
              <w:pStyle w:val="Compact"/>
            </w:pPr>
            <w:r>
              <w:rPr>
                <w:sz w:val="17"/>
              </w:rPr>
              <w:t xml:space="preserve">Intégré aux règles du module 28 et aux alertes du module 40</w:t>
            </w:r>
          </w:p>
        </w:tc>
      </w:tr>
      <w:tr>
        <w:tc>
          <w:tcPr/>
          <w:p>
            <w:pPr>
              <w:pStyle w:val="Compact"/>
            </w:pPr>
            <w:r>
              <w:rPr>
                <w:sz w:val="17"/>
              </w:rPr>
              <w:t xml:space="preserve">Détection des doublons par référence, montant, objet et fenêtre temporelle</w:t>
            </w:r>
          </w:p>
        </w:tc>
        <w:tc>
          <w:tcPr/>
          <w:p>
            <w:pPr>
              <w:pStyle w:val="Compact"/>
            </w:pPr>
            <w:r>
              <w:rPr>
                <w:sz w:val="17"/>
              </w:rPr>
              <w:t xml:space="preserve">Couvert (§ 18.5)</w:t>
            </w:r>
          </w:p>
        </w:tc>
      </w:tr>
      <w:tr>
        <w:tc>
          <w:tcPr>
            <w:shd w:val="clear" w:color="auto" w:fill="F5F7FB"/>
          </w:tcPr>
          <w:p>
            <w:pPr>
              <w:pStyle w:val="Compact"/>
            </w:pPr>
            <w:r>
              <w:rPr>
                <w:sz w:val="17"/>
              </w:rPr>
              <w:t xml:space="preserve">Quittance définitive à</w:t>
            </w:r>
            <w:r>
              <w:rPr>
                <w:sz w:val="17"/>
              </w:rPr>
              <w:t xml:space="preserve"> </w:t>
            </w:r>
            <w:r>
              <w:rPr>
                <w:rStyle w:val="VerbatimChar"/>
                <w:sz w:val="17"/>
              </w:rPr>
              <w:t xml:space="preserve">SETTLED</w:t>
            </w:r>
            <w:r>
              <w:rPr>
                <w:sz w:val="17"/>
              </w:rPr>
              <w:t xml:space="preserve"> </w:t>
            </w:r>
            <w:r>
              <w:rPr>
                <w:sz w:val="17"/>
              </w:rPr>
              <w:t xml:space="preserve">(KIN-RECETTES) ou</w:t>
            </w:r>
            <w:r>
              <w:rPr>
                <w:sz w:val="17"/>
              </w:rPr>
              <w:t xml:space="preserve"> </w:t>
            </w:r>
            <w:r>
              <w:rPr>
                <w:rStyle w:val="VerbatimChar"/>
                <w:sz w:val="17"/>
              </w:rPr>
              <w:t xml:space="preserve">RECONCILED</w:t>
            </w:r>
            <w:r>
              <w:rPr>
                <w:sz w:val="17"/>
              </w:rPr>
              <w:t xml:space="preserve"> </w:t>
            </w:r>
            <w:r>
              <w:rPr>
                <w:sz w:val="17"/>
              </w:rPr>
              <w:t xml:space="preserve">(Cahier)</w:t>
            </w:r>
          </w:p>
        </w:tc>
        <w:tc>
          <w:tcPr>
            <w:shd w:val="clear" w:color="auto" w:fill="F5F7FB"/>
          </w:tcPr>
          <w:p>
            <w:pPr>
              <w:pStyle w:val="Compact"/>
            </w:pPr>
            <w:r>
              <w:rPr>
                <w:rStyle w:val="VerbatimChar"/>
                <w:sz w:val="17"/>
              </w:rPr>
              <w:t xml:space="preserve">RAPPROCHE</w:t>
            </w:r>
            <w:r>
              <w:rPr>
                <w:sz w:val="17"/>
              </w:rPr>
              <w:t xml:space="preserve"> </w:t>
            </w:r>
            <w:r>
              <w:rPr>
                <w:sz w:val="17"/>
              </w:rPr>
              <w:t xml:space="preserve">retenu ; le Comité de pilotage peut, par décision motivée, ramener la bascule à</w:t>
            </w:r>
            <w:r>
              <w:rPr>
                <w:sz w:val="17"/>
              </w:rPr>
              <w:t xml:space="preserve"> </w:t>
            </w:r>
            <w:r>
              <w:rPr>
                <w:rStyle w:val="VerbatimChar"/>
                <w:sz w:val="17"/>
              </w:rPr>
              <w:t xml:space="preserve">REGLE</w:t>
            </w:r>
            <w:r>
              <w:rPr>
                <w:sz w:val="17"/>
              </w:rPr>
              <w:t xml:space="preserve"> </w:t>
            </w:r>
            <w:r>
              <w:rPr>
                <w:sz w:val="17"/>
              </w:rPr>
              <w:t xml:space="preserve">si le rapprochement devient quasi instantané (paramètre versionné, ARB-21)</w:t>
            </w:r>
          </w:p>
        </w:tc>
      </w:tr>
      <w:tr>
        <w:tc>
          <w:tcPr/>
          <w:p>
            <w:pPr>
              <w:pStyle w:val="Compact"/>
            </w:pPr>
            <w:r>
              <w:rPr>
                <w:b/>
                <w:bCs/>
                <w:sz w:val="17"/>
              </w:rPr>
              <w:t xml:space="preserve">Quitus fiscal délivré uniquement sur quittances définitives</w:t>
            </w:r>
          </w:p>
        </w:tc>
        <w:tc>
          <w:tcPr/>
          <w:p>
            <w:pPr>
              <w:pStyle w:val="Compact"/>
            </w:pPr>
            <w:r>
              <w:rPr>
                <w:sz w:val="17"/>
              </w:rPr>
              <w:t xml:space="preserve">Intégré (module 82) : une quittance provisoire ne suffit pas à délivrer un quitus</w:t>
            </w:r>
          </w:p>
        </w:tc>
      </w:tr>
      <w:tr>
        <w:tc>
          <w:tcPr>
            <w:shd w:val="clear" w:color="auto" w:fill="F5F7FB"/>
          </w:tcPr>
          <w:p>
            <w:pPr>
              <w:pStyle w:val="Compact"/>
            </w:pPr>
            <w:r>
              <w:rPr>
                <w:sz w:val="17"/>
              </w:rPr>
              <w:t xml:space="preserve">Agrégateur et commutateur QR nommé ; vérificateur de confirmations nommé</w:t>
            </w:r>
          </w:p>
        </w:tc>
        <w:tc>
          <w:tcPr>
            <w:shd w:val="clear" w:color="auto" w:fill="F5F7FB"/>
          </w:tcPr>
          <w:p>
            <w:pPr>
              <w:pStyle w:val="Compact"/>
            </w:pPr>
            <w:r>
              <w:rPr>
                <w:sz w:val="17"/>
              </w:rPr>
              <w:t xml:space="preserve">Non prescrits (ARB-19) : fonction d’agrégation confiée à un agrégateur agréé BCC choisi après mise en concurrence (§ 6.10)</w:t>
            </w:r>
          </w:p>
        </w:tc>
      </w:tr>
    </w:tbl>
    <w:bookmarkEnd w:id="478"/>
    <w:bookmarkEnd w:id="479"/>
    <w:bookmarkStart w:id="490" w:name="X94769aa0f1c6fca8e42d99b23ec92d03efeb376"/>
    <w:p>
      <w:pPr>
        <w:pStyle w:val="Heading2"/>
      </w:pPr>
      <w:r>
        <w:t xml:space="preserve">H.11 Chapitre 19 (complément) — Titres, preuves et laissez-passer à durée</w:t>
      </w:r>
    </w:p>
    <w:bookmarkStart w:id="480" w:name="h.11.1-quittance-et-titre"/>
    <w:p>
      <w:pPr>
        <w:pStyle w:val="Heading3"/>
      </w:pPr>
      <w:r>
        <w:t xml:space="preserve">H.11.1 Quittance et titre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p>
        </w:tc>
        <w:tc>
          <w:tcPr>
            <w:shd w:val="clear" w:color="auto" w:fill="232C6B"/>
          </w:tcPr>
          <w:p>
            <w:pPr>
              <w:pStyle w:val="Compact"/>
            </w:pPr>
            <w:r>
              <w:rPr>
                <w:b/>
                <w:color w:val="FFFFFF"/>
                <w:sz w:val="17"/>
              </w:rPr>
              <w:t xml:space="preserve">Quittance</w:t>
            </w:r>
          </w:p>
        </w:tc>
        <w:tc>
          <w:tcPr>
            <w:shd w:val="clear" w:color="auto" w:fill="232C6B"/>
          </w:tcPr>
          <w:p>
            <w:pPr>
              <w:pStyle w:val="Compact"/>
            </w:pPr>
            <w:r>
              <w:rPr>
                <w:b/>
                <w:color w:val="FFFFFF"/>
                <w:sz w:val="17"/>
              </w:rPr>
              <w:t xml:space="preserve">Titre</w:t>
            </w:r>
          </w:p>
        </w:tc>
      </w:tr>
      <w:tr>
        <w:tc>
          <w:tcPr/>
          <w:p>
            <w:pPr>
              <w:pStyle w:val="Compact"/>
            </w:pPr>
            <w:r>
              <w:rPr>
                <w:sz w:val="17"/>
              </w:rPr>
              <w:t xml:space="preserve">Prouve</w:t>
            </w:r>
          </w:p>
        </w:tc>
        <w:tc>
          <w:tcPr/>
          <w:p>
            <w:pPr>
              <w:pStyle w:val="Compact"/>
            </w:pPr>
            <w:r>
              <w:rPr>
                <w:sz w:val="17"/>
              </w:rPr>
              <w:t xml:space="preserve">Un paiement fait (provisoire) puis rapproché (définitive)</w:t>
            </w:r>
          </w:p>
        </w:tc>
        <w:tc>
          <w:tcPr/>
          <w:p>
            <w:pPr>
              <w:pStyle w:val="Compact"/>
            </w:pPr>
            <w:r>
              <w:rPr>
                <w:sz w:val="17"/>
              </w:rPr>
              <w:t xml:space="preserve">Un</w:t>
            </w:r>
            <w:r>
              <w:rPr>
                <w:sz w:val="17"/>
              </w:rPr>
              <w:t xml:space="preserve"> </w:t>
            </w:r>
            <w:r>
              <w:rPr>
                <w:b/>
                <w:bCs/>
                <w:sz w:val="17"/>
              </w:rPr>
              <w:t xml:space="preserve">droit ouvert</w:t>
            </w:r>
            <w:r>
              <w:rPr>
                <w:sz w:val="17"/>
              </w:rPr>
              <w:t xml:space="preserve"> </w:t>
            </w:r>
            <w:r>
              <w:rPr>
                <w:sz w:val="17"/>
              </w:rPr>
              <w:t xml:space="preserve">: stationner, occuper, circuler, embarquer, exploiter, afficher</w:t>
            </w:r>
          </w:p>
        </w:tc>
      </w:tr>
      <w:tr>
        <w:tc>
          <w:tcPr>
            <w:shd w:val="clear" w:color="auto" w:fill="F5F7FB"/>
          </w:tcPr>
          <w:p>
            <w:pPr>
              <w:pStyle w:val="Compact"/>
            </w:pPr>
            <w:r>
              <w:rPr>
                <w:sz w:val="17"/>
              </w:rPr>
              <w:t xml:space="preserve">Durée</w:t>
            </w:r>
          </w:p>
        </w:tc>
        <w:tc>
          <w:tcPr>
            <w:shd w:val="clear" w:color="auto" w:fill="F5F7FB"/>
          </w:tcPr>
          <w:p>
            <w:pPr>
              <w:pStyle w:val="Compact"/>
            </w:pPr>
            <w:r>
              <w:rPr>
                <w:sz w:val="17"/>
              </w:rPr>
              <w:t xml:space="preserve">Permanente, jamais expirée ; peut être annulée ou contrepassée</w:t>
            </w:r>
          </w:p>
        </w:tc>
        <w:tc>
          <w:tcPr>
            <w:shd w:val="clear" w:color="auto" w:fill="F5F7FB"/>
          </w:tcPr>
          <w:p>
            <w:pPr>
              <w:pStyle w:val="Compact"/>
            </w:pPr>
            <w:r>
              <w:rPr>
                <w:sz w:val="17"/>
              </w:rPr>
              <w:t xml:space="preserve">Limitée, parfois en nombre d’usages (ticket, vignette, droit d’étal, quitus fiscal)</w:t>
            </w:r>
          </w:p>
        </w:tc>
      </w:tr>
      <w:tr>
        <w:tc>
          <w:tcPr/>
          <w:p>
            <w:pPr>
              <w:pStyle w:val="Compact"/>
            </w:pPr>
            <w:r>
              <w:rPr>
                <w:sz w:val="17"/>
              </w:rPr>
              <w:t xml:space="preserve">Adossement</w:t>
            </w:r>
          </w:p>
        </w:tc>
        <w:tc>
          <w:tcPr/>
          <w:p>
            <w:pPr>
              <w:pStyle w:val="Compact"/>
            </w:pPr>
            <w:r>
              <w:rPr>
                <w:sz w:val="17"/>
              </w:rPr>
              <w:t xml:space="preserve">Un événement de paiement</w:t>
            </w:r>
          </w:p>
        </w:tc>
        <w:tc>
          <w:tcPr/>
          <w:p>
            <w:pPr>
              <w:pStyle w:val="Compact"/>
            </w:pPr>
            <w:r>
              <w:rPr>
                <w:b/>
                <w:bCs/>
                <w:sz w:val="17"/>
              </w:rPr>
              <w:t xml:space="preserve">Toujours au moins une quittance ou une exonération validée</w:t>
            </w:r>
          </w:p>
        </w:tc>
      </w:tr>
    </w:tbl>
    <w:p>
      <w:pPr>
        <w:pStyle w:val="BodyText"/>
      </w:pPr>
      <w:r>
        <w:t xml:space="preserve">Un titre de courte durée peut être émis sur</w:t>
      </w:r>
      <w:r>
        <w:t xml:space="preserve"> </w:t>
      </w:r>
      <w:r>
        <w:rPr>
          <w:b/>
          <w:bCs/>
        </w:rPr>
        <w:t xml:space="preserve">quittance provisoire</w:t>
      </w:r>
      <w:r>
        <w:t xml:space="preserve"> </w:t>
      </w:r>
      <w:r>
        <w:t xml:space="preserve">(on ne fait pas attendre un automobiliste le rapprochement bancaire) ; si le paiement est ensuite contrepassé, le titre passe à l’état révoqué (noir) et le titulaire est notifié (ARB-22).</w:t>
      </w:r>
    </w:p>
    <w:bookmarkEnd w:id="480"/>
    <w:bookmarkStart w:id="481" w:name="h.11.2-statuts-et-couleurs-des-titres"/>
    <w:p>
      <w:pPr>
        <w:pStyle w:val="Heading3"/>
      </w:pPr>
      <w:r>
        <w:t xml:space="preserve">H.11.2 Statuts et couleurs des titres</w:t>
      </w:r>
    </w:p>
    <w:p>
      <w:pPr>
        <w:pStyle w:val="FirstParagraph"/>
      </w:pPr>
      <w:r>
        <w:t xml:space="preserve">La v3.0 (§ 19.4) cite trois couleurs ; le modèle complet comprend six statuts.</w:t>
      </w:r>
      <w:r>
        <w:t xml:space="preserve"> </w:t>
      </w:r>
      <w:r>
        <w:rPr>
          <w:b/>
          <w:bCs/>
        </w:rPr>
        <w:t xml:space="preserve">La couleur n’est jamais seule</w:t>
      </w:r>
      <w:r>
        <w:t xml:space="preserve"> </w:t>
      </w:r>
      <w:r>
        <w:t xml:space="preserve">: elle est doublée d’une icône, d’un texte et, en contrôle, d’un son.</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Couleur</w:t>
            </w:r>
          </w:p>
        </w:tc>
        <w:tc>
          <w:tcPr>
            <w:shd w:val="clear" w:color="auto" w:fill="232C6B"/>
          </w:tcPr>
          <w:p>
            <w:pPr>
              <w:pStyle w:val="Compact"/>
            </w:pPr>
            <w:r>
              <w:rPr>
                <w:b/>
                <w:color w:val="FFFFFF"/>
                <w:sz w:val="17"/>
              </w:rPr>
              <w:t xml:space="preserve">Statut</w:t>
            </w:r>
          </w:p>
        </w:tc>
        <w:tc>
          <w:tcPr>
            <w:shd w:val="clear" w:color="auto" w:fill="232C6B"/>
          </w:tcPr>
          <w:p>
            <w:pPr>
              <w:pStyle w:val="Compact"/>
            </w:pPr>
            <w:r>
              <w:rPr>
                <w:b/>
                <w:color w:val="FFFFFF"/>
                <w:sz w:val="17"/>
              </w:rPr>
              <w:t xml:space="preserve">Affichage</w:t>
            </w:r>
          </w:p>
        </w:tc>
        <w:tc>
          <w:tcPr>
            <w:shd w:val="clear" w:color="auto" w:fill="232C6B"/>
          </w:tcPr>
          <w:p>
            <w:pPr>
              <w:pStyle w:val="Compact"/>
            </w:pPr>
            <w:r>
              <w:rPr>
                <w:b/>
                <w:color w:val="FFFFFF"/>
                <w:sz w:val="17"/>
              </w:rPr>
              <w:t xml:space="preserve">Signal</w:t>
            </w:r>
          </w:p>
        </w:tc>
      </w:tr>
      <w:tr>
        <w:tc>
          <w:tcPr/>
          <w:p>
            <w:pPr>
              <w:pStyle w:val="Compact"/>
            </w:pPr>
            <w:r>
              <w:rPr>
                <w:sz w:val="17"/>
              </w:rPr>
              <w:t xml:space="preserve">⚪ Gris</w:t>
            </w:r>
          </w:p>
        </w:tc>
        <w:tc>
          <w:tcPr/>
          <w:p>
            <w:pPr>
              <w:pStyle w:val="Compact"/>
            </w:pPr>
            <w:r>
              <w:rPr>
                <w:sz w:val="17"/>
              </w:rPr>
              <w:t xml:space="preserve">Pas encore actif</w:t>
            </w:r>
          </w:p>
        </w:tc>
        <w:tc>
          <w:tcPr/>
          <w:p>
            <w:pPr>
              <w:pStyle w:val="Compact"/>
            </w:pPr>
            <w:r>
              <w:rPr>
                <w:sz w:val="17"/>
              </w:rPr>
              <w:t xml:space="preserve">« VALIDE À PARTIR DE … »</w:t>
            </w:r>
          </w:p>
        </w:tc>
        <w:tc>
          <w:tcPr/>
          <w:p>
            <w:pPr>
              <w:pStyle w:val="Compact"/>
            </w:pPr>
            <w:r>
              <w:rPr>
                <w:sz w:val="17"/>
              </w:rPr>
              <w:t xml:space="preserve">—</w:t>
            </w:r>
          </w:p>
        </w:tc>
      </w:tr>
      <w:tr>
        <w:tc>
          <w:tcPr>
            <w:shd w:val="clear" w:color="auto" w:fill="F5F7FB"/>
          </w:tcPr>
          <w:p>
            <w:pPr>
              <w:pStyle w:val="Compact"/>
            </w:pPr>
            <w:r>
              <w:rPr>
                <w:sz w:val="17"/>
              </w:rPr>
              <w:t xml:space="preserve">🟢 Vert</w:t>
            </w:r>
          </w:p>
        </w:tc>
        <w:tc>
          <w:tcPr>
            <w:shd w:val="clear" w:color="auto" w:fill="F5F7FB"/>
          </w:tcPr>
          <w:p>
            <w:pPr>
              <w:pStyle w:val="Compact"/>
            </w:pPr>
            <w:r>
              <w:rPr>
                <w:sz w:val="17"/>
              </w:rPr>
              <w:t xml:space="preserve">Valide</w:t>
            </w:r>
          </w:p>
        </w:tc>
        <w:tc>
          <w:tcPr>
            <w:shd w:val="clear" w:color="auto" w:fill="F5F7FB"/>
          </w:tcPr>
          <w:p>
            <w:pPr>
              <w:pStyle w:val="Compact"/>
            </w:pPr>
            <w:r>
              <w:rPr>
                <w:sz w:val="17"/>
              </w:rPr>
              <w:t xml:space="preserve">✓ « VALIDE » + compte à rebours</w:t>
            </w:r>
          </w:p>
        </w:tc>
        <w:tc>
          <w:tcPr>
            <w:shd w:val="clear" w:color="auto" w:fill="F5F7FB"/>
          </w:tcPr>
          <w:p>
            <w:pPr>
              <w:pStyle w:val="Compact"/>
            </w:pPr>
            <w:r>
              <w:rPr>
                <w:sz w:val="17"/>
              </w:rPr>
              <w:t xml:space="preserve">Son court</w:t>
            </w:r>
          </w:p>
        </w:tc>
      </w:tr>
      <w:tr>
        <w:tc>
          <w:tcPr/>
          <w:p>
            <w:pPr>
              <w:pStyle w:val="Compact"/>
            </w:pPr>
            <w:r>
              <w:rPr>
                <w:sz w:val="17"/>
              </w:rPr>
              <w:t xml:space="preserve">🟠 Ambre</w:t>
            </w:r>
          </w:p>
        </w:tc>
        <w:tc>
          <w:tcPr/>
          <w:p>
            <w:pPr>
              <w:pStyle w:val="Compact"/>
            </w:pPr>
            <w:r>
              <w:rPr>
                <w:sz w:val="17"/>
              </w:rPr>
              <w:t xml:space="preserve">Bientôt expiré</w:t>
            </w:r>
          </w:p>
        </w:tc>
        <w:tc>
          <w:tcPr/>
          <w:p>
            <w:pPr>
              <w:pStyle w:val="Compact"/>
            </w:pPr>
            <w:r>
              <w:rPr>
                <w:sz w:val="17"/>
              </w:rPr>
              <w:t xml:space="preserve">⚠ « EXPIRE DANS … » + compte à rebours</w:t>
            </w:r>
          </w:p>
        </w:tc>
        <w:tc>
          <w:tcPr/>
          <w:p>
            <w:pPr>
              <w:pStyle w:val="Compact"/>
            </w:pPr>
            <w:r>
              <w:rPr>
                <w:sz w:val="17"/>
              </w:rPr>
              <w:t xml:space="preserve">—</w:t>
            </w:r>
          </w:p>
        </w:tc>
      </w:tr>
      <w:tr>
        <w:tc>
          <w:tcPr>
            <w:shd w:val="clear" w:color="auto" w:fill="F5F7FB"/>
          </w:tcPr>
          <w:p>
            <w:pPr>
              <w:pStyle w:val="Compact"/>
            </w:pPr>
            <w:r>
              <w:rPr>
                <w:sz w:val="17"/>
              </w:rPr>
              <w:t xml:space="preserve">🔴 Rouge</w:t>
            </w:r>
          </w:p>
        </w:tc>
        <w:tc>
          <w:tcPr>
            <w:shd w:val="clear" w:color="auto" w:fill="F5F7FB"/>
          </w:tcPr>
          <w:p>
            <w:pPr>
              <w:pStyle w:val="Compact"/>
            </w:pPr>
            <w:r>
              <w:rPr>
                <w:sz w:val="17"/>
              </w:rPr>
              <w:t xml:space="preserve">Expiré (après tolérance)</w:t>
            </w:r>
          </w:p>
        </w:tc>
        <w:tc>
          <w:tcPr>
            <w:shd w:val="clear" w:color="auto" w:fill="F5F7FB"/>
          </w:tcPr>
          <w:p>
            <w:pPr>
              <w:pStyle w:val="Compact"/>
            </w:pPr>
            <w:r>
              <w:rPr>
                <w:sz w:val="17"/>
              </w:rPr>
              <w:t xml:space="preserve">✗ « EXPIRÉ DEPUIS … »</w:t>
            </w:r>
          </w:p>
        </w:tc>
        <w:tc>
          <w:tcPr>
            <w:shd w:val="clear" w:color="auto" w:fill="F5F7FB"/>
          </w:tcPr>
          <w:p>
            <w:pPr>
              <w:pStyle w:val="Compact"/>
            </w:pPr>
            <w:r>
              <w:rPr>
                <w:sz w:val="17"/>
              </w:rPr>
              <w:t xml:space="preserve">Son distinct</w:t>
            </w:r>
          </w:p>
        </w:tc>
      </w:tr>
      <w:tr>
        <w:tc>
          <w:tcPr/>
          <w:p>
            <w:pPr>
              <w:pStyle w:val="Compact"/>
            </w:pPr>
            <w:r>
              <w:rPr>
                <w:sz w:val="17"/>
              </w:rPr>
              <w:t xml:space="preserve">🔵 Bleu</w:t>
            </w:r>
          </w:p>
        </w:tc>
        <w:tc>
          <w:tcPr/>
          <w:p>
            <w:pPr>
              <w:pStyle w:val="Compact"/>
            </w:pPr>
            <w:r>
              <w:rPr>
                <w:sz w:val="17"/>
              </w:rPr>
              <w:t xml:space="preserve">Suspendu ou contesté</w:t>
            </w:r>
          </w:p>
        </w:tc>
        <w:tc>
          <w:tcPr/>
          <w:p>
            <w:pPr>
              <w:pStyle w:val="Compact"/>
            </w:pPr>
            <w:r>
              <w:rPr>
                <w:sz w:val="17"/>
              </w:rPr>
              <w:t xml:space="preserve">Texte + motif</w:t>
            </w:r>
          </w:p>
        </w:tc>
        <w:tc>
          <w:tcPr/>
          <w:p>
            <w:pPr>
              <w:pStyle w:val="Compact"/>
            </w:pPr>
            <w:r>
              <w:rPr>
                <w:sz w:val="17"/>
              </w:rPr>
              <w:t xml:space="preserve">—</w:t>
            </w:r>
          </w:p>
        </w:tc>
      </w:tr>
      <w:tr>
        <w:tc>
          <w:tcPr>
            <w:shd w:val="clear" w:color="auto" w:fill="F5F7FB"/>
          </w:tcPr>
          <w:p>
            <w:pPr>
              <w:pStyle w:val="Compact"/>
            </w:pPr>
            <w:r>
              <w:rPr>
                <w:sz w:val="17"/>
              </w:rPr>
              <w:t xml:space="preserve">⚫ Noir</w:t>
            </w:r>
          </w:p>
        </w:tc>
        <w:tc>
          <w:tcPr>
            <w:shd w:val="clear" w:color="auto" w:fill="F5F7FB"/>
          </w:tcPr>
          <w:p>
            <w:pPr>
              <w:pStyle w:val="Compact"/>
            </w:pPr>
            <w:r>
              <w:rPr>
                <w:sz w:val="17"/>
              </w:rPr>
              <w:t xml:space="preserve">Révoqué, déjà utilisé ou invalide</w:t>
            </w:r>
          </w:p>
        </w:tc>
        <w:tc>
          <w:tcPr>
            <w:shd w:val="clear" w:color="auto" w:fill="F5F7FB"/>
          </w:tcPr>
          <w:p>
            <w:pPr>
              <w:pStyle w:val="Compact"/>
            </w:pPr>
            <w:r>
              <w:rPr>
                <w:sz w:val="17"/>
              </w:rPr>
              <w:t xml:space="preserve">« INVALIDE » / « DÉJÀ UTILISÉ »</w:t>
            </w:r>
          </w:p>
        </w:tc>
        <w:tc>
          <w:tcPr>
            <w:shd w:val="clear" w:color="auto" w:fill="F5F7FB"/>
          </w:tcPr>
          <w:p>
            <w:pPr>
              <w:pStyle w:val="Compact"/>
            </w:pPr>
            <w:r>
              <w:rPr>
                <w:sz w:val="17"/>
              </w:rPr>
              <w:t xml:space="preserve">Son distinct</w:t>
            </w:r>
          </w:p>
        </w:tc>
      </w:tr>
    </w:tbl>
    <w:p>
      <w:pPr>
        <w:pStyle w:val="BodyText"/>
      </w:pPr>
      <w:r>
        <w:t xml:space="preserve">Le seuil de passage à l’ambre est paramétré par type de titre dans la fiche de configuration du module.</w:t>
      </w:r>
    </w:p>
    <w:p>
      <w:pPr>
        <w:pStyle w:val="BlockText"/>
      </w:pPr>
      <w:r>
        <w:rPr>
          <w:b/>
          <w:bCs/>
        </w:rPr>
        <w:t xml:space="preserve">Décision du maître d’ouvrage (26/09/2026), qui prévaut sur les seuils en durée ci-dessus et sur ceux du § H.11.4.</w:t>
      </w:r>
      <w:r>
        <w:t xml:space="preserve"> </w:t>
      </w:r>
      <w:r>
        <w:t xml:space="preserve">Toute preuve à durée limitée affiche un</w:t>
      </w:r>
      <w:r>
        <w:t xml:space="preserve"> </w:t>
      </w:r>
      <w:r>
        <w:rPr>
          <w:b/>
          <w:bCs/>
        </w:rPr>
        <w:t xml:space="preserve">compte à rebours</w:t>
      </w:r>
      <w:r>
        <w:t xml:space="preserve">. Il est</w:t>
      </w:r>
      <w:r>
        <w:t xml:space="preserve"> </w:t>
      </w:r>
      <w:r>
        <w:rPr>
          <w:b/>
          <w:bCs/>
        </w:rPr>
        <w:t xml:space="preserve">vert</w:t>
      </w:r>
      <w:r>
        <w:t xml:space="preserve"> </w:t>
      </w:r>
      <w:r>
        <w:t xml:space="preserve">tant qu’il reste au moins 50 % de la validité,</w:t>
      </w:r>
      <w:r>
        <w:t xml:space="preserve"> </w:t>
      </w:r>
      <w:r>
        <w:rPr>
          <w:b/>
          <w:bCs/>
        </w:rPr>
        <w:t xml:space="preserve">ambre</w:t>
      </w:r>
      <w:r>
        <w:t xml:space="preserve"> </w:t>
      </w:r>
      <w:r>
        <w:t xml:space="preserve">de 1 % à moins de 50 %, et</w:t>
      </w:r>
      <w:r>
        <w:t xml:space="preserve"> </w:t>
      </w:r>
      <w:r>
        <w:rPr>
          <w:b/>
          <w:bCs/>
        </w:rPr>
        <w:t xml:space="preserve">rouge</w:t>
      </w:r>
      <w:r>
        <w:t xml:space="preserve"> </w:t>
      </w:r>
      <w:r>
        <w:t xml:space="preserve">sous 1 %. Sous 1 %, la preuve est encore valable : le contrôle répond « VALIDE » et aucun constat n’est possible. Elle passe ensuite à « EXPIRÉ ». Voir l’Annexe I, § I.14.</w:t>
      </w:r>
    </w:p>
    <w:bookmarkEnd w:id="481"/>
    <w:bookmarkStart w:id="482" w:name="h.11.3-modèles-de-validité"/>
    <w:p>
      <w:pPr>
        <w:pStyle w:val="Heading3"/>
      </w:pPr>
      <w:r>
        <w:t xml:space="preserve">H.11.3 Modèles de validité</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Modèle</w:t>
            </w:r>
          </w:p>
        </w:tc>
        <w:tc>
          <w:tcPr>
            <w:shd w:val="clear" w:color="auto" w:fill="232C6B"/>
          </w:tcPr>
          <w:p>
            <w:pPr>
              <w:pStyle w:val="Compact"/>
            </w:pPr>
            <w:r>
              <w:rPr>
                <w:b/>
                <w:color w:val="FFFFFF"/>
                <w:sz w:val="17"/>
              </w:rPr>
              <w:t xml:space="preserve">Règle</w:t>
            </w:r>
          </w:p>
        </w:tc>
        <w:tc>
          <w:tcPr>
            <w:shd w:val="clear" w:color="auto" w:fill="232C6B"/>
          </w:tcPr>
          <w:p>
            <w:pPr>
              <w:pStyle w:val="Compact"/>
            </w:pPr>
            <w:r>
              <w:rPr>
                <w:b/>
                <w:color w:val="FFFFFF"/>
                <w:sz w:val="17"/>
              </w:rPr>
              <w:t xml:space="preserve">Exemples</w:t>
            </w:r>
          </w:p>
        </w:tc>
      </w:tr>
      <w:tr>
        <w:tc>
          <w:tcPr/>
          <w:p>
            <w:pPr>
              <w:pStyle w:val="Compact"/>
            </w:pPr>
            <w:r>
              <w:rPr>
                <w:sz w:val="17"/>
              </w:rPr>
              <w:t xml:space="preserve">Durée courte</w:t>
            </w:r>
          </w:p>
        </w:tc>
        <w:tc>
          <w:tcPr/>
          <w:p>
            <w:pPr>
              <w:pStyle w:val="Compact"/>
            </w:pPr>
            <w:r>
              <w:rPr>
                <w:sz w:val="17"/>
              </w:rPr>
              <w:t xml:space="preserve">Début au paiement ou à l’heure choisie ; prolongation ; plafond</w:t>
            </w:r>
          </w:p>
        </w:tc>
        <w:tc>
          <w:tcPr/>
          <w:p>
            <w:pPr>
              <w:pStyle w:val="Compact"/>
            </w:pPr>
            <w:r>
              <w:rPr>
                <w:sz w:val="17"/>
              </w:rPr>
              <w:t xml:space="preserve">Stationnement horaire</w:t>
            </w:r>
          </w:p>
        </w:tc>
      </w:tr>
      <w:tr>
        <w:tc>
          <w:tcPr>
            <w:shd w:val="clear" w:color="auto" w:fill="F5F7FB"/>
          </w:tcPr>
          <w:p>
            <w:pPr>
              <w:pStyle w:val="Compact"/>
            </w:pPr>
            <w:r>
              <w:rPr>
                <w:sz w:val="17"/>
              </w:rPr>
              <w:t xml:space="preserve">Journalier</w:t>
            </w:r>
          </w:p>
        </w:tc>
        <w:tc>
          <w:tcPr>
            <w:shd w:val="clear" w:color="auto" w:fill="F5F7FB"/>
          </w:tcPr>
          <w:p>
            <w:pPr>
              <w:pStyle w:val="Compact"/>
            </w:pPr>
            <w:r>
              <w:rPr>
                <w:sz w:val="17"/>
              </w:rPr>
              <w:t xml:space="preserve">Journée calendaire ou 24 heures glissantes</w:t>
            </w:r>
          </w:p>
        </w:tc>
        <w:tc>
          <w:tcPr>
            <w:shd w:val="clear" w:color="auto" w:fill="F5F7FB"/>
          </w:tcPr>
          <w:p>
            <w:pPr>
              <w:pStyle w:val="Compact"/>
            </w:pPr>
            <w:r>
              <w:rPr>
                <w:sz w:val="17"/>
              </w:rPr>
              <w:t xml:space="preserve">Droit d’étal, pass wewa jour</w:t>
            </w:r>
          </w:p>
        </w:tc>
      </w:tr>
      <w:tr>
        <w:tc>
          <w:tcPr/>
          <w:p>
            <w:pPr>
              <w:pStyle w:val="Compact"/>
            </w:pPr>
            <w:r>
              <w:rPr>
                <w:sz w:val="17"/>
              </w:rPr>
              <w:t xml:space="preserve">Hebdomadaire / mensuel</w:t>
            </w:r>
          </w:p>
        </w:tc>
        <w:tc>
          <w:tcPr/>
          <w:p>
            <w:pPr>
              <w:pStyle w:val="Compact"/>
            </w:pPr>
            <w:r>
              <w:rPr>
                <w:sz w:val="17"/>
              </w:rPr>
              <w:t xml:space="preserve">Date de début, renouvellement, rappel</w:t>
            </w:r>
          </w:p>
        </w:tc>
        <w:tc>
          <w:tcPr/>
          <w:p>
            <w:pPr>
              <w:pStyle w:val="Compact"/>
            </w:pPr>
            <w:r>
              <w:rPr>
                <w:sz w:val="17"/>
              </w:rPr>
              <w:t xml:space="preserve">Abonnement résidentiel, pass wewa</w:t>
            </w:r>
          </w:p>
        </w:tc>
      </w:tr>
      <w:tr>
        <w:tc>
          <w:tcPr>
            <w:shd w:val="clear" w:color="auto" w:fill="F5F7FB"/>
          </w:tcPr>
          <w:p>
            <w:pPr>
              <w:pStyle w:val="Compact"/>
            </w:pPr>
            <w:r>
              <w:rPr>
                <w:sz w:val="17"/>
              </w:rPr>
              <w:t xml:space="preserve">Annuel / exercice</w:t>
            </w:r>
          </w:p>
        </w:tc>
        <w:tc>
          <w:tcPr>
            <w:shd w:val="clear" w:color="auto" w:fill="F5F7FB"/>
          </w:tcPr>
          <w:p>
            <w:pPr>
              <w:pStyle w:val="Compact"/>
            </w:pPr>
            <w:r>
              <w:rPr>
                <w:sz w:val="17"/>
              </w:rPr>
              <w:t xml:space="preserve">Exercice fiscal, échéance légale, tolérance</w:t>
            </w:r>
          </w:p>
        </w:tc>
        <w:tc>
          <w:tcPr>
            <w:shd w:val="clear" w:color="auto" w:fill="F5F7FB"/>
          </w:tcPr>
          <w:p>
            <w:pPr>
              <w:pStyle w:val="Compact"/>
            </w:pPr>
            <w:r>
              <w:rPr>
                <w:sz w:val="17"/>
              </w:rPr>
              <w:t xml:space="preserve">Vignette, patente, autorisation publicitaire</w:t>
            </w:r>
          </w:p>
        </w:tc>
      </w:tr>
      <w:tr>
        <w:tc>
          <w:tcPr/>
          <w:p>
            <w:pPr>
              <w:pStyle w:val="Compact"/>
            </w:pPr>
            <w:r>
              <w:rPr>
                <w:sz w:val="17"/>
              </w:rPr>
              <w:t xml:space="preserve">Par événement</w:t>
            </w:r>
          </w:p>
        </w:tc>
        <w:tc>
          <w:tcPr/>
          <w:p>
            <w:pPr>
              <w:pStyle w:val="Compact"/>
            </w:pPr>
            <w:r>
              <w:rPr>
                <w:sz w:val="17"/>
              </w:rPr>
              <w:t xml:space="preserve">Dates et lieu</w:t>
            </w:r>
          </w:p>
        </w:tc>
        <w:tc>
          <w:tcPr/>
          <w:p>
            <w:pPr>
              <w:pStyle w:val="Compact"/>
            </w:pPr>
            <w:r>
              <w:rPr>
                <w:sz w:val="17"/>
              </w:rPr>
              <w:t xml:space="preserve">Spectacle, réservation de voirie</w:t>
            </w:r>
          </w:p>
        </w:tc>
      </w:tr>
      <w:tr>
        <w:tc>
          <w:tcPr>
            <w:shd w:val="clear" w:color="auto" w:fill="F5F7FB"/>
          </w:tcPr>
          <w:p>
            <w:pPr>
              <w:pStyle w:val="Compact"/>
            </w:pPr>
            <w:r>
              <w:rPr>
                <w:sz w:val="17"/>
              </w:rPr>
              <w:t xml:space="preserve">Usage unique</w:t>
            </w:r>
          </w:p>
        </w:tc>
        <w:tc>
          <w:tcPr>
            <w:shd w:val="clear" w:color="auto" w:fill="F5F7FB"/>
          </w:tcPr>
          <w:p>
            <w:pPr>
              <w:pStyle w:val="Compact"/>
            </w:pPr>
            <w:r>
              <w:rPr>
                <w:sz w:val="17"/>
              </w:rPr>
              <w:t xml:space="preserve">Consommé au premier contrôle valide</w:t>
            </w:r>
          </w:p>
        </w:tc>
        <w:tc>
          <w:tcPr>
            <w:shd w:val="clear" w:color="auto" w:fill="F5F7FB"/>
          </w:tcPr>
          <w:p>
            <w:pPr>
              <w:pStyle w:val="Compact"/>
            </w:pPr>
            <w:r>
              <w:rPr>
                <w:sz w:val="17"/>
              </w:rPr>
              <w:t xml:space="preserve">Embarquement, bon de sortie de carrière</w:t>
            </w:r>
          </w:p>
        </w:tc>
      </w:tr>
      <w:tr>
        <w:tc>
          <w:tcPr/>
          <w:p>
            <w:pPr>
              <w:pStyle w:val="Compact"/>
            </w:pPr>
            <w:r>
              <w:rPr>
                <w:sz w:val="17"/>
              </w:rPr>
              <w:t xml:space="preserve">Carnet d’usages</w:t>
            </w:r>
          </w:p>
        </w:tc>
        <w:tc>
          <w:tcPr/>
          <w:p>
            <w:pPr>
              <w:pStyle w:val="Compact"/>
            </w:pPr>
            <w:r>
              <w:rPr>
                <w:sz w:val="17"/>
              </w:rPr>
              <w:t xml:space="preserve">Nombre d’usages restant</w:t>
            </w:r>
          </w:p>
        </w:tc>
        <w:tc>
          <w:tcPr/>
          <w:p>
            <w:pPr>
              <w:pStyle w:val="Compact"/>
            </w:pPr>
            <w:r>
              <w:rPr>
                <w:sz w:val="17"/>
              </w:rPr>
              <w:t xml:space="preserve">Péage</w:t>
            </w:r>
          </w:p>
        </w:tc>
      </w:tr>
      <w:tr>
        <w:tc>
          <w:tcPr>
            <w:shd w:val="clear" w:color="auto" w:fill="F5F7FB"/>
          </w:tcPr>
          <w:p>
            <w:pPr>
              <w:pStyle w:val="Compact"/>
            </w:pPr>
            <w:r>
              <w:rPr>
                <w:sz w:val="17"/>
              </w:rPr>
              <w:t xml:space="preserve">Abonnement</w:t>
            </w:r>
          </w:p>
        </w:tc>
        <w:tc>
          <w:tcPr>
            <w:shd w:val="clear" w:color="auto" w:fill="F5F7FB"/>
          </w:tcPr>
          <w:p>
            <w:pPr>
              <w:pStyle w:val="Compact"/>
            </w:pPr>
            <w:r>
              <w:rPr>
                <w:sz w:val="17"/>
              </w:rPr>
              <w:t xml:space="preserve">Renouvellement automatique</w:t>
            </w:r>
            <w:r>
              <w:rPr>
                <w:sz w:val="17"/>
              </w:rPr>
              <w:t xml:space="preserve"> </w:t>
            </w:r>
            <w:r>
              <w:rPr>
                <w:b/>
                <w:bCs/>
                <w:sz w:val="17"/>
              </w:rPr>
              <w:t xml:space="preserve">avec consentement</w:t>
            </w:r>
            <w:r>
              <w:rPr>
                <w:sz w:val="17"/>
              </w:rPr>
              <w:t xml:space="preserve">, résiliation</w:t>
            </w:r>
          </w:p>
        </w:tc>
        <w:tc>
          <w:tcPr>
            <w:shd w:val="clear" w:color="auto" w:fill="F5F7FB"/>
          </w:tcPr>
          <w:p>
            <w:pPr>
              <w:pStyle w:val="Compact"/>
            </w:pPr>
            <w:r>
              <w:rPr>
                <w:sz w:val="17"/>
              </w:rPr>
              <w:t xml:space="preserve">Stationnement résidentiel</w:t>
            </w:r>
          </w:p>
        </w:tc>
      </w:tr>
      <w:tr>
        <w:tc>
          <w:tcPr/>
          <w:p>
            <w:pPr>
              <w:pStyle w:val="Compact"/>
            </w:pPr>
            <w:r>
              <w:rPr>
                <w:sz w:val="17"/>
              </w:rPr>
              <w:t xml:space="preserve">Glissant conditionnel</w:t>
            </w:r>
          </w:p>
        </w:tc>
        <w:tc>
          <w:tcPr/>
          <w:p>
            <w:pPr>
              <w:pStyle w:val="Compact"/>
            </w:pPr>
            <w:r>
              <w:rPr>
                <w:sz w:val="17"/>
              </w:rPr>
              <w:t xml:space="preserve">Valide tant que les conditions sont remplies, avec date limite</w:t>
            </w:r>
          </w:p>
        </w:tc>
        <w:tc>
          <w:tcPr/>
          <w:p>
            <w:pPr>
              <w:pStyle w:val="Compact"/>
            </w:pPr>
            <w:r>
              <w:rPr>
                <w:sz w:val="17"/>
              </w:rPr>
              <w:t xml:space="preserve">Quitus fiscal</w:t>
            </w:r>
          </w:p>
        </w:tc>
      </w:tr>
    </w:tbl>
    <w:p>
      <w:pPr>
        <w:pStyle w:val="BodyText"/>
      </w:pPr>
      <w:r>
        <w:t xml:space="preserve">Paramètres communs : début et fin (date + heure),</w:t>
      </w:r>
      <w:r>
        <w:t xml:space="preserve"> </w:t>
      </w:r>
      <w:r>
        <w:rPr>
          <w:b/>
          <w:bCs/>
        </w:rPr>
        <w:t xml:space="preserve">fuseau de Kinshasa</w:t>
      </w:r>
      <w:r>
        <w:t xml:space="preserve">, tolérance, délai d’alerte ambre, zone ou lieu, objet ou plaque, titulaire, transférabilité (</w:t>
      </w:r>
      <w:r>
        <w:rPr>
          <w:b/>
          <w:bCs/>
        </w:rPr>
        <w:t xml:space="preserve">par défaut : non transférable</w:t>
      </w:r>
      <w:r>
        <w:t xml:space="preserve">), remboursement et prolongation autorisés ou non.</w:t>
      </w:r>
    </w:p>
    <w:bookmarkEnd w:id="482"/>
    <w:bookmarkStart w:id="483" w:name="h.11.4-catalogue-des-titres"/>
    <w:p>
      <w:pPr>
        <w:pStyle w:val="Heading3"/>
      </w:pPr>
      <w:r>
        <w:t xml:space="preserve">H.11.4 Catalogue des titres</w:t>
      </w:r>
    </w:p>
    <w:p>
      <w:pPr>
        <w:pStyle w:val="FirstParagraph"/>
      </w:pPr>
      <w:r>
        <w:t xml:space="preserve">Seuils ambre</w:t>
      </w:r>
      <w:r>
        <w:t xml:space="preserve"> </w:t>
      </w:r>
      <w:r>
        <w:rPr>
          <w:b/>
          <w:bCs/>
        </w:rPr>
        <w:t xml:space="preserve">indicatifs</w:t>
      </w:r>
      <w:r>
        <w:t xml:space="preserve">, fixés définitivement par la fiche de configuration de chaque module. Tout tarif relève d’une règle certifiée ; aucun type de titre n’est activable sans acte (J21).</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320"/>
        <w:gridCol w:w="1320"/>
        <w:gridCol w:w="1320"/>
        <w:gridCol w:w="1320"/>
        <w:gridCol w:w="1320"/>
        <w:gridCol w:w="1320"/>
      </w:tblGrid>
      <w:tr>
        <w:trPr>
          <w:tblHeader w:val="on"/>
        </w:trPr>
        <w:tc>
          <w:tcPr>
            <w:shd w:val="clear" w:color="auto" w:fill="232C6B"/>
          </w:tcPr>
          <w:p>
            <w:pPr>
              <w:pStyle w:val="Compact"/>
            </w:pPr>
            <w:r>
              <w:rPr>
                <w:b/>
                <w:color w:val="FFFFFF"/>
                <w:sz w:val="17"/>
              </w:rPr>
              <w:t xml:space="preserve">Module</w:t>
            </w:r>
          </w:p>
        </w:tc>
        <w:tc>
          <w:tcPr>
            <w:shd w:val="clear" w:color="auto" w:fill="232C6B"/>
          </w:tcPr>
          <w:p>
            <w:pPr>
              <w:pStyle w:val="Compact"/>
            </w:pPr>
            <w:r>
              <w:rPr>
                <w:b/>
                <w:color w:val="FFFFFF"/>
                <w:sz w:val="17"/>
              </w:rPr>
              <w:t xml:space="preserve">Titre</w:t>
            </w:r>
          </w:p>
        </w:tc>
        <w:tc>
          <w:tcPr>
            <w:shd w:val="clear" w:color="auto" w:fill="232C6B"/>
          </w:tcPr>
          <w:p>
            <w:pPr>
              <w:pStyle w:val="Compact"/>
            </w:pPr>
            <w:r>
              <w:rPr>
                <w:b/>
                <w:color w:val="FFFFFF"/>
                <w:sz w:val="17"/>
              </w:rPr>
              <w:t xml:space="preserve">Validité</w:t>
            </w:r>
          </w:p>
        </w:tc>
        <w:tc>
          <w:tcPr>
            <w:shd w:val="clear" w:color="auto" w:fill="232C6B"/>
          </w:tcPr>
          <w:p>
            <w:pPr>
              <w:pStyle w:val="Compact"/>
            </w:pPr>
            <w:r>
              <w:rPr>
                <w:b/>
                <w:color w:val="FFFFFF"/>
                <w:sz w:val="17"/>
              </w:rPr>
              <w:t xml:space="preserve">Seuil ambre</w:t>
            </w:r>
          </w:p>
        </w:tc>
        <w:tc>
          <w:tcPr>
            <w:shd w:val="clear" w:color="auto" w:fill="232C6B"/>
          </w:tcPr>
          <w:p>
            <w:pPr>
              <w:pStyle w:val="Compact"/>
            </w:pPr>
            <w:r>
              <w:rPr>
                <w:b/>
                <w:color w:val="FFFFFF"/>
                <w:sz w:val="17"/>
              </w:rPr>
              <w:t xml:space="preserve">Support principal</w:t>
            </w:r>
          </w:p>
        </w:tc>
        <w:tc>
          <w:tcPr>
            <w:shd w:val="clear" w:color="auto" w:fill="232C6B"/>
          </w:tcPr>
          <w:p>
            <w:pPr>
              <w:pStyle w:val="Compact"/>
            </w:pPr>
            <w:r>
              <w:rPr>
                <w:b/>
                <w:color w:val="FFFFFF"/>
                <w:sz w:val="17"/>
              </w:rPr>
              <w:t xml:space="preserve">Secours</w:t>
            </w:r>
          </w:p>
        </w:tc>
      </w:tr>
      <w:tr>
        <w:tc>
          <w:tcPr/>
          <w:p>
            <w:pPr>
              <w:pStyle w:val="Compact"/>
            </w:pPr>
            <w:r>
              <w:rPr>
                <w:sz w:val="17"/>
              </w:rPr>
              <w:t xml:space="preserve">Stationnement (14, 75)</w:t>
            </w:r>
          </w:p>
        </w:tc>
        <w:tc>
          <w:tcPr/>
          <w:p>
            <w:pPr>
              <w:pStyle w:val="Compact"/>
            </w:pPr>
            <w:r>
              <w:rPr>
                <w:sz w:val="17"/>
              </w:rPr>
              <w:t xml:space="preserve">Ticket horaire, journalier, hebdomadaire, mensuel ; abonnement</w:t>
            </w:r>
          </w:p>
        </w:tc>
        <w:tc>
          <w:tcPr/>
          <w:p>
            <w:pPr>
              <w:pStyle w:val="Compact"/>
            </w:pPr>
            <w:r>
              <w:rPr>
                <w:sz w:val="17"/>
              </w:rPr>
              <w:t xml:space="preserve">Heure à mois</w:t>
            </w:r>
          </w:p>
        </w:tc>
        <w:tc>
          <w:tcPr/>
          <w:p>
            <w:pPr>
              <w:pStyle w:val="Compact"/>
            </w:pPr>
            <w:r>
              <w:rPr>
                <w:sz w:val="17"/>
              </w:rPr>
              <w:t xml:space="preserve">15 min (horaire) ; 2 h (journalier) ; 1 jour (hebdo) ; 3 jours (mensuel)</w:t>
            </w:r>
          </w:p>
        </w:tc>
        <w:tc>
          <w:tcPr/>
          <w:p>
            <w:pPr>
              <w:pStyle w:val="Compact"/>
            </w:pPr>
            <w:r>
              <w:rPr>
                <w:sz w:val="17"/>
              </w:rPr>
              <w:t xml:space="preserve">Titre lié à la plaque</w:t>
            </w:r>
          </w:p>
        </w:tc>
        <w:tc>
          <w:tcPr/>
          <w:p>
            <w:pPr>
              <w:pStyle w:val="Compact"/>
            </w:pPr>
            <w:r>
              <w:rPr>
                <w:sz w:val="17"/>
              </w:rPr>
              <w:t xml:space="preserve">QR dynamique, SMS, ticket imprimé</w:t>
            </w:r>
          </w:p>
        </w:tc>
      </w:tr>
      <w:tr>
        <w:tc>
          <w:tcPr>
            <w:shd w:val="clear" w:color="auto" w:fill="F5F7FB"/>
          </w:tcPr>
          <w:p>
            <w:pPr>
              <w:pStyle w:val="Compact"/>
            </w:pPr>
            <w:r>
              <w:rPr>
                <w:sz w:val="17"/>
              </w:rPr>
              <w:t xml:space="preserve">Véhicules (11)</w:t>
            </w:r>
          </w:p>
        </w:tc>
        <w:tc>
          <w:tcPr>
            <w:shd w:val="clear" w:color="auto" w:fill="F5F7FB"/>
          </w:tcPr>
          <w:p>
            <w:pPr>
              <w:pStyle w:val="Compact"/>
            </w:pPr>
            <w:r>
              <w:rPr>
                <w:sz w:val="17"/>
              </w:rPr>
              <w:t xml:space="preserve">Vignette, taxe de circulation</w:t>
            </w:r>
          </w:p>
        </w:tc>
        <w:tc>
          <w:tcPr>
            <w:shd w:val="clear" w:color="auto" w:fill="F5F7FB"/>
          </w:tcPr>
          <w:p>
            <w:pPr>
              <w:pStyle w:val="Compact"/>
            </w:pPr>
            <w:r>
              <w:rPr>
                <w:sz w:val="17"/>
              </w:rPr>
              <w:t xml:space="preserve">Exercice</w:t>
            </w:r>
          </w:p>
        </w:tc>
        <w:tc>
          <w:tcPr>
            <w:shd w:val="clear" w:color="auto" w:fill="F5F7FB"/>
          </w:tcPr>
          <w:p>
            <w:pPr>
              <w:pStyle w:val="Compact"/>
            </w:pPr>
            <w:r>
              <w:rPr>
                <w:sz w:val="17"/>
              </w:rPr>
              <w:t xml:space="preserve">30 jours</w:t>
            </w:r>
          </w:p>
        </w:tc>
        <w:tc>
          <w:tcPr>
            <w:shd w:val="clear" w:color="auto" w:fill="F5F7FB"/>
          </w:tcPr>
          <w:p>
            <w:pPr>
              <w:pStyle w:val="Compact"/>
            </w:pPr>
            <w:r>
              <w:rPr>
                <w:sz w:val="17"/>
              </w:rPr>
              <w:t xml:space="preserve">Vignette autocollante QR + plaque</w:t>
            </w:r>
          </w:p>
        </w:tc>
        <w:tc>
          <w:tcPr>
            <w:shd w:val="clear" w:color="auto" w:fill="F5F7FB"/>
          </w:tcPr>
          <w:p>
            <w:pPr>
              <w:pStyle w:val="Compact"/>
            </w:pPr>
            <w:r>
              <w:rPr>
                <w:sz w:val="17"/>
              </w:rPr>
              <w:t xml:space="preserve">SMS, quittance</w:t>
            </w:r>
          </w:p>
        </w:tc>
      </w:tr>
      <w:tr>
        <w:tc>
          <w:tcPr/>
          <w:p>
            <w:pPr>
              <w:pStyle w:val="Compact"/>
            </w:pPr>
            <w:r>
              <w:rPr>
                <w:sz w:val="17"/>
              </w:rPr>
              <w:t xml:space="preserve">Autorisations de transport (12)</w:t>
            </w:r>
          </w:p>
        </w:tc>
        <w:tc>
          <w:tcPr/>
          <w:p>
            <w:pPr>
              <w:pStyle w:val="Compact"/>
            </w:pPr>
            <w:r>
              <w:rPr>
                <w:sz w:val="17"/>
              </w:rPr>
              <w:t xml:space="preserve">Taxi, bus, moto-taxi</w:t>
            </w:r>
          </w:p>
        </w:tc>
        <w:tc>
          <w:tcPr/>
          <w:p>
            <w:pPr>
              <w:pStyle w:val="Compact"/>
            </w:pPr>
            <w:r>
              <w:rPr>
                <w:sz w:val="17"/>
              </w:rPr>
              <w:t xml:space="preserve">Mois, année</w:t>
            </w:r>
          </w:p>
        </w:tc>
        <w:tc>
          <w:tcPr/>
          <w:p>
            <w:pPr>
              <w:pStyle w:val="Compact"/>
            </w:pPr>
            <w:r>
              <w:rPr>
                <w:sz w:val="17"/>
              </w:rPr>
              <w:t xml:space="preserve">7 jours</w:t>
            </w:r>
          </w:p>
        </w:tc>
        <w:tc>
          <w:tcPr/>
          <w:p>
            <w:pPr>
              <w:pStyle w:val="Compact"/>
            </w:pPr>
            <w:r>
              <w:rPr>
                <w:sz w:val="17"/>
              </w:rPr>
              <w:t xml:space="preserve">Autocollant QR + carte conducteur</w:t>
            </w:r>
          </w:p>
        </w:tc>
        <w:tc>
          <w:tcPr/>
          <w:p>
            <w:pPr>
              <w:pStyle w:val="Compact"/>
            </w:pPr>
            <w:r>
              <w:rPr>
                <w:sz w:val="17"/>
              </w:rPr>
              <w:t xml:space="preserve">Plaque</w:t>
            </w:r>
          </w:p>
        </w:tc>
      </w:tr>
      <w:tr>
        <w:tc>
          <w:tcPr>
            <w:shd w:val="clear" w:color="auto" w:fill="F5F7FB"/>
          </w:tcPr>
          <w:p>
            <w:pPr>
              <w:pStyle w:val="Compact"/>
            </w:pPr>
            <w:r>
              <w:rPr>
                <w:sz w:val="17"/>
              </w:rPr>
              <w:t xml:space="preserve">RakaPay — pass wewa (76, 81)</w:t>
            </w:r>
          </w:p>
        </w:tc>
        <w:tc>
          <w:tcPr>
            <w:shd w:val="clear" w:color="auto" w:fill="F5F7FB"/>
          </w:tcPr>
          <w:p>
            <w:pPr>
              <w:pStyle w:val="Compact"/>
            </w:pPr>
            <w:r>
              <w:rPr>
                <w:sz w:val="17"/>
              </w:rPr>
              <w:t xml:space="preserve">Pass professionnel</w:t>
            </w:r>
          </w:p>
        </w:tc>
        <w:tc>
          <w:tcPr>
            <w:shd w:val="clear" w:color="auto" w:fill="F5F7FB"/>
          </w:tcPr>
          <w:p>
            <w:pPr>
              <w:pStyle w:val="Compact"/>
            </w:pPr>
            <w:r>
              <w:rPr>
                <w:sz w:val="17"/>
              </w:rPr>
              <w:t xml:space="preserve">Jour, semaine, mois</w:t>
            </w:r>
          </w:p>
        </w:tc>
        <w:tc>
          <w:tcPr>
            <w:shd w:val="clear" w:color="auto" w:fill="F5F7FB"/>
          </w:tcPr>
          <w:p>
            <w:pPr>
              <w:pStyle w:val="Compact"/>
            </w:pPr>
            <w:r>
              <w:rPr>
                <w:sz w:val="17"/>
              </w:rPr>
              <w:t xml:space="preserve">2 h / 1 jour / 3 jours</w:t>
            </w:r>
          </w:p>
        </w:tc>
        <w:tc>
          <w:tcPr>
            <w:shd w:val="clear" w:color="auto" w:fill="F5F7FB"/>
          </w:tcPr>
          <w:p>
            <w:pPr>
              <w:pStyle w:val="Compact"/>
            </w:pPr>
            <w:r>
              <w:rPr>
                <w:sz w:val="17"/>
              </w:rPr>
              <w:t xml:space="preserve">Gilet numéroté QR + autocollant QR (plaque + conducteur)</w:t>
            </w:r>
          </w:p>
        </w:tc>
        <w:tc>
          <w:tcPr>
            <w:shd w:val="clear" w:color="auto" w:fill="F5F7FB"/>
          </w:tcPr>
          <w:p>
            <w:pPr>
              <w:pStyle w:val="Compact"/>
            </w:pPr>
            <w:r>
              <w:rPr>
                <w:sz w:val="17"/>
              </w:rPr>
              <w:t xml:space="preserve">USSD, SMS, carte conducteur</w:t>
            </w:r>
          </w:p>
        </w:tc>
      </w:tr>
      <w:tr>
        <w:tc>
          <w:tcPr/>
          <w:p>
            <w:pPr>
              <w:pStyle w:val="Compact"/>
            </w:pPr>
            <w:r>
              <w:rPr>
                <w:sz w:val="17"/>
              </w:rPr>
              <w:t xml:space="preserve">Marchés, domaine public (20)</w:t>
            </w:r>
          </w:p>
        </w:tc>
        <w:tc>
          <w:tcPr/>
          <w:p>
            <w:pPr>
              <w:pStyle w:val="Compact"/>
            </w:pPr>
            <w:r>
              <w:rPr>
                <w:sz w:val="17"/>
              </w:rPr>
              <w:t xml:space="preserve">Droit d’étal, d’occupation</w:t>
            </w:r>
          </w:p>
        </w:tc>
        <w:tc>
          <w:tcPr/>
          <w:p>
            <w:pPr>
              <w:pStyle w:val="Compact"/>
            </w:pPr>
            <w:r>
              <w:rPr>
                <w:sz w:val="17"/>
              </w:rPr>
              <w:t xml:space="preserve">Jour, semaine, mois</w:t>
            </w:r>
          </w:p>
        </w:tc>
        <w:tc>
          <w:tcPr/>
          <w:p>
            <w:pPr>
              <w:pStyle w:val="Compact"/>
            </w:pPr>
            <w:r>
              <w:rPr>
                <w:sz w:val="17"/>
              </w:rPr>
              <w:t xml:space="preserve">Fin de journée / 1 jour / 3 jours</w:t>
            </w:r>
          </w:p>
        </w:tc>
        <w:tc>
          <w:tcPr/>
          <w:p>
            <w:pPr>
              <w:pStyle w:val="Compact"/>
            </w:pPr>
            <w:r>
              <w:rPr>
                <w:sz w:val="17"/>
              </w:rPr>
              <w:t xml:space="preserve">Plaque QR de l’étal + carte commerçant</w:t>
            </w:r>
          </w:p>
        </w:tc>
        <w:tc>
          <w:tcPr/>
          <w:p>
            <w:pPr>
              <w:pStyle w:val="Compact"/>
            </w:pPr>
            <w:r>
              <w:rPr>
                <w:sz w:val="17"/>
              </w:rPr>
              <w:t xml:space="preserve">SMS, reçu</w:t>
            </w:r>
          </w:p>
        </w:tc>
      </w:tr>
      <w:tr>
        <w:tc>
          <w:tcPr>
            <w:shd w:val="clear" w:color="auto" w:fill="F5F7FB"/>
          </w:tcPr>
          <w:p>
            <w:pPr>
              <w:pStyle w:val="Compact"/>
            </w:pPr>
            <w:r>
              <w:rPr>
                <w:sz w:val="17"/>
              </w:rPr>
              <w:t xml:space="preserve">Patente, débits de boissons (10)</w:t>
            </w:r>
          </w:p>
        </w:tc>
        <w:tc>
          <w:tcPr>
            <w:shd w:val="clear" w:color="auto" w:fill="F5F7FB"/>
          </w:tcPr>
          <w:p>
            <w:pPr>
              <w:pStyle w:val="Compact"/>
            </w:pPr>
            <w:r>
              <w:rPr>
                <w:sz w:val="17"/>
              </w:rPr>
              <w:t xml:space="preserve">Certificat d’exploitation</w:t>
            </w:r>
          </w:p>
        </w:tc>
        <w:tc>
          <w:tcPr>
            <w:shd w:val="clear" w:color="auto" w:fill="F5F7FB"/>
          </w:tcPr>
          <w:p>
            <w:pPr>
              <w:pStyle w:val="Compact"/>
            </w:pPr>
            <w:r>
              <w:rPr>
                <w:sz w:val="17"/>
              </w:rPr>
              <w:t xml:space="preserve">Exercice</w:t>
            </w:r>
          </w:p>
        </w:tc>
        <w:tc>
          <w:tcPr>
            <w:shd w:val="clear" w:color="auto" w:fill="F5F7FB"/>
          </w:tcPr>
          <w:p>
            <w:pPr>
              <w:pStyle w:val="Compact"/>
            </w:pPr>
            <w:r>
              <w:rPr>
                <w:sz w:val="17"/>
              </w:rPr>
              <w:t xml:space="preserve">30 jours</w:t>
            </w:r>
          </w:p>
        </w:tc>
        <w:tc>
          <w:tcPr>
            <w:shd w:val="clear" w:color="auto" w:fill="F5F7FB"/>
          </w:tcPr>
          <w:p>
            <w:pPr>
              <w:pStyle w:val="Compact"/>
            </w:pPr>
            <w:r>
              <w:rPr>
                <w:sz w:val="17"/>
              </w:rPr>
              <w:t xml:space="preserve">QR sur devanture</w:t>
            </w:r>
          </w:p>
        </w:tc>
        <w:tc>
          <w:tcPr>
            <w:shd w:val="clear" w:color="auto" w:fill="F5F7FB"/>
          </w:tcPr>
          <w:p>
            <w:pPr>
              <w:pStyle w:val="Compact"/>
            </w:pPr>
            <w:r>
              <w:rPr>
                <w:sz w:val="17"/>
              </w:rPr>
              <w:t xml:space="preserve">—</w:t>
            </w:r>
          </w:p>
        </w:tc>
      </w:tr>
      <w:tr>
        <w:tc>
          <w:tcPr/>
          <w:p>
            <w:pPr>
              <w:pStyle w:val="Compact"/>
            </w:pPr>
            <w:r>
              <w:rPr>
                <w:sz w:val="17"/>
              </w:rPr>
              <w:t xml:space="preserve">Publicité, antennes (15, 16)</w:t>
            </w:r>
          </w:p>
        </w:tc>
        <w:tc>
          <w:tcPr/>
          <w:p>
            <w:pPr>
              <w:pStyle w:val="Compact"/>
            </w:pPr>
            <w:r>
              <w:rPr>
                <w:sz w:val="17"/>
              </w:rPr>
              <w:t xml:space="preserve">Autorisation</w:t>
            </w:r>
          </w:p>
        </w:tc>
        <w:tc>
          <w:tcPr/>
          <w:p>
            <w:pPr>
              <w:pStyle w:val="Compact"/>
            </w:pPr>
            <w:r>
              <w:rPr>
                <w:sz w:val="17"/>
              </w:rPr>
              <w:t xml:space="preserve">Exercice</w:t>
            </w:r>
          </w:p>
        </w:tc>
        <w:tc>
          <w:tcPr/>
          <w:p>
            <w:pPr>
              <w:pStyle w:val="Compact"/>
            </w:pPr>
            <w:r>
              <w:rPr>
                <w:sz w:val="17"/>
              </w:rPr>
              <w:t xml:space="preserve">30 jours</w:t>
            </w:r>
          </w:p>
        </w:tc>
        <w:tc>
          <w:tcPr/>
          <w:p>
            <w:pPr>
              <w:pStyle w:val="Compact"/>
            </w:pPr>
            <w:r>
              <w:rPr>
                <w:sz w:val="17"/>
              </w:rPr>
              <w:t xml:space="preserve">Plaque QR sur panneau ou site</w:t>
            </w:r>
          </w:p>
        </w:tc>
        <w:tc>
          <w:tcPr/>
          <w:p>
            <w:pPr>
              <w:pStyle w:val="Compact"/>
            </w:pPr>
            <w:r>
              <w:rPr>
                <w:sz w:val="17"/>
              </w:rPr>
              <w:t xml:space="preserve">Identifiant géofiscal</w:t>
            </w:r>
          </w:p>
        </w:tc>
      </w:tr>
      <w:tr>
        <w:tc>
          <w:tcPr>
            <w:shd w:val="clear" w:color="auto" w:fill="F5F7FB"/>
          </w:tcPr>
          <w:p>
            <w:pPr>
              <w:pStyle w:val="Compact"/>
            </w:pPr>
            <w:r>
              <w:rPr>
                <w:sz w:val="17"/>
              </w:rPr>
              <w:t xml:space="preserve">Embarquement, ports (13, 24)</w:t>
            </w:r>
          </w:p>
        </w:tc>
        <w:tc>
          <w:tcPr>
            <w:shd w:val="clear" w:color="auto" w:fill="F5F7FB"/>
          </w:tcPr>
          <w:p>
            <w:pPr>
              <w:pStyle w:val="Compact"/>
            </w:pPr>
            <w:r>
              <w:rPr>
                <w:sz w:val="17"/>
              </w:rPr>
              <w:t xml:space="preserve">Titre d’embarquement, d’accostage</w:t>
            </w:r>
          </w:p>
        </w:tc>
        <w:tc>
          <w:tcPr>
            <w:shd w:val="clear" w:color="auto" w:fill="F5F7FB"/>
          </w:tcPr>
          <w:p>
            <w:pPr>
              <w:pStyle w:val="Compact"/>
            </w:pPr>
            <w:r>
              <w:rPr>
                <w:sz w:val="17"/>
              </w:rPr>
              <w:t xml:space="preserve">Usage unique ou journalier</w:t>
            </w:r>
          </w:p>
        </w:tc>
        <w:tc>
          <w:tcPr>
            <w:shd w:val="clear" w:color="auto" w:fill="F5F7FB"/>
          </w:tcPr>
          <w:p>
            <w:pPr>
              <w:pStyle w:val="Compact"/>
            </w:pPr>
            <w:r>
              <w:rPr>
                <w:sz w:val="17"/>
              </w:rPr>
              <w:t xml:space="preserve">Avant départ</w:t>
            </w:r>
          </w:p>
        </w:tc>
        <w:tc>
          <w:tcPr>
            <w:shd w:val="clear" w:color="auto" w:fill="F5F7FB"/>
          </w:tcPr>
          <w:p>
            <w:pPr>
              <w:pStyle w:val="Compact"/>
            </w:pPr>
            <w:r>
              <w:rPr>
                <w:sz w:val="17"/>
              </w:rPr>
              <w:t xml:space="preserve">QR à usage unique</w:t>
            </w:r>
          </w:p>
        </w:tc>
        <w:tc>
          <w:tcPr>
            <w:shd w:val="clear" w:color="auto" w:fill="F5F7FB"/>
          </w:tcPr>
          <w:p>
            <w:pPr>
              <w:pStyle w:val="Compact"/>
            </w:pPr>
            <w:r>
              <w:rPr>
                <w:sz w:val="17"/>
              </w:rPr>
              <w:t xml:space="preserve">Code court SMS</w:t>
            </w:r>
          </w:p>
        </w:tc>
      </w:tr>
      <w:tr>
        <w:tc>
          <w:tcPr/>
          <w:p>
            <w:pPr>
              <w:pStyle w:val="Compact"/>
            </w:pPr>
            <w:r>
              <w:rPr>
                <w:sz w:val="17"/>
              </w:rPr>
              <w:t xml:space="preserve">Péage (25)</w:t>
            </w:r>
          </w:p>
        </w:tc>
        <w:tc>
          <w:tcPr/>
          <w:p>
            <w:pPr>
              <w:pStyle w:val="Compact"/>
            </w:pPr>
            <w:r>
              <w:rPr>
                <w:sz w:val="17"/>
              </w:rPr>
              <w:t xml:space="preserve">Passage, forfait</w:t>
            </w:r>
          </w:p>
        </w:tc>
        <w:tc>
          <w:tcPr/>
          <w:p>
            <w:pPr>
              <w:pStyle w:val="Compact"/>
            </w:pPr>
            <w:r>
              <w:rPr>
                <w:sz w:val="17"/>
              </w:rPr>
              <w:t xml:space="preserve">Usage unique, carnet, abonnement</w:t>
            </w:r>
          </w:p>
        </w:tc>
        <w:tc>
          <w:tcPr/>
          <w:p>
            <w:pPr>
              <w:pStyle w:val="Compact"/>
            </w:pPr>
            <w:r>
              <w:rPr>
                <w:sz w:val="17"/>
              </w:rPr>
              <w:t xml:space="preserve">—</w:t>
            </w:r>
          </w:p>
        </w:tc>
        <w:tc>
          <w:tcPr/>
          <w:p>
            <w:pPr>
              <w:pStyle w:val="Compact"/>
            </w:pPr>
            <w:r>
              <w:rPr>
                <w:sz w:val="17"/>
              </w:rPr>
              <w:t xml:space="preserve">Titre lié à la plaque</w:t>
            </w:r>
          </w:p>
        </w:tc>
        <w:tc>
          <w:tcPr/>
          <w:p>
            <w:pPr>
              <w:pStyle w:val="Compact"/>
            </w:pPr>
            <w:r>
              <w:rPr>
                <w:sz w:val="17"/>
              </w:rPr>
              <w:t xml:space="preserve">Reçu QR</w:t>
            </w:r>
          </w:p>
        </w:tc>
      </w:tr>
      <w:tr>
        <w:tc>
          <w:tcPr>
            <w:shd w:val="clear" w:color="auto" w:fill="F5F7FB"/>
          </w:tcPr>
          <w:p>
            <w:pPr>
              <w:pStyle w:val="Compact"/>
            </w:pPr>
            <w:r>
              <w:rPr>
                <w:sz w:val="17"/>
              </w:rPr>
              <w:t xml:space="preserve">Carrières (22)</w:t>
            </w:r>
          </w:p>
        </w:tc>
        <w:tc>
          <w:tcPr>
            <w:shd w:val="clear" w:color="auto" w:fill="F5F7FB"/>
          </w:tcPr>
          <w:p>
            <w:pPr>
              <w:pStyle w:val="Compact"/>
            </w:pPr>
            <w:r>
              <w:rPr>
                <w:sz w:val="17"/>
              </w:rPr>
              <w:t xml:space="preserve">Bon de sortie de camion</w:t>
            </w:r>
          </w:p>
        </w:tc>
        <w:tc>
          <w:tcPr>
            <w:shd w:val="clear" w:color="auto" w:fill="F5F7FB"/>
          </w:tcPr>
          <w:p>
            <w:pPr>
              <w:pStyle w:val="Compact"/>
            </w:pPr>
            <w:r>
              <w:rPr>
                <w:sz w:val="17"/>
              </w:rPr>
              <w:t xml:space="preserve">Usage unique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QR lié au camion et au chargement</w:t>
            </w:r>
          </w:p>
        </w:tc>
        <w:tc>
          <w:tcPr>
            <w:shd w:val="clear" w:color="auto" w:fill="F5F7FB"/>
          </w:tcPr>
          <w:p>
            <w:pPr>
              <w:pStyle w:val="Compact"/>
            </w:pPr>
            <w:r>
              <w:rPr>
                <w:sz w:val="17"/>
              </w:rPr>
              <w:t xml:space="preserve">Code court</w:t>
            </w:r>
          </w:p>
        </w:tc>
      </w:tr>
      <w:tr>
        <w:tc>
          <w:tcPr/>
          <w:p>
            <w:pPr>
              <w:pStyle w:val="Compact"/>
            </w:pPr>
            <w:r>
              <w:rPr>
                <w:sz w:val="17"/>
              </w:rPr>
              <w:t xml:space="preserve">Spectacles (21)</w:t>
            </w:r>
          </w:p>
        </w:tc>
        <w:tc>
          <w:tcPr/>
          <w:p>
            <w:pPr>
              <w:pStyle w:val="Compact"/>
            </w:pPr>
            <w:r>
              <w:rPr>
                <w:sz w:val="17"/>
              </w:rPr>
              <w:t xml:space="preserve">Autorisation</w:t>
            </w:r>
          </w:p>
        </w:tc>
        <w:tc>
          <w:tcPr/>
          <w:p>
            <w:pPr>
              <w:pStyle w:val="Compact"/>
            </w:pPr>
            <w:r>
              <w:rPr>
                <w:sz w:val="17"/>
              </w:rPr>
              <w:t xml:space="preserve">Dates de l’événement</w:t>
            </w:r>
          </w:p>
        </w:tc>
        <w:tc>
          <w:tcPr/>
          <w:p>
            <w:pPr>
              <w:pStyle w:val="Compact"/>
            </w:pPr>
            <w:r>
              <w:rPr>
                <w:sz w:val="17"/>
              </w:rPr>
              <w:t xml:space="preserve">2 jours</w:t>
            </w:r>
          </w:p>
        </w:tc>
        <w:tc>
          <w:tcPr/>
          <w:p>
            <w:pPr>
              <w:pStyle w:val="Compact"/>
            </w:pPr>
            <w:r>
              <w:rPr>
                <w:sz w:val="17"/>
              </w:rPr>
              <w:t xml:space="preserve">Certificat QR affiché</w:t>
            </w:r>
          </w:p>
        </w:tc>
        <w:tc>
          <w:tcPr/>
          <w:p>
            <w:pPr>
              <w:pStyle w:val="Compact"/>
            </w:pPr>
            <w:r>
              <w:rPr>
                <w:sz w:val="17"/>
              </w:rPr>
              <w:t xml:space="preserve">—</w:t>
            </w:r>
          </w:p>
        </w:tc>
      </w:tr>
      <w:tr>
        <w:tc>
          <w:tcPr>
            <w:shd w:val="clear" w:color="auto" w:fill="F5F7FB"/>
          </w:tcPr>
          <w:p>
            <w:pPr>
              <w:pStyle w:val="Compact"/>
            </w:pPr>
            <w:r>
              <w:rPr>
                <w:sz w:val="17"/>
              </w:rPr>
              <w:t xml:space="preserve">Chantiers, voirie (19)</w:t>
            </w:r>
          </w:p>
        </w:tc>
        <w:tc>
          <w:tcPr>
            <w:shd w:val="clear" w:color="auto" w:fill="F5F7FB"/>
          </w:tcPr>
          <w:p>
            <w:pPr>
              <w:pStyle w:val="Compact"/>
            </w:pPr>
            <w:r>
              <w:rPr>
                <w:sz w:val="17"/>
              </w:rPr>
              <w:t xml:space="preserve">Permis d’occuper la voie</w:t>
            </w:r>
          </w:p>
        </w:tc>
        <w:tc>
          <w:tcPr>
            <w:shd w:val="clear" w:color="auto" w:fill="F5F7FB"/>
          </w:tcPr>
          <w:p>
            <w:pPr>
              <w:pStyle w:val="Compact"/>
            </w:pPr>
            <w:r>
              <w:rPr>
                <w:sz w:val="17"/>
              </w:rPr>
              <w:t xml:space="preserve">Durée du chantier</w:t>
            </w:r>
          </w:p>
        </w:tc>
        <w:tc>
          <w:tcPr>
            <w:shd w:val="clear" w:color="auto" w:fill="F5F7FB"/>
          </w:tcPr>
          <w:p>
            <w:pPr>
              <w:pStyle w:val="Compact"/>
            </w:pPr>
            <w:r>
              <w:rPr>
                <w:sz w:val="17"/>
              </w:rPr>
              <w:t xml:space="preserve">3 jours</w:t>
            </w:r>
          </w:p>
        </w:tc>
        <w:tc>
          <w:tcPr>
            <w:shd w:val="clear" w:color="auto" w:fill="F5F7FB"/>
          </w:tcPr>
          <w:p>
            <w:pPr>
              <w:pStyle w:val="Compact"/>
            </w:pPr>
            <w:r>
              <w:rPr>
                <w:sz w:val="17"/>
              </w:rPr>
              <w:t xml:space="preserve">Panneau de chantier QR</w:t>
            </w:r>
          </w:p>
        </w:tc>
        <w:tc>
          <w:tcPr>
            <w:shd w:val="clear" w:color="auto" w:fill="F5F7FB"/>
          </w:tcPr>
          <w:p>
            <w:pPr>
              <w:pStyle w:val="Compact"/>
            </w:pPr>
            <w:r>
              <w:rPr>
                <w:sz w:val="17"/>
              </w:rPr>
              <w:t xml:space="preserve">—</w:t>
            </w:r>
          </w:p>
        </w:tc>
      </w:tr>
      <w:tr>
        <w:tc>
          <w:tcPr/>
          <w:p>
            <w:pPr>
              <w:pStyle w:val="Compact"/>
            </w:pPr>
            <w:r>
              <w:rPr>
                <w:sz w:val="17"/>
              </w:rPr>
              <w:t xml:space="preserve">IF et IRL (9, 79)</w:t>
            </w:r>
          </w:p>
        </w:tc>
        <w:tc>
          <w:tcPr/>
          <w:p>
            <w:pPr>
              <w:pStyle w:val="Compact"/>
            </w:pPr>
            <w:r>
              <w:rPr>
                <w:sz w:val="17"/>
              </w:rPr>
              <w:t xml:space="preserve">Quittance annuelle + statut de l’objet</w:t>
            </w:r>
          </w:p>
        </w:tc>
        <w:tc>
          <w:tcPr/>
          <w:p>
            <w:pPr>
              <w:pStyle w:val="Compact"/>
            </w:pPr>
            <w:r>
              <w:rPr>
                <w:sz w:val="17"/>
              </w:rPr>
              <w:t xml:space="preserve">Exercice</w:t>
            </w:r>
          </w:p>
        </w:tc>
        <w:tc>
          <w:tcPr/>
          <w:p>
            <w:pPr>
              <w:pStyle w:val="Compact"/>
            </w:pPr>
            <w:r>
              <w:rPr>
                <w:sz w:val="17"/>
              </w:rPr>
              <w:t xml:space="preserve">Échéance légale</w:t>
            </w:r>
          </w:p>
        </w:tc>
        <w:tc>
          <w:tcPr/>
          <w:p>
            <w:pPr>
              <w:pStyle w:val="Compact"/>
            </w:pPr>
            <w:r>
              <w:rPr>
                <w:sz w:val="17"/>
              </w:rPr>
              <w:t xml:space="preserve">Plaque QR de la parcelle ou de l’unité</w:t>
            </w:r>
          </w:p>
        </w:tc>
        <w:tc>
          <w:tcPr/>
          <w:p>
            <w:pPr>
              <w:pStyle w:val="Compact"/>
            </w:pPr>
            <w:r>
              <w:rPr>
                <w:sz w:val="17"/>
              </w:rPr>
              <w:t xml:space="preserve">—</w:t>
            </w:r>
          </w:p>
        </w:tc>
      </w:tr>
      <w:tr>
        <w:tc>
          <w:tcPr>
            <w:shd w:val="clear" w:color="auto" w:fill="F5F7FB"/>
          </w:tcPr>
          <w:p>
            <w:pPr>
              <w:pStyle w:val="Compact"/>
            </w:pPr>
            <w:r>
              <w:rPr>
                <w:sz w:val="17"/>
              </w:rPr>
              <w:t xml:space="preserve">Quitus fiscal (82)</w:t>
            </w:r>
          </w:p>
        </w:tc>
        <w:tc>
          <w:tcPr>
            <w:shd w:val="clear" w:color="auto" w:fill="F5F7FB"/>
          </w:tcPr>
          <w:p>
            <w:pPr>
              <w:pStyle w:val="Compact"/>
            </w:pPr>
            <w:r>
              <w:rPr>
                <w:sz w:val="17"/>
              </w:rPr>
              <w:t xml:space="preserve">Attestation de conformité</w:t>
            </w:r>
          </w:p>
        </w:tc>
        <w:tc>
          <w:tcPr>
            <w:shd w:val="clear" w:color="auto" w:fill="F5F7FB"/>
          </w:tcPr>
          <w:p>
            <w:pPr>
              <w:pStyle w:val="Compact"/>
            </w:pPr>
            <w:r>
              <w:rPr>
                <w:sz w:val="17"/>
              </w:rPr>
              <w:t xml:space="preserve">Période fixée par la règle</w:t>
            </w:r>
          </w:p>
        </w:tc>
        <w:tc>
          <w:tcPr>
            <w:shd w:val="clear" w:color="auto" w:fill="F5F7FB"/>
          </w:tcPr>
          <w:p>
            <w:pPr>
              <w:pStyle w:val="Compact"/>
            </w:pPr>
            <w:r>
              <w:rPr>
                <w:sz w:val="17"/>
              </w:rPr>
              <w:t xml:space="preserve">15 jours</w:t>
            </w:r>
          </w:p>
        </w:tc>
        <w:tc>
          <w:tcPr>
            <w:shd w:val="clear" w:color="auto" w:fill="F5F7FB"/>
          </w:tcPr>
          <w:p>
            <w:pPr>
              <w:pStyle w:val="Compact"/>
            </w:pPr>
            <w:r>
              <w:rPr>
                <w:sz w:val="17"/>
              </w:rPr>
              <w:t xml:space="preserve">Document QR vérifiable</w:t>
            </w:r>
          </w:p>
        </w:tc>
        <w:tc>
          <w:tcPr>
            <w:shd w:val="clear" w:color="auto" w:fill="F5F7FB"/>
          </w:tcPr>
          <w:p>
            <w:pPr>
              <w:pStyle w:val="Compact"/>
            </w:pPr>
            <w:r>
              <w:rPr>
                <w:sz w:val="17"/>
              </w:rPr>
              <w:t xml:space="preserve">Code court</w:t>
            </w:r>
          </w:p>
        </w:tc>
      </w:tr>
    </w:tbl>
    <w:bookmarkEnd w:id="483"/>
    <w:bookmarkStart w:id="484" w:name="X357481e1ebad2e184137e4fae717204d473657e"/>
    <w:p>
      <w:pPr>
        <w:pStyle w:val="Heading3"/>
      </w:pPr>
      <w:r>
        <w:t xml:space="preserve">H.11.5 Supports : QR dynamique, QR statique, plaque, carte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Support</w:t>
            </w:r>
          </w:p>
        </w:tc>
        <w:tc>
          <w:tcPr>
            <w:shd w:val="clear" w:color="auto" w:fill="232C6B"/>
          </w:tcPr>
          <w:p>
            <w:pPr>
              <w:pStyle w:val="Compact"/>
            </w:pPr>
            <w:r>
              <w:rPr>
                <w:b/>
                <w:color w:val="FFFFFF"/>
                <w:sz w:val="17"/>
              </w:rPr>
              <w:t xml:space="preserve">Exigence</w:t>
            </w:r>
          </w:p>
        </w:tc>
      </w:tr>
      <w:tr>
        <w:tc>
          <w:tcPr/>
          <w:p>
            <w:pPr>
              <w:pStyle w:val="Compact"/>
            </w:pPr>
            <w:r>
              <w:rPr>
                <w:b/>
                <w:bCs/>
                <w:sz w:val="17"/>
              </w:rPr>
              <w:t xml:space="preserve">QR dynamique</w:t>
            </w:r>
            <w:r>
              <w:rPr>
                <w:sz w:val="17"/>
              </w:rPr>
              <w:t xml:space="preserve"> </w:t>
            </w:r>
            <w:r>
              <w:rPr>
                <w:sz w:val="17"/>
              </w:rPr>
              <w:t xml:space="preserve">(application)</w:t>
            </w:r>
          </w:p>
        </w:tc>
        <w:tc>
          <w:tcPr/>
          <w:p>
            <w:pPr>
              <w:pStyle w:val="Compact"/>
            </w:pPr>
            <w:r>
              <w:rPr>
                <w:b/>
                <w:bCs/>
                <w:sz w:val="17"/>
              </w:rPr>
              <w:t xml:space="preserve">Régénéré toutes les 30 secondes</w:t>
            </w:r>
            <w:r>
              <w:rPr>
                <w:sz w:val="17"/>
              </w:rPr>
              <w:t xml:space="preserve"> </w:t>
            </w:r>
            <w:r>
              <w:rPr>
                <w:sz w:val="17"/>
              </w:rPr>
              <w:t xml:space="preserve">; compte à rebours animé ; date et heure de fin ; couleur ; élément animé qui rend une capture d’écran reconnaissable ; un code copié est invalide</w:t>
            </w:r>
          </w:p>
        </w:tc>
      </w:tr>
      <w:tr>
        <w:tc>
          <w:tcPr>
            <w:shd w:val="clear" w:color="auto" w:fill="F5F7FB"/>
          </w:tcPr>
          <w:p>
            <w:pPr>
              <w:pStyle w:val="Compact"/>
            </w:pPr>
            <w:r>
              <w:rPr>
                <w:sz w:val="17"/>
              </w:rPr>
              <w:t xml:space="preserve">QR statique (papier, autocollant, plaque)</w:t>
            </w:r>
          </w:p>
        </w:tc>
        <w:tc>
          <w:tcPr>
            <w:shd w:val="clear" w:color="auto" w:fill="F5F7FB"/>
          </w:tcPr>
          <w:p>
            <w:pPr>
              <w:pStyle w:val="Compact"/>
            </w:pPr>
            <w:r>
              <w:rPr>
                <w:sz w:val="17"/>
              </w:rPr>
              <w:t xml:space="preserve">Jeton signé (type de titre, identifiant, dates de début et de fin) ; dates en gros caractères, pictogrammes, code court</w:t>
            </w:r>
          </w:p>
        </w:tc>
      </w:tr>
      <w:tr>
        <w:tc>
          <w:tcPr/>
          <w:p>
            <w:pPr>
              <w:pStyle w:val="Compact"/>
            </w:pPr>
            <w:r>
              <w:rPr>
                <w:sz w:val="17"/>
              </w:rPr>
              <w:t xml:space="preserve">Titre sans support</w:t>
            </w:r>
          </w:p>
        </w:tc>
        <w:tc>
          <w:tcPr/>
          <w:p>
            <w:pPr>
              <w:pStyle w:val="Compact"/>
            </w:pPr>
            <w:r>
              <w:rPr>
                <w:sz w:val="17"/>
              </w:rPr>
              <w:t xml:space="preserve">Stationnement, péage, circulation : le titre est lié à la plaque</w:t>
            </w:r>
          </w:p>
        </w:tc>
      </w:tr>
      <w:tr>
        <w:tc>
          <w:tcPr>
            <w:shd w:val="clear" w:color="auto" w:fill="F5F7FB"/>
          </w:tcPr>
          <w:p>
            <w:pPr>
              <w:pStyle w:val="Compact"/>
            </w:pPr>
            <w:r>
              <w:rPr>
                <w:sz w:val="17"/>
              </w:rPr>
              <w:t xml:space="preserve">SMS et code court</w:t>
            </w:r>
          </w:p>
        </w:tc>
        <w:tc>
          <w:tcPr>
            <w:shd w:val="clear" w:color="auto" w:fill="F5F7FB"/>
          </w:tcPr>
          <w:p>
            <w:pPr>
              <w:pStyle w:val="Compact"/>
            </w:pPr>
            <w:r>
              <w:rPr>
                <w:sz w:val="17"/>
              </w:rPr>
              <w:t xml:space="preserve">Secours universel</w:t>
            </w:r>
          </w:p>
        </w:tc>
      </w:tr>
      <w:tr>
        <w:tc>
          <w:tcPr/>
          <w:p>
            <w:pPr>
              <w:pStyle w:val="Compact"/>
            </w:pPr>
            <w:r>
              <w:rPr>
                <w:sz w:val="17"/>
              </w:rPr>
              <w:t xml:space="preserve">Carte MOSOLO</w:t>
            </w:r>
          </w:p>
        </w:tc>
        <w:tc>
          <w:tcPr/>
          <w:p>
            <w:pPr>
              <w:pStyle w:val="Compact"/>
            </w:pPr>
            <w:r>
              <w:rPr>
                <w:sz w:val="17"/>
              </w:rPr>
              <w:t xml:space="preserve">Titre rattaché au titulaire (§ H.7.2)</w:t>
            </w:r>
          </w:p>
        </w:tc>
      </w:tr>
      <w:tr>
        <w:tc>
          <w:tcPr>
            <w:shd w:val="clear" w:color="auto" w:fill="F5F7FB"/>
          </w:tcPr>
          <w:p>
            <w:pPr>
              <w:pStyle w:val="Compact"/>
            </w:pPr>
            <w:r>
              <w:rPr>
                <w:sz w:val="17"/>
              </w:rPr>
              <w:t xml:space="preserve">Visuels par module</w:t>
            </w:r>
          </w:p>
        </w:tc>
        <w:tc>
          <w:tcPr>
            <w:shd w:val="clear" w:color="auto" w:fill="F5F7FB"/>
          </w:tcPr>
          <w:p>
            <w:pPr>
              <w:pStyle w:val="Compact"/>
            </w:pPr>
            <w:r>
              <w:rPr>
                <w:sz w:val="17"/>
              </w:rPr>
              <w:t xml:space="preserve">Couleur de cadre, pictogramme,</w:t>
            </w:r>
            <w:r>
              <w:rPr>
                <w:sz w:val="17"/>
              </w:rPr>
              <w:t xml:space="preserve"> </w:t>
            </w:r>
            <w:r>
              <w:rPr>
                <w:b/>
                <w:bCs/>
                <w:sz w:val="17"/>
              </w:rPr>
              <w:t xml:space="preserve">préfixe de code</w:t>
            </w:r>
            <w:r>
              <w:rPr>
                <w:sz w:val="17"/>
              </w:rPr>
              <w:t xml:space="preserve"> </w:t>
            </w:r>
            <w:r>
              <w:rPr>
                <w:sz w:val="17"/>
              </w:rPr>
              <w:t xml:space="preserve">(par exemple</w:t>
            </w:r>
            <w:r>
              <w:rPr>
                <w:sz w:val="17"/>
              </w:rPr>
              <w:t xml:space="preserve"> </w:t>
            </w:r>
            <w:r>
              <w:rPr>
                <w:rStyle w:val="VerbatimChar"/>
                <w:sz w:val="17"/>
              </w:rPr>
              <w:t xml:space="preserve">STA</w:t>
            </w:r>
            <w:r>
              <w:rPr>
                <w:sz w:val="17"/>
              </w:rPr>
              <w:t xml:space="preserve"> </w:t>
            </w:r>
            <w:r>
              <w:rPr>
                <w:sz w:val="17"/>
              </w:rPr>
              <w:t xml:space="preserve">stationnement,</w:t>
            </w:r>
            <w:r>
              <w:rPr>
                <w:sz w:val="17"/>
              </w:rPr>
              <w:t xml:space="preserve"> </w:t>
            </w:r>
            <w:r>
              <w:rPr>
                <w:rStyle w:val="VerbatimChar"/>
                <w:sz w:val="17"/>
              </w:rPr>
              <w:t xml:space="preserve">MAR</w:t>
            </w:r>
            <w:r>
              <w:rPr>
                <w:sz w:val="17"/>
              </w:rPr>
              <w:t xml:space="preserve"> </w:t>
            </w:r>
            <w:r>
              <w:rPr>
                <w:sz w:val="17"/>
              </w:rPr>
              <w:t xml:space="preserve">marché,</w:t>
            </w:r>
            <w:r>
              <w:rPr>
                <w:sz w:val="17"/>
              </w:rPr>
              <w:t xml:space="preserve"> </w:t>
            </w:r>
            <w:r>
              <w:rPr>
                <w:rStyle w:val="VerbatimChar"/>
                <w:sz w:val="17"/>
              </w:rPr>
              <w:t xml:space="preserve">VIG</w:t>
            </w:r>
            <w:r>
              <w:rPr>
                <w:sz w:val="17"/>
              </w:rPr>
              <w:t xml:space="preserve"> </w:t>
            </w:r>
            <w:r>
              <w:rPr>
                <w:sz w:val="17"/>
              </w:rPr>
              <w:t xml:space="preserve">vignette)</w:t>
            </w:r>
          </w:p>
        </w:tc>
      </w:tr>
    </w:tbl>
    <w:bookmarkEnd w:id="484"/>
    <w:bookmarkStart w:id="485" w:name="X104da7802991f030c49ddfe55861bac097e7505"/>
    <w:p>
      <w:pPr>
        <w:pStyle w:val="Heading3"/>
      </w:pPr>
      <w:r>
        <w:t xml:space="preserve">H.11.6 Temps de référence, contrôle et hors ligne</w:t>
      </w:r>
    </w:p>
    <w:p>
      <w:pPr>
        <w:pStyle w:val="Compact"/>
        <w:numPr>
          <w:ilvl w:val="0"/>
          <w:numId w:val="1031"/>
        </w:numPr>
      </w:pPr>
      <w:r>
        <w:rPr>
          <w:b/>
          <w:bCs/>
        </w:rPr>
        <w:t xml:space="preserve">L’heure de référence est l’heure du serveur</w:t>
      </w:r>
      <w:r>
        <w:t xml:space="preserve">, synchronisée sur une source de confiance, au fuseau de Kinshasa ;</w:t>
      </w:r>
      <w:r>
        <w:t xml:space="preserve"> </w:t>
      </w:r>
      <w:r>
        <w:rPr>
          <w:b/>
          <w:bCs/>
        </w:rPr>
        <w:t xml:space="preserve">l’heure du téléphone ou du terminal n’est jamais prise en compte</w:t>
      </w:r>
      <w:r>
        <w:t xml:space="preserve"> </w:t>
      </w:r>
      <w:r>
        <w:t xml:space="preserve">pour la validité.</w:t>
      </w:r>
    </w:p>
    <w:p>
      <w:pPr>
        <w:pStyle w:val="Compact"/>
        <w:numPr>
          <w:ilvl w:val="0"/>
          <w:numId w:val="1031"/>
        </w:numPr>
      </w:pPr>
      <w:r>
        <w:t xml:space="preserve">Contrôle en ligne : statut, couleur, temps restant ou écoulé, module, objet, zone.</w:t>
      </w:r>
    </w:p>
    <w:p>
      <w:pPr>
        <w:pStyle w:val="Compact"/>
        <w:numPr>
          <w:ilvl w:val="0"/>
          <w:numId w:val="1031"/>
        </w:numPr>
      </w:pPr>
      <w:r>
        <w:t xml:space="preserve">Contrôle hors ligne : vérification de la signature du jeton par</w:t>
      </w:r>
      <w:r>
        <w:t xml:space="preserve"> </w:t>
      </w:r>
      <w:r>
        <w:rPr>
          <w:b/>
          <w:bCs/>
        </w:rPr>
        <w:t xml:space="preserve">clé publique</w:t>
      </w:r>
      <w:r>
        <w:t xml:space="preserve">, comparaison avec l’horloge du terminal synchronisée à la dernière connexion,</w:t>
      </w:r>
      <w:r>
        <w:t xml:space="preserve"> </w:t>
      </w:r>
      <w:r>
        <w:rPr>
          <w:b/>
          <w:bCs/>
        </w:rPr>
        <w:t xml:space="preserve">liste de révocation signée en cache</w:t>
      </w:r>
      <w:r>
        <w:t xml:space="preserve"> </w:t>
      </w:r>
      <w:r>
        <w:t xml:space="preserve">; résultat affiché « vérifié hors ligne »,</w:t>
      </w:r>
      <w:r>
        <w:t xml:space="preserve"> </w:t>
      </w:r>
      <w:r>
        <w:rPr>
          <w:b/>
          <w:bCs/>
        </w:rPr>
        <w:t xml:space="preserve">reconfirmé à la synchronisation</w:t>
      </w:r>
      <w:r>
        <w:t xml:space="preserve">.</w:t>
      </w:r>
    </w:p>
    <w:p>
      <w:pPr>
        <w:pStyle w:val="Compact"/>
        <w:numPr>
          <w:ilvl w:val="0"/>
          <w:numId w:val="1031"/>
        </w:numPr>
      </w:pPr>
      <w:r>
        <w:t xml:space="preserve">Chaque contrôle est journalisé (qui, où, quand, résultat) ; un titre à usage unique présenté deux fois est détecté, y compris entre deux contrôles hors ligne réconciliés.</w:t>
      </w:r>
    </w:p>
    <w:p>
      <w:pPr>
        <w:pStyle w:val="Compact"/>
        <w:numPr>
          <w:ilvl w:val="0"/>
          <w:numId w:val="1031"/>
        </w:numPr>
      </w:pPr>
      <w:r>
        <w:t xml:space="preserve">Usage unique : le premier scan consomme ; les suivants affichent «</w:t>
      </w:r>
      <w:r>
        <w:t xml:space="preserve"> </w:t>
      </w:r>
      <w:r>
        <w:rPr>
          <w:b/>
          <w:bCs/>
        </w:rPr>
        <w:t xml:space="preserve">DÉJÀ UTILISÉ</w:t>
      </w:r>
      <w:r>
        <w:t xml:space="preserve"> </w:t>
      </w:r>
      <w:r>
        <w:t xml:space="preserve">» avec l’heure et le lieu du premier usage.</w:t>
      </w:r>
    </w:p>
    <w:bookmarkEnd w:id="485"/>
    <w:bookmarkStart w:id="489" w:name="h.11.7-cycle-de-vie-dun-titre"/>
    <w:p>
      <w:pPr>
        <w:pStyle w:val="Heading3"/>
      </w:pPr>
      <w:r>
        <w:t xml:space="preserve">H.11.7 Cycle de vie d’un titre</w:t>
      </w:r>
    </w:p>
    <w:p>
      <w:pPr>
        <w:pStyle w:val="FirstParagraph"/>
      </w:pPr>
      <w:r>
        <w:drawing>
          <wp:inline>
            <wp:extent cx="6108700" cy="4168564"/>
            <wp:effectExtent b="0" l="0" r="0" t="0"/>
            <wp:docPr descr="" title="" id="487" name="Picture"/>
            <a:graphic>
              <a:graphicData uri="http://schemas.openxmlformats.org/drawingml/2006/picture">
                <pic:pic>
                  <pic:nvPicPr>
                    <pic:cNvPr descr="figures/mermaid/mmd-448b9bb9f9b1.png" id="488" name="Picture"/>
                    <pic:cNvPicPr>
                      <a:picLocks noChangeArrowheads="1" noChangeAspect="1"/>
                    </pic:cNvPicPr>
                  </pic:nvPicPr>
                  <pic:blipFill>
                    <a:blip r:embed="rId486"/>
                    <a:stretch>
                      <a:fillRect/>
                    </a:stretch>
                  </pic:blipFill>
                  <pic:spPr bwMode="auto">
                    <a:xfrm>
                      <a:off x="0" y="0"/>
                      <a:ext cx="6108700" cy="4168564"/>
                    </a:xfrm>
                    <a:prstGeom prst="rect">
                      <a:avLst/>
                    </a:prstGeom>
                    <a:noFill/>
                    <a:ln w="9525">
                      <a:noFill/>
                      <a:headEnd/>
                      <a:tailEnd/>
                    </a:ln>
                  </pic:spPr>
                </pic:pic>
              </a:graphicData>
            </a:graphic>
          </wp:inline>
        </w:drawing>
      </w:r>
    </w:p>
    <w:p>
      <w:pPr>
        <w:pStyle w:val="BodyText"/>
      </w:pPr>
      <w:r>
        <w:t xml:space="preserve">Règles : rappels avant expiration (notification, SMS, appel) ; prolongation ou renouvellement par téléphone, guichet ou point agréé (nouveau paiement) ;</w:t>
      </w:r>
      <w:r>
        <w:t xml:space="preserve"> </w:t>
      </w:r>
      <w:r>
        <w:rPr>
          <w:b/>
          <w:bCs/>
        </w:rPr>
        <w:t xml:space="preserve">à l’expiration, aucune pénalité automatique</w:t>
      </w:r>
      <w:r>
        <w:t xml:space="preserve"> </w:t>
      </w:r>
      <w:r>
        <w:t xml:space="preserve">— un éventuel constat suit la règle et le circuit RW1, avec recours ; remboursement d’un titre non utilisé seulement si la règle le permet, par contre-écriture.</w:t>
      </w:r>
    </w:p>
    <w:p>
      <w:pPr>
        <w:pStyle w:val="BodyText"/>
      </w:pPr>
      <w:r>
        <w:t xml:space="preserve">Critères : AC-TIT-01 à AC-TIT-05 (§ H.21), notamment : un ticket journalier lu à moins de 2 heures de son expiration s’affiche en ambre, avec icône et temps restant calculés sur l’heure du serveur.</w:t>
      </w:r>
    </w:p>
    <w:bookmarkEnd w:id="489"/>
    <w:bookmarkEnd w:id="490"/>
    <w:bookmarkStart w:id="494" w:name="Xf5b27908c32be6ac1cca9d3130c5ded397bdfe5"/>
    <w:p>
      <w:pPr>
        <w:pStyle w:val="Heading2"/>
      </w:pPr>
      <w:r>
        <w:t xml:space="preserve">H.12 Chapitres 21 et 22 — Recouvrement et recours</w:t>
      </w:r>
    </w:p>
    <w:bookmarkStart w:id="491" w:name="h.12.1-calendrier-gradué-réconcilié"/>
    <w:p>
      <w:pPr>
        <w:pStyle w:val="Heading3"/>
      </w:pPr>
      <w:r>
        <w:t xml:space="preserve">H.12.1 Calendrier gradué réconcilié</w:t>
      </w:r>
    </w:p>
    <w:p>
      <w:pPr>
        <w:pStyle w:val="FirstParagraph"/>
      </w:pPr>
      <w:r>
        <w:t xml:space="preserve">La v3.0 (§ 21.3) commence à J+1. Le Cahier prévoyait aussi des rappels</w:t>
      </w:r>
      <w:r>
        <w:t xml:space="preserve"> </w:t>
      </w:r>
      <w:r>
        <w:rPr>
          <w:b/>
          <w:bCs/>
        </w:rPr>
        <w:t xml:space="preserve">avant</w:t>
      </w:r>
      <w:r>
        <w:t xml:space="preserve"> </w:t>
      </w:r>
      <w:r>
        <w:t xml:space="preserve">l’échéance. Le calendrier retenu (valeurs de conception, à remplacer par l’Édit n° 005/2021 — J4) :</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Étape</w:t>
            </w:r>
          </w:p>
        </w:tc>
        <w:tc>
          <w:tcPr>
            <w:shd w:val="clear" w:color="auto" w:fill="232C6B"/>
          </w:tcPr>
          <w:p>
            <w:pPr>
              <w:pStyle w:val="Compact"/>
            </w:pPr>
            <w:r>
              <w:rPr>
                <w:b/>
                <w:color w:val="FFFFFF"/>
                <w:sz w:val="17"/>
              </w:rPr>
              <w:t xml:space="preserve">Délai</w:t>
            </w:r>
          </w:p>
        </w:tc>
        <w:tc>
          <w:tcPr>
            <w:shd w:val="clear" w:color="auto" w:fill="232C6B"/>
          </w:tcPr>
          <w:p>
            <w:pPr>
              <w:pStyle w:val="Compact"/>
            </w:pPr>
            <w:r>
              <w:rPr>
                <w:b/>
                <w:color w:val="FFFFFF"/>
                <w:sz w:val="17"/>
              </w:rPr>
              <w:t xml:space="preserve">Canal</w:t>
            </w:r>
          </w:p>
        </w:tc>
        <w:tc>
          <w:tcPr>
            <w:shd w:val="clear" w:color="auto" w:fill="232C6B"/>
          </w:tcPr>
          <w:p>
            <w:pPr>
              <w:pStyle w:val="Compact"/>
            </w:pPr>
            <w:r>
              <w:rPr>
                <w:b/>
                <w:color w:val="FFFFFF"/>
                <w:sz w:val="17"/>
              </w:rPr>
              <w:t xml:space="preserve">Garde-fou</w:t>
            </w:r>
          </w:p>
        </w:tc>
      </w:tr>
      <w:tr>
        <w:tc>
          <w:tcPr/>
          <w:p>
            <w:pPr>
              <w:pStyle w:val="Compact"/>
            </w:pPr>
            <w:r>
              <w:rPr>
                <w:sz w:val="17"/>
              </w:rPr>
              <w:t xml:space="preserve">Déclaration pré-remplie prête</w:t>
            </w:r>
          </w:p>
        </w:tc>
        <w:tc>
          <w:tcPr/>
          <w:p>
            <w:pPr>
              <w:pStyle w:val="Compact"/>
            </w:pPr>
            <w:r>
              <w:rPr>
                <w:sz w:val="17"/>
              </w:rPr>
              <w:t xml:space="preserve">J−45</w:t>
            </w:r>
          </w:p>
        </w:tc>
        <w:tc>
          <w:tcPr/>
          <w:p>
            <w:pPr>
              <w:pStyle w:val="Compact"/>
            </w:pPr>
            <w:r>
              <w:rPr>
                <w:sz w:val="17"/>
              </w:rPr>
              <w:t xml:space="preserve">SMS, application, USSD</w:t>
            </w:r>
          </w:p>
        </w:tc>
        <w:tc>
          <w:tcPr/>
          <w:p>
            <w:pPr>
              <w:pStyle w:val="Compact"/>
            </w:pPr>
            <w:r>
              <w:rPr>
                <w:sz w:val="17"/>
              </w:rPr>
              <w:t xml:space="preserve">Avis facultatif</w:t>
            </w:r>
          </w:p>
        </w:tc>
      </w:tr>
      <w:tr>
        <w:tc>
          <w:tcPr>
            <w:shd w:val="clear" w:color="auto" w:fill="F5F7FB"/>
          </w:tcPr>
          <w:p>
            <w:pPr>
              <w:pStyle w:val="Compact"/>
            </w:pPr>
            <w:r>
              <w:rPr>
                <w:sz w:val="17"/>
              </w:rPr>
              <w:t xml:space="preserve">Rappel amiable</w:t>
            </w:r>
          </w:p>
        </w:tc>
        <w:tc>
          <w:tcPr>
            <w:shd w:val="clear" w:color="auto" w:fill="F5F7FB"/>
          </w:tcPr>
          <w:p>
            <w:pPr>
              <w:pStyle w:val="Compact"/>
            </w:pPr>
            <w:r>
              <w:rPr>
                <w:b/>
                <w:bCs/>
                <w:sz w:val="17"/>
              </w:rPr>
              <w:t xml:space="preserve">J−15 et J−3</w:t>
            </w:r>
          </w:p>
        </w:tc>
        <w:tc>
          <w:tcPr>
            <w:shd w:val="clear" w:color="auto" w:fill="F5F7FB"/>
          </w:tcPr>
          <w:p>
            <w:pPr>
              <w:pStyle w:val="Compact"/>
            </w:pPr>
            <w:r>
              <w:rPr>
                <w:sz w:val="17"/>
              </w:rPr>
              <w:t xml:space="preserve">SMS, application, courriel</w:t>
            </w:r>
          </w:p>
        </w:tc>
        <w:tc>
          <w:tcPr>
            <w:shd w:val="clear" w:color="auto" w:fill="F5F7FB"/>
          </w:tcPr>
          <w:p>
            <w:pPr>
              <w:pStyle w:val="Compact"/>
            </w:pPr>
            <w:r>
              <w:rPr>
                <w:sz w:val="17"/>
              </w:rPr>
              <w:t xml:space="preserve">Preuve d’envoi ; heures de silence (§ 11.4.5)</w:t>
            </w:r>
          </w:p>
        </w:tc>
      </w:tr>
      <w:tr>
        <w:tc>
          <w:tcPr/>
          <w:p>
            <w:pPr>
              <w:pStyle w:val="Compact"/>
            </w:pPr>
            <w:r>
              <w:rPr>
                <w:sz w:val="17"/>
              </w:rPr>
              <w:t xml:space="preserve">Avis d’échéance dépassée</w:t>
            </w:r>
          </w:p>
        </w:tc>
        <w:tc>
          <w:tcPr/>
          <w:p>
            <w:pPr>
              <w:pStyle w:val="Compact"/>
            </w:pPr>
            <w:r>
              <w:rPr>
                <w:sz w:val="17"/>
              </w:rPr>
              <w:t xml:space="preserve">J+1</w:t>
            </w:r>
          </w:p>
        </w:tc>
        <w:tc>
          <w:tcPr/>
          <w:p>
            <w:pPr>
              <w:pStyle w:val="Compact"/>
            </w:pPr>
            <w:r>
              <w:rPr>
                <w:sz w:val="17"/>
              </w:rPr>
              <w:t xml:space="preserve">SMS, application</w:t>
            </w:r>
          </w:p>
        </w:tc>
        <w:tc>
          <w:tcPr/>
          <w:p>
            <w:pPr>
              <w:pStyle w:val="Compact"/>
            </w:pPr>
            <w:r>
              <w:rPr>
                <w:sz w:val="17"/>
              </w:rPr>
              <w:t xml:space="preserve">Référence de paiement maintenue</w:t>
            </w:r>
          </w:p>
        </w:tc>
      </w:tr>
      <w:tr>
        <w:tc>
          <w:tcPr>
            <w:shd w:val="clear" w:color="auto" w:fill="F5F7FB"/>
          </w:tcPr>
          <w:p>
            <w:pPr>
              <w:pStyle w:val="Compact"/>
            </w:pPr>
            <w:r>
              <w:rPr>
                <w:sz w:val="17"/>
              </w:rPr>
              <w:t xml:space="preserve">Relance ciblée + offre d’assistance</w:t>
            </w:r>
          </w:p>
        </w:tc>
        <w:tc>
          <w:tcPr>
            <w:shd w:val="clear" w:color="auto" w:fill="F5F7FB"/>
          </w:tcPr>
          <w:p>
            <w:pPr>
              <w:pStyle w:val="Compact"/>
            </w:pPr>
            <w:r>
              <w:rPr>
                <w:sz w:val="17"/>
              </w:rPr>
              <w:t xml:space="preserve">J+15</w:t>
            </w:r>
          </w:p>
        </w:tc>
        <w:tc>
          <w:tcPr>
            <w:shd w:val="clear" w:color="auto" w:fill="F5F7FB"/>
          </w:tcPr>
          <w:p>
            <w:pPr>
              <w:pStyle w:val="Compact"/>
            </w:pPr>
            <w:r>
              <w:rPr>
                <w:sz w:val="17"/>
              </w:rPr>
              <w:t xml:space="preserve">Appel, visite d’information</w:t>
            </w:r>
          </w:p>
        </w:tc>
        <w:tc>
          <w:tcPr>
            <w:shd w:val="clear" w:color="auto" w:fill="F5F7FB"/>
          </w:tcPr>
          <w:p>
            <w:pPr>
              <w:pStyle w:val="Compact"/>
            </w:pPr>
            <w:r>
              <w:rPr>
                <w:b/>
                <w:bCs/>
                <w:sz w:val="17"/>
              </w:rPr>
              <w:t xml:space="preserve">Aucune sanction</w:t>
            </w:r>
          </w:p>
        </w:tc>
      </w:tr>
      <w:tr>
        <w:tc>
          <w:tcPr/>
          <w:p>
            <w:pPr>
              <w:pStyle w:val="Compact"/>
            </w:pPr>
            <w:r>
              <w:rPr>
                <w:sz w:val="17"/>
              </w:rPr>
              <w:t xml:space="preserve">Constat et notification formelle</w:t>
            </w:r>
          </w:p>
        </w:tc>
        <w:tc>
          <w:tcPr/>
          <w:p>
            <w:pPr>
              <w:pStyle w:val="Compact"/>
            </w:pPr>
            <w:r>
              <w:rPr>
                <w:sz w:val="17"/>
              </w:rPr>
              <w:t xml:space="preserve">J+30</w:t>
            </w:r>
          </w:p>
        </w:tc>
        <w:tc>
          <w:tcPr/>
          <w:p>
            <w:pPr>
              <w:pStyle w:val="Compact"/>
            </w:pPr>
            <w:r>
              <w:rPr>
                <w:sz w:val="17"/>
              </w:rPr>
              <w:t xml:space="preserve">Agent habilité</w:t>
            </w:r>
          </w:p>
        </w:tc>
        <w:tc>
          <w:tcPr/>
          <w:p>
            <w:pPr>
              <w:pStyle w:val="Compact"/>
            </w:pPr>
            <w:r>
              <w:rPr>
                <w:sz w:val="17"/>
              </w:rPr>
              <w:t xml:space="preserve">Motivation, voie de recours</w:t>
            </w:r>
          </w:p>
        </w:tc>
      </w:tr>
      <w:tr>
        <w:tc>
          <w:tcPr>
            <w:shd w:val="clear" w:color="auto" w:fill="F5F7FB"/>
          </w:tcPr>
          <w:p>
            <w:pPr>
              <w:pStyle w:val="Compact"/>
            </w:pPr>
            <w:r>
              <w:rPr>
                <w:sz w:val="17"/>
              </w:rPr>
              <w:t xml:space="preserve">Mise en demeure</w:t>
            </w:r>
          </w:p>
        </w:tc>
        <w:tc>
          <w:tcPr>
            <w:shd w:val="clear" w:color="auto" w:fill="F5F7FB"/>
          </w:tcPr>
          <w:p>
            <w:pPr>
              <w:pStyle w:val="Compact"/>
            </w:pPr>
            <w:r>
              <w:rPr>
                <w:sz w:val="17"/>
              </w:rPr>
              <w:t xml:space="preserve">Selon l’édit</w:t>
            </w:r>
          </w:p>
        </w:tc>
        <w:tc>
          <w:tcPr>
            <w:shd w:val="clear" w:color="auto" w:fill="F5F7FB"/>
          </w:tcPr>
          <w:p>
            <w:pPr>
              <w:pStyle w:val="Compact"/>
            </w:pPr>
            <w:r>
              <w:rPr>
                <w:sz w:val="17"/>
              </w:rPr>
              <w:t xml:space="preserve">Notification officielle</w:t>
            </w:r>
          </w:p>
        </w:tc>
        <w:tc>
          <w:tcPr>
            <w:shd w:val="clear" w:color="auto" w:fill="F5F7FB"/>
          </w:tcPr>
          <w:p>
            <w:pPr>
              <w:pStyle w:val="Compact"/>
            </w:pPr>
            <w:r>
              <w:rPr>
                <w:sz w:val="17"/>
              </w:rPr>
              <w:t xml:space="preserve">Double validation hiérarchique</w:t>
            </w:r>
          </w:p>
        </w:tc>
      </w:tr>
      <w:tr>
        <w:tc>
          <w:tcPr/>
          <w:p>
            <w:pPr>
              <w:pStyle w:val="Compact"/>
            </w:pPr>
            <w:r>
              <w:rPr>
                <w:sz w:val="17"/>
              </w:rPr>
              <w:t xml:space="preserve">Mesures d’exécution</w:t>
            </w:r>
          </w:p>
        </w:tc>
        <w:tc>
          <w:tcPr/>
          <w:p>
            <w:pPr>
              <w:pStyle w:val="Compact"/>
            </w:pPr>
            <w:r>
              <w:rPr>
                <w:sz w:val="17"/>
              </w:rPr>
              <w:t xml:space="preserve">Selon l’édit</w:t>
            </w:r>
          </w:p>
        </w:tc>
        <w:tc>
          <w:tcPr/>
          <w:p>
            <w:pPr>
              <w:pStyle w:val="Compact"/>
            </w:pPr>
            <w:r>
              <w:rPr>
                <w:sz w:val="17"/>
              </w:rPr>
              <w:t xml:space="preserve">Service compétent</w:t>
            </w:r>
          </w:p>
        </w:tc>
        <w:tc>
          <w:tcPr/>
          <w:p>
            <w:pPr>
              <w:pStyle w:val="Compact"/>
            </w:pPr>
            <w:r>
              <w:rPr>
                <w:sz w:val="17"/>
              </w:rPr>
              <w:t xml:space="preserve">Décision motivée, jamais automatique</w:t>
            </w:r>
          </w:p>
        </w:tc>
      </w:tr>
      <w:tr>
        <w:tc>
          <w:tcPr>
            <w:shd w:val="clear" w:color="auto" w:fill="F5F7FB"/>
          </w:tcPr>
          <w:p>
            <w:pPr>
              <w:pStyle w:val="Compact"/>
            </w:pPr>
            <w:r>
              <w:rPr>
                <w:sz w:val="17"/>
              </w:rPr>
              <w:t xml:space="preserve">Plan d’apurement</w:t>
            </w:r>
          </w:p>
        </w:tc>
        <w:tc>
          <w:tcPr>
            <w:shd w:val="clear" w:color="auto" w:fill="F5F7FB"/>
          </w:tcPr>
          <w:p>
            <w:pPr>
              <w:pStyle w:val="Compact"/>
            </w:pPr>
            <w:r>
              <w:rPr>
                <w:sz w:val="17"/>
              </w:rPr>
              <w:t xml:space="preserve">À tout moment</w:t>
            </w:r>
          </w:p>
        </w:tc>
        <w:tc>
          <w:tcPr>
            <w:shd w:val="clear" w:color="auto" w:fill="F5F7FB"/>
          </w:tcPr>
          <w:p>
            <w:pPr>
              <w:pStyle w:val="Compact"/>
            </w:pPr>
            <w:r>
              <w:rPr>
                <w:sz w:val="17"/>
              </w:rPr>
              <w:t xml:space="preserve">Espace contribuable</w:t>
            </w:r>
          </w:p>
        </w:tc>
        <w:tc>
          <w:tcPr>
            <w:shd w:val="clear" w:color="auto" w:fill="F5F7FB"/>
          </w:tcPr>
          <w:p>
            <w:pPr>
              <w:pStyle w:val="Compact"/>
            </w:pPr>
            <w:r>
              <w:rPr>
                <w:sz w:val="17"/>
              </w:rPr>
              <w:t xml:space="preserve">Sous réserve d’un acte autorisant l’échéancier (J14)</w:t>
            </w:r>
          </w:p>
        </w:tc>
      </w:tr>
    </w:tbl>
    <w:bookmarkEnd w:id="491"/>
    <w:bookmarkStart w:id="492" w:name="h.12.2-segments-correspondance"/>
    <w:p>
      <w:pPr>
        <w:pStyle w:val="Heading3"/>
      </w:pPr>
      <w:r>
        <w:t xml:space="preserve">H.12.2 Segments : correspondance</w:t>
      </w:r>
    </w:p>
    <w:tbl>
      <w:tblPr>
        <w:tblStyle w:val="Table"/>
        <w:tblW w:type="auto" w:w="0"/>
        <w:tblBorders>
          <w:top w:val="single" w:sz="4" w:color="CFE9E4"/>
          <w:left w:val="single" w:sz="4" w:color="CFE9E4"/>
          <w:bottom w:val="single" w:sz="4" w:color="CFE9E4"/>
          <w:right w:val="single" w:sz="4" w:color="CFE9E4"/>
          <w:insideH w:val="single" w:sz="4" w:color="CFE9E4"/>
          <w:insideV w:val="single" w:sz="4" w:color="CFE9E4"/>
        </w:tblBorders>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Segment source (7)</w:t>
            </w:r>
          </w:p>
        </w:tc>
        <w:tc>
          <w:tcPr>
            <w:shd w:val="clear" w:color="auto" w:fill="232C6B"/>
          </w:tcPr>
          <w:p>
            <w:pPr>
              <w:pStyle w:val="Compact"/>
            </w:pPr>
            <w:r>
              <w:rPr>
                <w:b/>
                <w:color w:val="FFFFFF"/>
                <w:sz w:val="17"/>
              </w:rPr>
              <w:t xml:space="preserve">Segment v3.0 (§ 21.2)</w:t>
            </w:r>
          </w:p>
        </w:tc>
      </w:tr>
      <w:tr>
        <w:tc>
          <w:tcPr/>
          <w:p>
            <w:pPr>
              <w:pStyle w:val="Compact"/>
            </w:pPr>
            <w:r>
              <w:rPr>
                <w:sz w:val="17"/>
              </w:rPr>
              <w:t xml:space="preserve">Conforme</w:t>
            </w:r>
          </w:p>
        </w:tc>
        <w:tc>
          <w:tcPr/>
          <w:p>
            <w:pPr>
              <w:pStyle w:val="Compact"/>
            </w:pPr>
            <w:r>
              <w:rPr>
                <w:sz w:val="17"/>
              </w:rPr>
              <w:t xml:space="preserve">(hors recouvrement)</w:t>
            </w:r>
          </w:p>
        </w:tc>
      </w:tr>
      <w:tr>
        <w:tc>
          <w:tcPr>
            <w:shd w:val="clear" w:color="auto" w:fill="F5F7FB"/>
          </w:tcPr>
          <w:p>
            <w:pPr>
              <w:pStyle w:val="Compact"/>
            </w:pPr>
            <w:r>
              <w:rPr>
                <w:sz w:val="17"/>
              </w:rPr>
              <w:t xml:space="preserve">Retard occasionnel</w:t>
            </w:r>
          </w:p>
        </w:tc>
        <w:tc>
          <w:tcPr>
            <w:shd w:val="clear" w:color="auto" w:fill="F5F7FB"/>
          </w:tcPr>
          <w:p>
            <w:pPr>
              <w:pStyle w:val="Compact"/>
            </w:pPr>
            <w:r>
              <w:rPr>
                <w:sz w:val="17"/>
              </w:rPr>
              <w:t xml:space="preserve">Oubli</w:t>
            </w:r>
          </w:p>
        </w:tc>
      </w:tr>
      <w:tr>
        <w:tc>
          <w:tcPr/>
          <w:p>
            <w:pPr>
              <w:pStyle w:val="Compact"/>
            </w:pPr>
            <w:r>
              <w:rPr>
                <w:sz w:val="17"/>
              </w:rPr>
              <w:t xml:space="preserve">Difficulté réelle</w:t>
            </w:r>
          </w:p>
        </w:tc>
        <w:tc>
          <w:tcPr/>
          <w:p>
            <w:pPr>
              <w:pStyle w:val="Compact"/>
            </w:pPr>
            <w:r>
              <w:rPr>
                <w:sz w:val="17"/>
              </w:rPr>
              <w:t xml:space="preserve">Capacité limitée ; Friction</w:t>
            </w:r>
          </w:p>
        </w:tc>
      </w:tr>
      <w:tr>
        <w:tc>
          <w:tcPr>
            <w:shd w:val="clear" w:color="auto" w:fill="F5F7FB"/>
          </w:tcPr>
          <w:p>
            <w:pPr>
              <w:pStyle w:val="Compact"/>
            </w:pPr>
            <w:r>
              <w:rPr>
                <w:sz w:val="17"/>
              </w:rPr>
              <w:t xml:space="preserve">Erreur ou litige</w:t>
            </w:r>
          </w:p>
        </w:tc>
        <w:tc>
          <w:tcPr>
            <w:shd w:val="clear" w:color="auto" w:fill="F5F7FB"/>
          </w:tcPr>
          <w:p>
            <w:pPr>
              <w:pStyle w:val="Compact"/>
            </w:pPr>
            <w:r>
              <w:rPr>
                <w:sz w:val="17"/>
              </w:rPr>
              <w:t xml:space="preserve">Contestation</w:t>
            </w:r>
          </w:p>
        </w:tc>
      </w:tr>
      <w:tr>
        <w:tc>
          <w:tcPr/>
          <w:p>
            <w:pPr>
              <w:pStyle w:val="Compact"/>
            </w:pPr>
            <w:r>
              <w:rPr>
                <w:sz w:val="17"/>
              </w:rPr>
              <w:t xml:space="preserve">Non-déclarant probable</w:t>
            </w:r>
          </w:p>
        </w:tc>
        <w:tc>
          <w:tcPr/>
          <w:p>
            <w:pPr>
              <w:pStyle w:val="Compact"/>
            </w:pPr>
            <w:r>
              <w:rPr>
                <w:sz w:val="17"/>
              </w:rPr>
              <w:t xml:space="preserve">Refus délibéré (après vérification)</w:t>
            </w:r>
          </w:p>
        </w:tc>
      </w:tr>
      <w:tr>
        <w:tc>
          <w:tcPr>
            <w:shd w:val="clear" w:color="auto" w:fill="F5F7FB"/>
          </w:tcPr>
          <w:p>
            <w:pPr>
              <w:pStyle w:val="Compact"/>
            </w:pPr>
            <w:r>
              <w:rPr>
                <w:sz w:val="17"/>
              </w:rPr>
              <w:t xml:space="preserve">Fraude présumée</w:t>
            </w:r>
          </w:p>
        </w:tc>
        <w:tc>
          <w:tcPr>
            <w:shd w:val="clear" w:color="auto" w:fill="F5F7FB"/>
          </w:tcPr>
          <w:p>
            <w:pPr>
              <w:pStyle w:val="Compact"/>
            </w:pPr>
            <w:r>
              <w:rPr>
                <w:sz w:val="17"/>
              </w:rPr>
              <w:t xml:space="preserve">Refus délibéré + dossier d’enquête (module 40)</w:t>
            </w:r>
          </w:p>
        </w:tc>
      </w:tr>
      <w:tr>
        <w:tc>
          <w:tcPr/>
          <w:p>
            <w:pPr>
              <w:pStyle w:val="Compact"/>
            </w:pPr>
            <w:r>
              <w:rPr>
                <w:sz w:val="17"/>
              </w:rPr>
              <w:t xml:space="preserve">Grand débiteur</w:t>
            </w:r>
          </w:p>
        </w:tc>
        <w:tc>
          <w:tcPr/>
          <w:p>
            <w:pPr>
              <w:pStyle w:val="Compact"/>
            </w:pPr>
            <w:r>
              <w:rPr>
                <w:sz w:val="17"/>
              </w:rPr>
              <w:t xml:space="preserve">Grands redevables (gestion de cas, garanties)</w:t>
            </w:r>
          </w:p>
        </w:tc>
      </w:tr>
    </w:tbl>
    <w:p>
      <w:pPr>
        <w:pStyle w:val="BodyText"/>
      </w:pPr>
      <w:r>
        <w:t xml:space="preserve">Toute campagne est</w:t>
      </w:r>
      <w:r>
        <w:t xml:space="preserve"> </w:t>
      </w:r>
      <w:r>
        <w:rPr>
          <w:b/>
          <w:bCs/>
        </w:rPr>
        <w:t xml:space="preserve">testée sur échantillon, mesurée, et arrêtée</w:t>
      </w:r>
      <w:r>
        <w:t xml:space="preserve"> </w:t>
      </w:r>
      <w:r>
        <w:t xml:space="preserve">si son coût est disproportionné, si elle produit des erreurs ou un impact social excessif (module 33) ; la récupération est mesurée</w:t>
      </w:r>
      <w:r>
        <w:t xml:space="preserve"> </w:t>
      </w:r>
      <w:r>
        <w:rPr>
          <w:b/>
          <w:bCs/>
        </w:rPr>
        <w:t xml:space="preserve">brute et nette des coûts</w:t>
      </w:r>
      <w:r>
        <w:t xml:space="preserve">.</w:t>
      </w:r>
    </w:p>
    <w:bookmarkEnd w:id="492"/>
    <w:bookmarkStart w:id="493" w:name="h.12.3-recours-compléments"/>
    <w:p>
      <w:pPr>
        <w:pStyle w:val="Heading3"/>
      </w:pPr>
      <w:r>
        <w:t xml:space="preserve">H.12.3 Recours — compléments</w:t>
      </w:r>
    </w:p>
    <w:p>
      <w:pPr>
        <w:pStyle w:val="FirstParagraph"/>
      </w:pPr>
      <w:r>
        <w:t xml:space="preserve">Le décideur d’un recours est</w:t>
      </w:r>
      <w:r>
        <w:t xml:space="preserve"> </w:t>
      </w:r>
      <w:r>
        <w:rPr>
          <w:b/>
          <w:bCs/>
        </w:rPr>
        <w:t xml:space="preserve">distinct de l’auteur de la liquidation</w:t>
      </w:r>
      <w:r>
        <w:t xml:space="preserve"> </w:t>
      </w:r>
      <w:r>
        <w:t xml:space="preserve">(module 37) ; le non-respect du délai légal de réponse est un indicateur suivi et publié (§ 22.2,</w:t>
      </w:r>
      <w:r>
        <w:t xml:space="preserve"> </w:t>
      </w:r>
      <w:r>
        <w:rPr>
          <w:rStyle w:val="VerbatimChar"/>
        </w:rPr>
        <w:t xml:space="preserve">appeal.sla_breach</w:t>
      </w:r>
      <w:r>
        <w:t xml:space="preserve">).</w:t>
      </w:r>
    </w:p>
    <w:bookmarkEnd w:id="493"/>
    <w:bookmarkEnd w:id="494"/>
    <w:bookmarkStart w:id="498" w:name="Xe4c883896121cfb82f05f591fe91ae7bb8d70dc"/>
    <w:p>
      <w:pPr>
        <w:pStyle w:val="Heading2"/>
      </w:pPr>
      <w:r>
        <w:t xml:space="preserve">H.13 Chapitres 23 à 25 — IA, apprentissage et fraude</w:t>
      </w:r>
    </w:p>
    <w:bookmarkStart w:id="495" w:name="Xacf0b6e5eddc62f3af61f9c4ef09f7730759c77"/>
    <w:p>
      <w:pPr>
        <w:pStyle w:val="Heading3"/>
      </w:pPr>
      <w:r>
        <w:t xml:space="preserve">H.13.1 Fiche de contrôle obligatoire de chaque agent d’IA</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Rubrique</w:t>
            </w:r>
          </w:p>
        </w:tc>
        <w:tc>
          <w:tcPr>
            <w:shd w:val="clear" w:color="auto" w:fill="232C6B"/>
          </w:tcPr>
          <w:p>
            <w:pPr>
              <w:pStyle w:val="Compact"/>
            </w:pPr>
            <w:r>
              <w:rPr>
                <w:b/>
                <w:color w:val="FFFFFF"/>
                <w:sz w:val="17"/>
              </w:rPr>
              <w:t xml:space="preserve">Contenu</w:t>
            </w:r>
          </w:p>
        </w:tc>
      </w:tr>
      <w:tr>
        <w:tc>
          <w:tcPr/>
          <w:p>
            <w:pPr>
              <w:pStyle w:val="Compact"/>
            </w:pPr>
            <w:r>
              <w:rPr>
                <w:sz w:val="17"/>
              </w:rPr>
              <w:t xml:space="preserve">Outils autorisés</w:t>
            </w:r>
          </w:p>
        </w:tc>
        <w:tc>
          <w:tcPr/>
          <w:p>
            <w:pPr>
              <w:pStyle w:val="Compact"/>
            </w:pPr>
            <w:r>
              <w:rPr>
                <w:sz w:val="17"/>
              </w:rPr>
              <w:t xml:space="preserve">Liste fermée d’API en lecture (§ 23.3)</w:t>
            </w:r>
          </w:p>
        </w:tc>
      </w:tr>
      <w:tr>
        <w:tc>
          <w:tcPr>
            <w:shd w:val="clear" w:color="auto" w:fill="F5F7FB"/>
          </w:tcPr>
          <w:p>
            <w:pPr>
              <w:pStyle w:val="Compact"/>
            </w:pPr>
            <w:r>
              <w:rPr>
                <w:sz w:val="17"/>
              </w:rPr>
              <w:t xml:space="preserve">Données autorisées</w:t>
            </w:r>
          </w:p>
        </w:tc>
        <w:tc>
          <w:tcPr>
            <w:shd w:val="clear" w:color="auto" w:fill="F5F7FB"/>
          </w:tcPr>
          <w:p>
            <w:pPr>
              <w:pStyle w:val="Compact"/>
            </w:pPr>
            <w:r>
              <w:rPr>
                <w:sz w:val="17"/>
              </w:rPr>
              <w:t xml:space="preserve">Par classe de confidentialité et par finalité</w:t>
            </w:r>
          </w:p>
        </w:tc>
      </w:tr>
      <w:tr>
        <w:tc>
          <w:tcPr/>
          <w:p>
            <w:pPr>
              <w:pStyle w:val="Compact"/>
            </w:pPr>
            <w:r>
              <w:rPr>
                <w:sz w:val="17"/>
              </w:rPr>
              <w:t xml:space="preserve">Seuils</w:t>
            </w:r>
          </w:p>
        </w:tc>
        <w:tc>
          <w:tcPr/>
          <w:p>
            <w:pPr>
              <w:pStyle w:val="Compact"/>
            </w:pPr>
            <w:r>
              <w:rPr>
                <w:sz w:val="17"/>
              </w:rPr>
              <w:t xml:space="preserve">Confiance minimale d’affichage ; seuils d’alerte</w:t>
            </w:r>
          </w:p>
        </w:tc>
      </w:tr>
      <w:tr>
        <w:tc>
          <w:tcPr>
            <w:shd w:val="clear" w:color="auto" w:fill="F5F7FB"/>
          </w:tcPr>
          <w:p>
            <w:pPr>
              <w:pStyle w:val="Compact"/>
            </w:pPr>
            <w:r>
              <w:rPr>
                <w:sz w:val="17"/>
              </w:rPr>
              <w:t xml:space="preserve">Points d’intervention humaine</w:t>
            </w:r>
          </w:p>
        </w:tc>
        <w:tc>
          <w:tcPr>
            <w:shd w:val="clear" w:color="auto" w:fill="F5F7FB"/>
          </w:tcPr>
          <w:p>
            <w:pPr>
              <w:pStyle w:val="Compact"/>
            </w:pPr>
            <w:r>
              <w:rPr>
                <w:sz w:val="17"/>
              </w:rPr>
              <w:t xml:space="preserve">Niveaux B et C du § 23.5.8</w:t>
            </w:r>
          </w:p>
        </w:tc>
      </w:tr>
      <w:tr>
        <w:tc>
          <w:tcPr/>
          <w:p>
            <w:pPr>
              <w:pStyle w:val="Compact"/>
            </w:pPr>
            <w:r>
              <w:rPr>
                <w:sz w:val="17"/>
              </w:rPr>
              <w:t xml:space="preserve">Journaux</w:t>
            </w:r>
          </w:p>
        </w:tc>
        <w:tc>
          <w:tcPr/>
          <w:p>
            <w:pPr>
              <w:pStyle w:val="Compact"/>
            </w:pPr>
            <w:r>
              <w:rPr>
                <w:sz w:val="17"/>
              </w:rPr>
              <w:t xml:space="preserve">Prompt, version, données citées, sortie, décision humaine</w:t>
            </w:r>
          </w:p>
        </w:tc>
      </w:tr>
      <w:tr>
        <w:tc>
          <w:tcPr>
            <w:shd w:val="clear" w:color="auto" w:fill="F5F7FB"/>
          </w:tcPr>
          <w:p>
            <w:pPr>
              <w:pStyle w:val="Compact"/>
            </w:pPr>
            <w:r>
              <w:rPr>
                <w:b/>
                <w:bCs/>
                <w:sz w:val="17"/>
              </w:rPr>
              <w:t xml:space="preserve">Coupe-circuit (kill switch)</w:t>
            </w:r>
          </w:p>
        </w:tc>
        <w:tc>
          <w:tcPr>
            <w:shd w:val="clear" w:color="auto" w:fill="F5F7FB"/>
          </w:tcPr>
          <w:p>
            <w:pPr>
              <w:pStyle w:val="Compact"/>
            </w:pPr>
            <w:r>
              <w:rPr>
                <w:sz w:val="17"/>
              </w:rPr>
              <w:t xml:space="preserve">Détenu conjointement par le directeur de programme et le RSSI ; désactivation immédiate d’un agent, journalisée (</w:t>
            </w:r>
            <w:r>
              <w:rPr>
                <w:rStyle w:val="VerbatimChar"/>
                <w:sz w:val="17"/>
              </w:rPr>
              <w:t xml:space="preserve">ai.agent.disabled</w:t>
            </w:r>
            <w:r>
              <w:rPr>
                <w:sz w:val="17"/>
              </w:rPr>
              <w:t xml:space="preserve">)</w:t>
            </w:r>
          </w:p>
        </w:tc>
      </w:tr>
    </w:tbl>
    <w:p>
      <w:pPr>
        <w:pStyle w:val="BodyText"/>
      </w:pPr>
      <w:r>
        <w:t xml:space="preserve">Correspondance des noms d’agents : Revenue Discovery → Découverte des recettes ; Registration → Enrôlement ; User Learning → Apprentissage de l’usager ; Employee Copilot → Copilote ; Legal Intelligence → Veille juridique ; Rental Intelligence → Intelligence locative ; Field Mission → Missions terrain ; Payment Reconciliation → Rapprochement ; Fraud Detection → Détection de fraude ; Forecasting → Prévision ; Executive Decision → Aide à la décision ; Public Investment Allocation → Allocation des investissements ; Continuous Learning → Apprentissage continu.</w:t>
      </w:r>
    </w:p>
    <w:bookmarkEnd w:id="495"/>
    <w:bookmarkStart w:id="496" w:name="Xa84d12d09709e298a2c81f4861e47207318f39e"/>
    <w:p>
      <w:pPr>
        <w:pStyle w:val="Heading3"/>
      </w:pPr>
      <w:r>
        <w:t xml:space="preserve">H.13.2 Apprentissage et certification — compléments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Public</w:t>
            </w:r>
          </w:p>
        </w:tc>
        <w:tc>
          <w:tcPr>
            <w:shd w:val="clear" w:color="auto" w:fill="232C6B"/>
          </w:tcPr>
          <w:p>
            <w:pPr>
              <w:pStyle w:val="Compact"/>
            </w:pPr>
            <w:r>
              <w:rPr>
                <w:b/>
                <w:color w:val="FFFFFF"/>
                <w:sz w:val="17"/>
              </w:rPr>
              <w:t xml:space="preserve">Exigence source intégrée</w:t>
            </w:r>
          </w:p>
        </w:tc>
      </w:tr>
      <w:tr>
        <w:tc>
          <w:tcPr/>
          <w:p>
            <w:pPr>
              <w:pStyle w:val="Compact"/>
            </w:pPr>
            <w:r>
              <w:rPr>
                <w:sz w:val="17"/>
              </w:rPr>
              <w:t xml:space="preserve">Contribuables</w:t>
            </w:r>
          </w:p>
        </w:tc>
        <w:tc>
          <w:tcPr/>
          <w:p>
            <w:pPr>
              <w:pStyle w:val="Compact"/>
            </w:pPr>
            <w:r>
              <w:rPr>
                <w:sz w:val="17"/>
              </w:rPr>
              <w:t xml:space="preserve">Mesure de l’efficacité :</w:t>
            </w:r>
            <w:r>
              <w:rPr>
                <w:sz w:val="17"/>
              </w:rPr>
              <w:t xml:space="preserve"> </w:t>
            </w:r>
            <w:r>
              <w:rPr>
                <w:b/>
                <w:bCs/>
                <w:sz w:val="17"/>
              </w:rPr>
              <w:t xml:space="preserve">taux de dossiers complets du premier coup</w:t>
            </w:r>
          </w:p>
        </w:tc>
      </w:tr>
      <w:tr>
        <w:tc>
          <w:tcPr>
            <w:shd w:val="clear" w:color="auto" w:fill="F5F7FB"/>
          </w:tcPr>
          <w:p>
            <w:pPr>
              <w:pStyle w:val="Compact"/>
            </w:pPr>
            <w:r>
              <w:rPr>
                <w:sz w:val="17"/>
              </w:rPr>
              <w:t xml:space="preserve">Agents recenseurs</w:t>
            </w:r>
          </w:p>
        </w:tc>
        <w:tc>
          <w:tcPr>
            <w:shd w:val="clear" w:color="auto" w:fill="F5F7FB"/>
          </w:tcPr>
          <w:p>
            <w:pPr>
              <w:pStyle w:val="Compact"/>
            </w:pPr>
            <w:r>
              <w:rPr>
                <w:sz w:val="17"/>
              </w:rPr>
              <w:t xml:space="preserve">Certification avant toute affectation (blocage technique, module 50)</w:t>
            </w:r>
          </w:p>
        </w:tc>
      </w:tr>
      <w:tr>
        <w:tc>
          <w:tcPr/>
          <w:p>
            <w:pPr>
              <w:pStyle w:val="Compact"/>
            </w:pPr>
            <w:r>
              <w:rPr>
                <w:sz w:val="17"/>
              </w:rPr>
              <w:t xml:space="preserve">Contrôleurs</w:t>
            </w:r>
          </w:p>
        </w:tc>
        <w:tc>
          <w:tcPr/>
          <w:p>
            <w:pPr>
              <w:pStyle w:val="Compact"/>
            </w:pPr>
            <w:r>
              <w:rPr>
                <w:sz w:val="17"/>
              </w:rPr>
              <w:t xml:space="preserve">Certification +</w:t>
            </w:r>
            <w:r>
              <w:rPr>
                <w:sz w:val="17"/>
              </w:rPr>
              <w:t xml:space="preserve"> </w:t>
            </w:r>
            <w:r>
              <w:rPr>
                <w:b/>
                <w:bCs/>
                <w:sz w:val="17"/>
              </w:rPr>
              <w:t xml:space="preserve">recertification annuelle</w:t>
            </w:r>
          </w:p>
        </w:tc>
      </w:tr>
      <w:tr>
        <w:tc>
          <w:tcPr>
            <w:shd w:val="clear" w:color="auto" w:fill="F5F7FB"/>
          </w:tcPr>
          <w:p>
            <w:pPr>
              <w:pStyle w:val="Compact"/>
            </w:pPr>
            <w:r>
              <w:rPr>
                <w:sz w:val="17"/>
              </w:rPr>
              <w:t xml:space="preserve">Agents de guichet</w:t>
            </w:r>
          </w:p>
        </w:tc>
        <w:tc>
          <w:tcPr>
            <w:shd w:val="clear" w:color="auto" w:fill="F5F7FB"/>
          </w:tcPr>
          <w:p>
            <w:pPr>
              <w:pStyle w:val="Compact"/>
            </w:pPr>
            <w:r>
              <w:rPr>
                <w:sz w:val="17"/>
              </w:rPr>
              <w:t xml:space="preserve">Évaluation continue</w:t>
            </w:r>
          </w:p>
        </w:tc>
      </w:tr>
      <w:tr>
        <w:tc>
          <w:tcPr/>
          <w:p>
            <w:pPr>
              <w:pStyle w:val="Compact"/>
            </w:pPr>
            <w:r>
              <w:rPr>
                <w:sz w:val="17"/>
              </w:rPr>
              <w:t xml:space="preserve">Cadres et superviseurs</w:t>
            </w:r>
          </w:p>
        </w:tc>
        <w:tc>
          <w:tcPr/>
          <w:p>
            <w:pPr>
              <w:pStyle w:val="Compact"/>
            </w:pPr>
            <w:r>
              <w:rPr>
                <w:sz w:val="17"/>
              </w:rPr>
              <w:t xml:space="preserve">Évaluation par résultats vérifiables</w:t>
            </w:r>
          </w:p>
        </w:tc>
      </w:tr>
      <w:tr>
        <w:tc>
          <w:tcPr>
            <w:shd w:val="clear" w:color="auto" w:fill="F5F7FB"/>
          </w:tcPr>
          <w:p>
            <w:pPr>
              <w:pStyle w:val="Compact"/>
            </w:pPr>
            <w:r>
              <w:rPr>
                <w:sz w:val="17"/>
              </w:rPr>
              <w:t xml:space="preserve">Finances et Trésor</w:t>
            </w:r>
          </w:p>
        </w:tc>
        <w:tc>
          <w:tcPr>
            <w:shd w:val="clear" w:color="auto" w:fill="F5F7FB"/>
          </w:tcPr>
          <w:p>
            <w:pPr>
              <w:pStyle w:val="Compact"/>
            </w:pPr>
            <w:r>
              <w:rPr>
                <w:sz w:val="17"/>
              </w:rPr>
              <w:t xml:space="preserve">Contrôle par échantillon</w:t>
            </w:r>
          </w:p>
        </w:tc>
      </w:tr>
      <w:tr>
        <w:tc>
          <w:tcPr/>
          <w:p>
            <w:pPr>
              <w:pStyle w:val="Compact"/>
            </w:pPr>
            <w:r>
              <w:rPr>
                <w:sz w:val="17"/>
              </w:rPr>
              <w:t xml:space="preserve">Administrateurs</w:t>
            </w:r>
          </w:p>
        </w:tc>
        <w:tc>
          <w:tcPr/>
          <w:p>
            <w:pPr>
              <w:pStyle w:val="Compact"/>
            </w:pPr>
            <w:r>
              <w:rPr>
                <w:sz w:val="17"/>
              </w:rPr>
              <w:t xml:space="preserve">Habilitation renouvelable</w:t>
            </w:r>
          </w:p>
        </w:tc>
      </w:tr>
    </w:tbl>
    <w:bookmarkEnd w:id="496"/>
    <w:bookmarkStart w:id="497" w:name="X800ca369fb508b5df567f3f60052adbc783d4f5"/>
    <w:p>
      <w:pPr>
        <w:pStyle w:val="Heading3"/>
      </w:pPr>
      <w:r>
        <w:t xml:space="preserve">H.13.3 Vecteurs de fraude complémentaires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Vecteur</w:t>
            </w:r>
          </w:p>
        </w:tc>
        <w:tc>
          <w:tcPr>
            <w:shd w:val="clear" w:color="auto" w:fill="232C6B"/>
          </w:tcPr>
          <w:p>
            <w:pPr>
              <w:pStyle w:val="Compact"/>
            </w:pPr>
            <w:r>
              <w:rPr>
                <w:b/>
                <w:color w:val="FFFFFF"/>
                <w:sz w:val="17"/>
              </w:rPr>
              <w:t xml:space="preserve">Prévention</w:t>
            </w:r>
          </w:p>
        </w:tc>
        <w:tc>
          <w:tcPr>
            <w:shd w:val="clear" w:color="auto" w:fill="232C6B"/>
          </w:tcPr>
          <w:p>
            <w:pPr>
              <w:pStyle w:val="Compact"/>
            </w:pPr>
            <w:r>
              <w:rPr>
                <w:b/>
                <w:color w:val="FFFFFF"/>
                <w:sz w:val="17"/>
              </w:rPr>
              <w:t xml:space="preserve">Détection</w:t>
            </w:r>
          </w:p>
        </w:tc>
        <w:tc>
          <w:tcPr>
            <w:shd w:val="clear" w:color="auto" w:fill="232C6B"/>
          </w:tcPr>
          <w:p>
            <w:pPr>
              <w:pStyle w:val="Compact"/>
            </w:pPr>
            <w:r>
              <w:rPr>
                <w:b/>
                <w:color w:val="FFFFFF"/>
                <w:sz w:val="17"/>
              </w:rPr>
              <w:t xml:space="preserve">Preuve</w:t>
            </w:r>
          </w:p>
        </w:tc>
      </w:tr>
      <w:tr>
        <w:tc>
          <w:tcPr/>
          <w:p>
            <w:pPr>
              <w:pStyle w:val="Compact"/>
            </w:pPr>
            <w:r>
              <w:rPr>
                <w:sz w:val="17"/>
              </w:rPr>
              <w:t xml:space="preserve">Faux agent</w:t>
            </w:r>
          </w:p>
        </w:tc>
        <w:tc>
          <w:tcPr/>
          <w:p>
            <w:pPr>
              <w:pStyle w:val="Compact"/>
            </w:pPr>
            <w:r>
              <w:rPr>
                <w:sz w:val="17"/>
              </w:rPr>
              <w:t xml:space="preserve">Badge QR + code court</w:t>
            </w:r>
          </w:p>
        </w:tc>
        <w:tc>
          <w:tcPr/>
          <w:p>
            <w:pPr>
              <w:pStyle w:val="Compact"/>
            </w:pPr>
            <w:r>
              <w:rPr>
                <w:sz w:val="17"/>
              </w:rPr>
              <w:t xml:space="preserve">Signalements, vérifications échouées</w:t>
            </w:r>
          </w:p>
        </w:tc>
        <w:tc>
          <w:tcPr/>
          <w:p>
            <w:pPr>
              <w:pStyle w:val="Compact"/>
            </w:pPr>
            <w:r>
              <w:rPr>
                <w:sz w:val="17"/>
              </w:rPr>
              <w:t xml:space="preserve">Journal des vérifications de badge</w:t>
            </w:r>
          </w:p>
        </w:tc>
      </w:tr>
      <w:tr>
        <w:tc>
          <w:tcPr>
            <w:shd w:val="clear" w:color="auto" w:fill="F5F7FB"/>
          </w:tcPr>
          <w:p>
            <w:pPr>
              <w:pStyle w:val="Compact"/>
            </w:pPr>
            <w:r>
              <w:rPr>
                <w:sz w:val="17"/>
              </w:rPr>
              <w:t xml:space="preserve">Sous-traitant qui encaisse</w:t>
            </w:r>
          </w:p>
        </w:tc>
        <w:tc>
          <w:tcPr>
            <w:shd w:val="clear" w:color="auto" w:fill="F5F7FB"/>
          </w:tcPr>
          <w:p>
            <w:pPr>
              <w:pStyle w:val="Compact"/>
            </w:pPr>
            <w:r>
              <w:rPr>
                <w:sz w:val="17"/>
              </w:rPr>
              <w:t xml:space="preserve">Aucune fonction d’encaissement ; convention</w:t>
            </w:r>
          </w:p>
        </w:tc>
        <w:tc>
          <w:tcPr>
            <w:shd w:val="clear" w:color="auto" w:fill="F5F7FB"/>
          </w:tcPr>
          <w:p>
            <w:pPr>
              <w:pStyle w:val="Compact"/>
            </w:pPr>
            <w:r>
              <w:rPr>
                <w:sz w:val="17"/>
              </w:rPr>
              <w:t xml:space="preserve">Contrôles mystère ; plaintes ; écart constats/paiements</w:t>
            </w:r>
          </w:p>
        </w:tc>
        <w:tc>
          <w:tcPr>
            <w:shd w:val="clear" w:color="auto" w:fill="F5F7FB"/>
          </w:tcPr>
          <w:p>
            <w:pPr>
              <w:pStyle w:val="Compact"/>
            </w:pPr>
            <w:r>
              <w:rPr>
                <w:sz w:val="17"/>
              </w:rPr>
              <w:t xml:space="preserve">Journal des missions</w:t>
            </w:r>
          </w:p>
        </w:tc>
      </w:tr>
      <w:tr>
        <w:tc>
          <w:tcPr/>
          <w:p>
            <w:pPr>
              <w:pStyle w:val="Compact"/>
            </w:pPr>
            <w:r>
              <w:rPr>
                <w:sz w:val="17"/>
              </w:rPr>
              <w:t xml:space="preserve">Point de paiement qui retient les fonds</w:t>
            </w:r>
          </w:p>
        </w:tc>
        <w:tc>
          <w:tcPr/>
          <w:p>
            <w:pPr>
              <w:pStyle w:val="Compact"/>
            </w:pPr>
            <w:r>
              <w:rPr>
                <w:sz w:val="17"/>
              </w:rPr>
              <w:t xml:space="preserve">Délai contractuel ; garantie</w:t>
            </w:r>
          </w:p>
        </w:tc>
        <w:tc>
          <w:tcPr/>
          <w:p>
            <w:pPr>
              <w:pStyle w:val="Compact"/>
            </w:pPr>
            <w:r>
              <w:rPr>
                <w:sz w:val="17"/>
              </w:rPr>
              <w:t xml:space="preserve">Rapprochement quotidien, âge des confirmations non réglées</w:t>
            </w:r>
          </w:p>
        </w:tc>
        <w:tc>
          <w:tcPr/>
          <w:p>
            <w:pPr>
              <w:pStyle w:val="Compact"/>
            </w:pPr>
            <w:r>
              <w:rPr>
                <w:sz w:val="17"/>
              </w:rPr>
              <w:t xml:space="preserve">Relevés, confirmations signées</w:t>
            </w:r>
          </w:p>
        </w:tc>
      </w:tr>
      <w:tr>
        <w:tc>
          <w:tcPr>
            <w:shd w:val="clear" w:color="auto" w:fill="F5F7FB"/>
          </w:tcPr>
          <w:p>
            <w:pPr>
              <w:pStyle w:val="Compact"/>
            </w:pPr>
            <w:r>
              <w:rPr>
                <w:sz w:val="17"/>
              </w:rPr>
              <w:t xml:space="preserve">Objets fictifs</w:t>
            </w:r>
          </w:p>
        </w:tc>
        <w:tc>
          <w:tcPr>
            <w:shd w:val="clear" w:color="auto" w:fill="F5F7FB"/>
          </w:tcPr>
          <w:p>
            <w:pPr>
              <w:pStyle w:val="Compact"/>
            </w:pPr>
            <w:r>
              <w:rPr>
                <w:sz w:val="17"/>
              </w:rPr>
              <w:t xml:space="preserve">Rémunération sur objets vérifiés uniquement</w:t>
            </w:r>
          </w:p>
        </w:tc>
        <w:tc>
          <w:tcPr>
            <w:shd w:val="clear" w:color="auto" w:fill="F5F7FB"/>
          </w:tcPr>
          <w:p>
            <w:pPr>
              <w:pStyle w:val="Compact"/>
            </w:pPr>
            <w:r>
              <w:rPr>
                <w:sz w:val="17"/>
              </w:rPr>
              <w:t xml:space="preserve">Ré-inspection ; photos hachées réutilisées</w:t>
            </w:r>
          </w:p>
        </w:tc>
        <w:tc>
          <w:tcPr>
            <w:shd w:val="clear" w:color="auto" w:fill="F5F7FB"/>
          </w:tcPr>
          <w:p>
            <w:pPr>
              <w:pStyle w:val="Compact"/>
            </w:pPr>
            <w:r>
              <w:rPr>
                <w:sz w:val="17"/>
              </w:rPr>
              <w:t xml:space="preserve">Hachages, GPS</w:t>
            </w:r>
          </w:p>
        </w:tc>
      </w:tr>
      <w:tr>
        <w:tc>
          <w:tcPr/>
          <w:p>
            <w:pPr>
              <w:pStyle w:val="Compact"/>
            </w:pPr>
            <w:r>
              <w:rPr>
                <w:sz w:val="17"/>
              </w:rPr>
              <w:t xml:space="preserve">Enrôlement sans consentement réel</w:t>
            </w:r>
          </w:p>
        </w:tc>
        <w:tc>
          <w:tcPr/>
          <w:p>
            <w:pPr>
              <w:pStyle w:val="Compact"/>
            </w:pPr>
            <w:r>
              <w:rPr>
                <w:sz w:val="17"/>
              </w:rPr>
              <w:t xml:space="preserve">Lecture audio obligatoire</w:t>
            </w:r>
          </w:p>
        </w:tc>
        <w:tc>
          <w:tcPr/>
          <w:p>
            <w:pPr>
              <w:pStyle w:val="Compact"/>
            </w:pPr>
            <w:r>
              <w:rPr>
                <w:sz w:val="17"/>
              </w:rPr>
              <w:t xml:space="preserve">Échantillonnage des enregistrements</w:t>
            </w:r>
          </w:p>
        </w:tc>
        <w:tc>
          <w:tcPr/>
          <w:p>
            <w:pPr>
              <w:pStyle w:val="Compact"/>
            </w:pPr>
            <w:r>
              <w:rPr>
                <w:sz w:val="17"/>
              </w:rPr>
              <w:t xml:space="preserve">Enregistrement horodaté</w:t>
            </w:r>
          </w:p>
        </w:tc>
      </w:tr>
      <w:tr>
        <w:tc>
          <w:tcPr>
            <w:shd w:val="clear" w:color="auto" w:fill="F5F7FB"/>
          </w:tcPr>
          <w:p>
            <w:pPr>
              <w:pStyle w:val="Compact"/>
            </w:pPr>
            <w:r>
              <w:rPr>
                <w:sz w:val="17"/>
              </w:rPr>
              <w:t xml:space="preserve">Contrôle manuel hors système (billetterie)</w:t>
            </w:r>
          </w:p>
        </w:tc>
        <w:tc>
          <w:tcPr>
            <w:shd w:val="clear" w:color="auto" w:fill="F5F7FB"/>
          </w:tcPr>
          <w:p>
            <w:pPr>
              <w:pStyle w:val="Compact"/>
            </w:pPr>
            <w:r>
              <w:rPr>
                <w:sz w:val="17"/>
              </w:rPr>
              <w:t xml:space="preserve">Aucun contrôle valable hors application</w:t>
            </w:r>
          </w:p>
        </w:tc>
        <w:tc>
          <w:tcPr>
            <w:shd w:val="clear" w:color="auto" w:fill="F5F7FB"/>
          </w:tcPr>
          <w:p>
            <w:pPr>
              <w:pStyle w:val="Compact"/>
            </w:pPr>
            <w:r>
              <w:rPr>
                <w:sz w:val="17"/>
              </w:rPr>
              <w:t xml:space="preserve">Écart contrôles/ventes par agent</w:t>
            </w:r>
          </w:p>
        </w:tc>
        <w:tc>
          <w:tcPr>
            <w:shd w:val="clear" w:color="auto" w:fill="F5F7FB"/>
          </w:tcPr>
          <w:p>
            <w:pPr>
              <w:pStyle w:val="Compact"/>
            </w:pPr>
            <w:r>
              <w:rPr>
                <w:sz w:val="17"/>
              </w:rPr>
              <w:t xml:space="preserve">Journal des contrôles</w:t>
            </w:r>
          </w:p>
        </w:tc>
      </w:tr>
    </w:tbl>
    <w:p>
      <w:pPr>
        <w:pStyle w:val="BodyText"/>
      </w:pPr>
      <w:r>
        <w:t xml:space="preserve">La preuve « pratiquement infalsifiable » inclut la</w:t>
      </w:r>
      <w:r>
        <w:t xml:space="preserve"> </w:t>
      </w:r>
      <w:r>
        <w:rPr>
          <w:b/>
          <w:bCs/>
        </w:rPr>
        <w:t xml:space="preserve">publication quotidienne de la racine de hachage</w:t>
      </w:r>
      <w:r>
        <w:t xml:space="preserve"> </w:t>
      </w:r>
      <w:r>
        <w:t xml:space="preserve">de la journée dans un registre indépendant (ancrage, § 25.2 ; vérifiable par le module 46).</w:t>
      </w:r>
    </w:p>
    <w:bookmarkEnd w:id="497"/>
    <w:bookmarkEnd w:id="498"/>
    <w:bookmarkStart w:id="502" w:name="Xcc1e67a4aa25006bad3587a9f833f2ec66832ec"/>
    <w:p>
      <w:pPr>
        <w:pStyle w:val="Heading2"/>
      </w:pPr>
      <w:r>
        <w:t xml:space="preserve">H.14 Chapitre 26 — Tableaux de bord : compléments</w:t>
      </w:r>
    </w:p>
    <w:bookmarkStart w:id="499" w:name="Xd0d950c1133df9dde9f5536adcc958d3790745e"/>
    <w:p>
      <w:pPr>
        <w:pStyle w:val="Heading3"/>
      </w:pPr>
      <w:r>
        <w:t xml:space="preserve">H.14.1 Échelle de la recette : réconciliation</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w:t>
            </w:r>
          </w:p>
        </w:tc>
        <w:tc>
          <w:tcPr>
            <w:shd w:val="clear" w:color="auto" w:fill="232C6B"/>
          </w:tcPr>
          <w:p>
            <w:pPr>
              <w:pStyle w:val="Compact"/>
            </w:pPr>
            <w:r>
              <w:rPr>
                <w:b/>
                <w:color w:val="FFFFFF"/>
                <w:sz w:val="17"/>
              </w:rPr>
              <w:t xml:space="preserve">Cahier § 26.1</w:t>
            </w:r>
          </w:p>
        </w:tc>
        <w:tc>
          <w:tcPr>
            <w:shd w:val="clear" w:color="auto" w:fill="232C6B"/>
          </w:tcPr>
          <w:p>
            <w:pPr>
              <w:pStyle w:val="Compact"/>
            </w:pPr>
            <w:r>
              <w:rPr>
                <w:b/>
                <w:color w:val="FFFFFF"/>
                <w:sz w:val="17"/>
              </w:rPr>
              <w:t xml:space="preserve">v3.0 § 26.1</w:t>
            </w:r>
          </w:p>
        </w:tc>
        <w:tc>
          <w:tcPr>
            <w:shd w:val="clear" w:color="auto" w:fill="232C6B"/>
          </w:tcPr>
          <w:p>
            <w:pPr>
              <w:pStyle w:val="Compact"/>
            </w:pPr>
            <w:r>
              <w:rPr>
                <w:b/>
                <w:color w:val="FFFFFF"/>
                <w:sz w:val="17"/>
              </w:rPr>
              <w:t xml:space="preserve">Position</w:t>
            </w:r>
          </w:p>
        </w:tc>
      </w:tr>
      <w:tr>
        <w:tc>
          <w:tcPr/>
          <w:p>
            <w:pPr>
              <w:pStyle w:val="Compact"/>
            </w:pPr>
            <w:r>
              <w:rPr>
                <w:sz w:val="17"/>
              </w:rPr>
              <w:t xml:space="preserve">1</w:t>
            </w:r>
          </w:p>
        </w:tc>
        <w:tc>
          <w:tcPr/>
          <w:p>
            <w:pPr>
              <w:pStyle w:val="Compact"/>
            </w:pPr>
            <w:r>
              <w:rPr>
                <w:sz w:val="17"/>
              </w:rPr>
              <w:t xml:space="preserve">Potentiel estimé</w:t>
            </w:r>
          </w:p>
        </w:tc>
        <w:tc>
          <w:tcPr/>
          <w:p>
            <w:pPr>
              <w:pStyle w:val="Compact"/>
            </w:pPr>
            <w:r>
              <w:rPr>
                <w:sz w:val="17"/>
              </w:rPr>
              <w:t xml:space="preserve">Potentiel estimé</w:t>
            </w:r>
          </w:p>
        </w:tc>
        <w:tc>
          <w:tcPr/>
          <w:p>
            <w:pPr>
              <w:pStyle w:val="Compact"/>
            </w:pPr>
            <w:r>
              <w:rPr>
                <w:sz w:val="17"/>
              </w:rPr>
              <w:t xml:space="preserve">Identique</w:t>
            </w:r>
          </w:p>
        </w:tc>
      </w:tr>
      <w:tr>
        <w:tc>
          <w:tcPr>
            <w:shd w:val="clear" w:color="auto" w:fill="F5F7FB"/>
          </w:tcPr>
          <w:p>
            <w:pPr>
              <w:pStyle w:val="Compact"/>
            </w:pPr>
            <w:r>
              <w:rPr>
                <w:sz w:val="17"/>
              </w:rPr>
              <w:t xml:space="preserve">2</w:t>
            </w:r>
          </w:p>
        </w:tc>
        <w:tc>
          <w:tcPr>
            <w:shd w:val="clear" w:color="auto" w:fill="F5F7FB"/>
          </w:tcPr>
          <w:p>
            <w:pPr>
              <w:pStyle w:val="Compact"/>
            </w:pPr>
            <w:r>
              <w:rPr>
                <w:sz w:val="17"/>
              </w:rPr>
              <w:t xml:space="preserve">Assiette vérifiée</w:t>
            </w:r>
          </w:p>
        </w:tc>
        <w:tc>
          <w:tcPr>
            <w:shd w:val="clear" w:color="auto" w:fill="F5F7FB"/>
          </w:tcPr>
          <w:p>
            <w:pPr>
              <w:pStyle w:val="Compact"/>
            </w:pPr>
            <w:r>
              <w:rPr>
                <w:sz w:val="17"/>
              </w:rPr>
              <w:t xml:space="preserve">Assiette vérifiée</w:t>
            </w:r>
          </w:p>
        </w:tc>
        <w:tc>
          <w:tcPr>
            <w:shd w:val="clear" w:color="auto" w:fill="F5F7FB"/>
          </w:tcPr>
          <w:p>
            <w:pPr>
              <w:pStyle w:val="Compact"/>
            </w:pPr>
            <w:r>
              <w:rPr>
                <w:sz w:val="17"/>
              </w:rPr>
              <w:t xml:space="preserve">Identique</w:t>
            </w:r>
          </w:p>
        </w:tc>
      </w:tr>
      <w:tr>
        <w:tc>
          <w:tcPr/>
          <w:p>
            <w:pPr>
              <w:pStyle w:val="Compact"/>
            </w:pPr>
            <w:r>
              <w:rPr>
                <w:sz w:val="17"/>
              </w:rPr>
              <w:t xml:space="preserve">3</w:t>
            </w:r>
          </w:p>
        </w:tc>
        <w:tc>
          <w:tcPr/>
          <w:p>
            <w:pPr>
              <w:pStyle w:val="Compact"/>
            </w:pPr>
            <w:r>
              <w:rPr>
                <w:sz w:val="17"/>
              </w:rPr>
              <w:t xml:space="preserve">Liquidé (constaté)</w:t>
            </w:r>
          </w:p>
        </w:tc>
        <w:tc>
          <w:tcPr/>
          <w:p>
            <w:pPr>
              <w:pStyle w:val="Compact"/>
            </w:pPr>
            <w:r>
              <w:rPr>
                <w:sz w:val="17"/>
              </w:rPr>
              <w:t xml:space="preserve">Liquidé</w:t>
            </w:r>
          </w:p>
        </w:tc>
        <w:tc>
          <w:tcPr/>
          <w:p>
            <w:pPr>
              <w:pStyle w:val="Compact"/>
            </w:pPr>
            <w:r>
              <w:rPr>
                <w:sz w:val="17"/>
              </w:rPr>
              <w:t xml:space="preserve">Identique</w:t>
            </w:r>
          </w:p>
        </w:tc>
      </w:tr>
      <w:tr>
        <w:tc>
          <w:tcPr>
            <w:shd w:val="clear" w:color="auto" w:fill="F5F7FB"/>
          </w:tcPr>
          <w:p>
            <w:pPr>
              <w:pStyle w:val="Compact"/>
            </w:pPr>
            <w:r>
              <w:rPr>
                <w:sz w:val="17"/>
              </w:rPr>
              <w:t xml:space="preserve">4</w:t>
            </w:r>
          </w:p>
        </w:tc>
        <w:tc>
          <w:tcPr>
            <w:shd w:val="clear" w:color="auto" w:fill="F5F7FB"/>
          </w:tcPr>
          <w:p>
            <w:pPr>
              <w:pStyle w:val="Compact"/>
            </w:pPr>
            <w:r>
              <w:rPr>
                <w:sz w:val="17"/>
              </w:rPr>
              <w:t xml:space="preserve">Exigible (échu)</w:t>
            </w:r>
          </w:p>
        </w:tc>
        <w:tc>
          <w:tcPr>
            <w:shd w:val="clear" w:color="auto" w:fill="F5F7FB"/>
          </w:tcPr>
          <w:p>
            <w:pPr>
              <w:pStyle w:val="Compact"/>
            </w:pPr>
            <w:r>
              <w:rPr>
                <w:sz w:val="17"/>
              </w:rPr>
              <w:t xml:space="preserve">Exigible</w:t>
            </w:r>
          </w:p>
        </w:tc>
        <w:tc>
          <w:tcPr>
            <w:shd w:val="clear" w:color="auto" w:fill="F5F7FB"/>
          </w:tcPr>
          <w:p>
            <w:pPr>
              <w:pStyle w:val="Compact"/>
            </w:pPr>
            <w:r>
              <w:rPr>
                <w:sz w:val="17"/>
              </w:rPr>
              <w:t xml:space="preserve">Identique</w:t>
            </w:r>
          </w:p>
        </w:tc>
      </w:tr>
      <w:tr>
        <w:tc>
          <w:tcPr/>
          <w:p>
            <w:pPr>
              <w:pStyle w:val="Compact"/>
            </w:pPr>
            <w:r>
              <w:rPr>
                <w:sz w:val="17"/>
              </w:rPr>
              <w:t xml:space="preserve">5</w:t>
            </w:r>
          </w:p>
        </w:tc>
        <w:tc>
          <w:tcPr/>
          <w:p>
            <w:pPr>
              <w:pStyle w:val="Compact"/>
            </w:pPr>
            <w:r>
              <w:rPr>
                <w:sz w:val="17"/>
              </w:rPr>
              <w:t xml:space="preserve">En retard (impayé)</w:t>
            </w:r>
          </w:p>
        </w:tc>
        <w:tc>
          <w:tcPr/>
          <w:p>
            <w:pPr>
              <w:pStyle w:val="Compact"/>
            </w:pPr>
            <w:r>
              <w:rPr>
                <w:sz w:val="17"/>
              </w:rPr>
              <w:t xml:space="preserve">En retard</w:t>
            </w:r>
          </w:p>
        </w:tc>
        <w:tc>
          <w:tcPr/>
          <w:p>
            <w:pPr>
              <w:pStyle w:val="Compact"/>
            </w:pPr>
            <w:r>
              <w:rPr>
                <w:sz w:val="17"/>
              </w:rPr>
              <w:t xml:space="preserve">Identique</w:t>
            </w:r>
          </w:p>
        </w:tc>
      </w:tr>
      <w:tr>
        <w:tc>
          <w:tcPr>
            <w:shd w:val="clear" w:color="auto" w:fill="F5F7FB"/>
          </w:tcPr>
          <w:p>
            <w:pPr>
              <w:pStyle w:val="Compact"/>
            </w:pPr>
            <w:r>
              <w:rPr>
                <w:sz w:val="17"/>
              </w:rPr>
              <w:t xml:space="preserve">6</w:t>
            </w:r>
          </w:p>
        </w:tc>
        <w:tc>
          <w:tcPr>
            <w:shd w:val="clear" w:color="auto" w:fill="F5F7FB"/>
          </w:tcPr>
          <w:p>
            <w:pPr>
              <w:pStyle w:val="Compact"/>
            </w:pPr>
            <w:r>
              <w:rPr>
                <w:sz w:val="17"/>
              </w:rPr>
              <w:t xml:space="preserve">Paiement initié</w:t>
            </w:r>
          </w:p>
        </w:tc>
        <w:tc>
          <w:tcPr>
            <w:shd w:val="clear" w:color="auto" w:fill="F5F7FB"/>
          </w:tcPr>
          <w:p>
            <w:pPr>
              <w:pStyle w:val="Compact"/>
            </w:pPr>
            <w:r>
              <w:rPr>
                <w:b/>
                <w:bCs/>
                <w:sz w:val="17"/>
              </w:rPr>
              <w:t xml:space="preserve">Contesté</w:t>
            </w:r>
          </w:p>
        </w:tc>
        <w:tc>
          <w:tcPr>
            <w:shd w:val="clear" w:color="auto" w:fill="F5F7FB"/>
          </w:tcPr>
          <w:p>
            <w:pPr>
              <w:pStyle w:val="Compact"/>
            </w:pPr>
            <w:r>
              <w:rPr>
                <w:sz w:val="17"/>
              </w:rPr>
              <w:t xml:space="preserve">v3.0 : le contesté est un niveau à part entière (droits du contribuable)</w:t>
            </w:r>
          </w:p>
        </w:tc>
      </w:tr>
      <w:tr>
        <w:tc>
          <w:tcPr/>
          <w:p>
            <w:pPr>
              <w:pStyle w:val="Compact"/>
            </w:pPr>
            <w:r>
              <w:rPr>
                <w:sz w:val="17"/>
              </w:rPr>
              <w:t xml:space="preserve">7</w:t>
            </w:r>
          </w:p>
        </w:tc>
        <w:tc>
          <w:tcPr/>
          <w:p>
            <w:pPr>
              <w:pStyle w:val="Compact"/>
            </w:pPr>
            <w:r>
              <w:rPr>
                <w:sz w:val="17"/>
              </w:rPr>
              <w:t xml:space="preserve">Paiement confirmé</w:t>
            </w:r>
          </w:p>
        </w:tc>
        <w:tc>
          <w:tcPr/>
          <w:p>
            <w:pPr>
              <w:pStyle w:val="Compact"/>
            </w:pPr>
            <w:r>
              <w:rPr>
                <w:sz w:val="17"/>
              </w:rPr>
              <w:t xml:space="preserve">Paiement initié</w:t>
            </w:r>
          </w:p>
        </w:tc>
        <w:tc>
          <w:tcPr/>
          <w:p>
            <w:pPr>
              <w:pStyle w:val="Compact"/>
            </w:pPr>
            <w:r>
              <w:rPr>
                <w:sz w:val="17"/>
              </w:rPr>
              <w:t xml:space="preserve">Décalage</w:t>
            </w:r>
          </w:p>
        </w:tc>
      </w:tr>
      <w:tr>
        <w:tc>
          <w:tcPr>
            <w:shd w:val="clear" w:color="auto" w:fill="F5F7FB"/>
          </w:tcPr>
          <w:p>
            <w:pPr>
              <w:pStyle w:val="Compact"/>
            </w:pPr>
            <w:r>
              <w:rPr>
                <w:sz w:val="17"/>
              </w:rPr>
              <w:t xml:space="preserve">8</w:t>
            </w:r>
          </w:p>
        </w:tc>
        <w:tc>
          <w:tcPr>
            <w:shd w:val="clear" w:color="auto" w:fill="F5F7FB"/>
          </w:tcPr>
          <w:p>
            <w:pPr>
              <w:pStyle w:val="Compact"/>
            </w:pPr>
            <w:r>
              <w:rPr>
                <w:sz w:val="17"/>
              </w:rPr>
              <w:t xml:space="preserve">Réglé en compte public</w:t>
            </w:r>
          </w:p>
        </w:tc>
        <w:tc>
          <w:tcPr>
            <w:shd w:val="clear" w:color="auto" w:fill="F5F7FB"/>
          </w:tcPr>
          <w:p>
            <w:pPr>
              <w:pStyle w:val="Compact"/>
            </w:pPr>
            <w:r>
              <w:rPr>
                <w:sz w:val="17"/>
              </w:rPr>
              <w:t xml:space="preserve">Paiement confirmé</w:t>
            </w:r>
          </w:p>
        </w:tc>
        <w:tc>
          <w:tcPr>
            <w:shd w:val="clear" w:color="auto" w:fill="F5F7FB"/>
          </w:tcPr>
          <w:p>
            <w:pPr>
              <w:pStyle w:val="Compact"/>
            </w:pPr>
            <w:r>
              <w:rPr>
                <w:sz w:val="17"/>
              </w:rPr>
              <w:t xml:space="preserve">Décalage</w:t>
            </w:r>
          </w:p>
        </w:tc>
      </w:tr>
      <w:tr>
        <w:tc>
          <w:tcPr/>
          <w:p>
            <w:pPr>
              <w:pStyle w:val="Compact"/>
            </w:pPr>
            <w:r>
              <w:rPr>
                <w:sz w:val="17"/>
              </w:rPr>
              <w:t xml:space="preserve">9</w:t>
            </w:r>
          </w:p>
        </w:tc>
        <w:tc>
          <w:tcPr/>
          <w:p>
            <w:pPr>
              <w:pStyle w:val="Compact"/>
            </w:pPr>
            <w:r>
              <w:rPr>
                <w:sz w:val="17"/>
              </w:rPr>
              <w:t xml:space="preserve">Rapproché</w:t>
            </w:r>
          </w:p>
        </w:tc>
        <w:tc>
          <w:tcPr/>
          <w:p>
            <w:pPr>
              <w:pStyle w:val="Compact"/>
            </w:pPr>
            <w:r>
              <w:rPr>
                <w:sz w:val="17"/>
              </w:rPr>
              <w:t xml:space="preserve">Réglé</w:t>
            </w:r>
          </w:p>
        </w:tc>
        <w:tc>
          <w:tcPr/>
          <w:p>
            <w:pPr>
              <w:pStyle w:val="Compact"/>
            </w:pPr>
            <w:r>
              <w:rPr>
                <w:sz w:val="17"/>
              </w:rPr>
              <w:t xml:space="preserve">Décalage</w:t>
            </w:r>
          </w:p>
        </w:tc>
      </w:tr>
      <w:tr>
        <w:tc>
          <w:tcPr>
            <w:shd w:val="clear" w:color="auto" w:fill="F5F7FB"/>
          </w:tcPr>
          <w:p>
            <w:pPr>
              <w:pStyle w:val="Compact"/>
            </w:pPr>
            <w:r>
              <w:rPr>
                <w:sz w:val="17"/>
              </w:rPr>
              <w:t xml:space="preserve">10</w:t>
            </w:r>
          </w:p>
        </w:tc>
        <w:tc>
          <w:tcPr>
            <w:shd w:val="clear" w:color="auto" w:fill="F5F7FB"/>
          </w:tcPr>
          <w:p>
            <w:pPr>
              <w:pStyle w:val="Compact"/>
            </w:pPr>
            <w:r>
              <w:rPr>
                <w:b/>
                <w:bCs/>
                <w:sz w:val="17"/>
              </w:rPr>
              <w:t xml:space="preserve">Comptabilisé</w:t>
            </w:r>
          </w:p>
        </w:tc>
        <w:tc>
          <w:tcPr>
            <w:shd w:val="clear" w:color="auto" w:fill="F5F7FB"/>
          </w:tcPr>
          <w:p>
            <w:pPr>
              <w:pStyle w:val="Compact"/>
            </w:pPr>
            <w:r>
              <w:rPr>
                <w:sz w:val="17"/>
              </w:rPr>
              <w:t xml:space="preserve">Rapproché</w:t>
            </w:r>
          </w:p>
        </w:tc>
        <w:tc>
          <w:tcPr>
            <w:shd w:val="clear" w:color="auto" w:fill="F5F7FB"/>
          </w:tcPr>
          <w:p>
            <w:pPr>
              <w:pStyle w:val="Compact"/>
            </w:pPr>
            <w:r>
              <w:rPr>
                <w:sz w:val="17"/>
              </w:rPr>
              <w:t xml:space="preserve">v3.0 : « rapproché » inclut les écritures passées ; la</w:t>
            </w:r>
            <w:r>
              <w:rPr>
                <w:sz w:val="17"/>
              </w:rPr>
              <w:t xml:space="preserve"> </w:t>
            </w:r>
            <w:r>
              <w:rPr>
                <w:b/>
                <w:bCs/>
                <w:sz w:val="17"/>
              </w:rPr>
              <w:t xml:space="preserve">clôture comptable</w:t>
            </w:r>
            <w:r>
              <w:rPr>
                <w:sz w:val="17"/>
              </w:rPr>
              <w:t xml:space="preserve"> </w:t>
            </w:r>
            <w:r>
              <w:rPr>
                <w:sz w:val="17"/>
              </w:rPr>
              <w:t xml:space="preserve">est un attribut affiché (jour clôturé / non clôturé)</w:t>
            </w:r>
          </w:p>
        </w:tc>
      </w:tr>
      <w:tr>
        <w:tc>
          <w:tcPr/>
          <w:p>
            <w:pPr>
              <w:pStyle w:val="Compact"/>
            </w:pPr>
            <w:r>
              <w:rPr>
                <w:sz w:val="17"/>
              </w:rPr>
              <w:t xml:space="preserve">11</w:t>
            </w:r>
          </w:p>
        </w:tc>
        <w:tc>
          <w:tcPr/>
          <w:p>
            <w:pPr>
              <w:pStyle w:val="Compact"/>
            </w:pPr>
            <w:r>
              <w:rPr>
                <w:sz w:val="17"/>
              </w:rPr>
              <w:t xml:space="preserve">Disponible pour affectation</w:t>
            </w:r>
          </w:p>
        </w:tc>
        <w:tc>
          <w:tcPr/>
          <w:p>
            <w:pPr>
              <w:pStyle w:val="Compact"/>
            </w:pPr>
            <w:r>
              <w:rPr>
                <w:sz w:val="17"/>
              </w:rPr>
              <w:t xml:space="preserve">Disponible pour appropriation budgétaire</w:t>
            </w:r>
          </w:p>
        </w:tc>
        <w:tc>
          <w:tcPr/>
          <w:p>
            <w:pPr>
              <w:pStyle w:val="Compact"/>
            </w:pPr>
            <w:r>
              <w:rPr>
                <w:sz w:val="17"/>
              </w:rPr>
              <w:t xml:space="preserve">Identique en substance</w:t>
            </w:r>
          </w:p>
        </w:tc>
      </w:tr>
    </w:tbl>
    <w:p>
      <w:pPr>
        <w:pStyle w:val="BodyText"/>
      </w:pPr>
      <w:r>
        <w:rPr>
          <w:b/>
          <w:bCs/>
        </w:rPr>
        <w:t xml:space="preserve">L’échelle v3.0 est la seule référence</w:t>
      </w:r>
      <w:r>
        <w:t xml:space="preserve"> </w:t>
      </w:r>
      <w:r>
        <w:t xml:space="preserve">pour les tableaux, rapports et exports (ARB-62). Les récits sources évoquant « six états » ou « potentiel, constaté, encaissé, réglé, rapproché, disponible » sont satisfaits par des vues agrégées de cette échelle (ARB-33).</w:t>
      </w:r>
    </w:p>
    <w:bookmarkEnd w:id="499"/>
    <w:bookmarkStart w:id="500" w:name="X1d360bffe8fb49993a688fa56d4f90ded1ba525"/>
    <w:p>
      <w:pPr>
        <w:pStyle w:val="Heading3"/>
      </w:pPr>
      <w:r>
        <w:t xml:space="preserve">H.14.2 Questions de décision du Gouverneur</w:t>
      </w:r>
    </w:p>
    <w:p>
      <w:pPr>
        <w:pStyle w:val="FirstParagraph"/>
      </w:pPr>
      <w:r>
        <w:t xml:space="preserve">Chaque bloc du tableau du Gouverneur (§ 26.2) répond à une question explicite :</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Question</w:t>
            </w:r>
          </w:p>
        </w:tc>
        <w:tc>
          <w:tcPr>
            <w:shd w:val="clear" w:color="auto" w:fill="232C6B"/>
          </w:tcPr>
          <w:p>
            <w:pPr>
              <w:pStyle w:val="Compact"/>
            </w:pPr>
            <w:r>
              <w:rPr>
                <w:b/>
                <w:color w:val="FFFFFF"/>
                <w:sz w:val="17"/>
              </w:rPr>
              <w:t xml:space="preserve">Niveau de l’échelle</w:t>
            </w:r>
          </w:p>
        </w:tc>
        <w:tc>
          <w:tcPr>
            <w:shd w:val="clear" w:color="auto" w:fill="232C6B"/>
          </w:tcPr>
          <w:p>
            <w:pPr>
              <w:pStyle w:val="Compact"/>
            </w:pPr>
            <w:r>
              <w:rPr>
                <w:b/>
                <w:color w:val="FFFFFF"/>
                <w:sz w:val="17"/>
              </w:rPr>
              <w:t xml:space="preserve">Action ouverte</w:t>
            </w:r>
          </w:p>
        </w:tc>
      </w:tr>
      <w:tr>
        <w:tc>
          <w:tcPr/>
          <w:p>
            <w:pPr>
              <w:pStyle w:val="Compact"/>
            </w:pPr>
            <w:r>
              <w:rPr>
                <w:sz w:val="17"/>
              </w:rPr>
              <w:t xml:space="preserve">Quelle assiette reste invisible ?</w:t>
            </w:r>
          </w:p>
        </w:tc>
        <w:tc>
          <w:tcPr/>
          <w:p>
            <w:pPr>
              <w:pStyle w:val="Compact"/>
            </w:pPr>
            <w:r>
              <w:rPr>
                <w:sz w:val="17"/>
              </w:rPr>
              <w:t xml:space="preserve">1 vs 2</w:t>
            </w:r>
          </w:p>
        </w:tc>
        <w:tc>
          <w:tcPr/>
          <w:p>
            <w:pPr>
              <w:pStyle w:val="Compact"/>
            </w:pPr>
            <w:r>
              <w:rPr>
                <w:sz w:val="17"/>
              </w:rPr>
              <w:t xml:space="preserve">Campagne de recensement</w:t>
            </w:r>
          </w:p>
        </w:tc>
      </w:tr>
      <w:tr>
        <w:tc>
          <w:tcPr>
            <w:shd w:val="clear" w:color="auto" w:fill="F5F7FB"/>
          </w:tcPr>
          <w:p>
            <w:pPr>
              <w:pStyle w:val="Compact"/>
            </w:pPr>
            <w:r>
              <w:rPr>
                <w:sz w:val="17"/>
              </w:rPr>
              <w:t xml:space="preserve">Quelles créances sont échues ?</w:t>
            </w:r>
          </w:p>
        </w:tc>
        <w:tc>
          <w:tcPr>
            <w:shd w:val="clear" w:color="auto" w:fill="F5F7FB"/>
          </w:tcPr>
          <w:p>
            <w:pPr>
              <w:pStyle w:val="Compact"/>
            </w:pPr>
            <w:r>
              <w:rPr>
                <w:sz w:val="17"/>
              </w:rPr>
              <w:t xml:space="preserve">4, 5</w:t>
            </w:r>
          </w:p>
        </w:tc>
        <w:tc>
          <w:tcPr>
            <w:shd w:val="clear" w:color="auto" w:fill="F5F7FB"/>
          </w:tcPr>
          <w:p>
            <w:pPr>
              <w:pStyle w:val="Compact"/>
            </w:pPr>
            <w:r>
              <w:rPr>
                <w:sz w:val="17"/>
              </w:rPr>
              <w:t xml:space="preserve">Campagne de recouvrement</w:t>
            </w:r>
          </w:p>
        </w:tc>
      </w:tr>
      <w:tr>
        <w:tc>
          <w:tcPr/>
          <w:p>
            <w:pPr>
              <w:pStyle w:val="Compact"/>
            </w:pPr>
            <w:r>
              <w:rPr>
                <w:sz w:val="17"/>
              </w:rPr>
              <w:t xml:space="preserve">L’argent est-il arrivé ?</w:t>
            </w:r>
          </w:p>
        </w:tc>
        <w:tc>
          <w:tcPr/>
          <w:p>
            <w:pPr>
              <w:pStyle w:val="Compact"/>
            </w:pPr>
            <w:r>
              <w:rPr>
                <w:sz w:val="17"/>
              </w:rPr>
              <w:t xml:space="preserve">8, 9, 10</w:t>
            </w:r>
          </w:p>
        </w:tc>
        <w:tc>
          <w:tcPr/>
          <w:p>
            <w:pPr>
              <w:pStyle w:val="Compact"/>
            </w:pPr>
            <w:r>
              <w:rPr>
                <w:sz w:val="17"/>
              </w:rPr>
              <w:t xml:space="preserve">Ouvrir les exceptions</w:t>
            </w:r>
          </w:p>
        </w:tc>
      </w:tr>
      <w:tr>
        <w:tc>
          <w:tcPr>
            <w:shd w:val="clear" w:color="auto" w:fill="F5F7FB"/>
          </w:tcPr>
          <w:p>
            <w:pPr>
              <w:pStyle w:val="Compact"/>
            </w:pPr>
            <w:r>
              <w:rPr>
                <w:sz w:val="17"/>
              </w:rPr>
              <w:t xml:space="preserve">Quels paiements investiguer ?</w:t>
            </w:r>
          </w:p>
        </w:tc>
        <w:tc>
          <w:tcPr>
            <w:shd w:val="clear" w:color="auto" w:fill="F5F7FB"/>
          </w:tcPr>
          <w:p>
            <w:pPr>
              <w:pStyle w:val="Compact"/>
            </w:pPr>
            <w:r>
              <w:rPr>
                <w:sz w:val="17"/>
              </w:rPr>
              <w:t xml:space="preserve">Écart 8 → 10</w:t>
            </w:r>
          </w:p>
        </w:tc>
        <w:tc>
          <w:tcPr>
            <w:shd w:val="clear" w:color="auto" w:fill="F5F7FB"/>
          </w:tcPr>
          <w:p>
            <w:pPr>
              <w:pStyle w:val="Compact"/>
            </w:pPr>
            <w:r>
              <w:rPr>
                <w:sz w:val="17"/>
              </w:rPr>
              <w:t xml:space="preserve">Salle de contrôle</w:t>
            </w:r>
          </w:p>
        </w:tc>
      </w:tr>
      <w:tr>
        <w:tc>
          <w:tcPr/>
          <w:p>
            <w:pPr>
              <w:pStyle w:val="Compact"/>
            </w:pPr>
            <w:r>
              <w:rPr>
                <w:sz w:val="17"/>
              </w:rPr>
              <w:t xml:space="preserve">Quelles zones sont sous-recensées ?</w:t>
            </w:r>
          </w:p>
        </w:tc>
        <w:tc>
          <w:tcPr/>
          <w:p>
            <w:pPr>
              <w:pStyle w:val="Compact"/>
            </w:pPr>
            <w:r>
              <w:rPr>
                <w:sz w:val="17"/>
              </w:rPr>
              <w:t xml:space="preserve">Couverture géofiscale</w:t>
            </w:r>
          </w:p>
        </w:tc>
        <w:tc>
          <w:tcPr/>
          <w:p>
            <w:pPr>
              <w:pStyle w:val="Compact"/>
            </w:pPr>
            <w:r>
              <w:rPr>
                <w:sz w:val="17"/>
              </w:rPr>
              <w:t xml:space="preserve">Interpeller le chef de centre</w:t>
            </w:r>
          </w:p>
        </w:tc>
      </w:tr>
      <w:tr>
        <w:tc>
          <w:tcPr>
            <w:shd w:val="clear" w:color="auto" w:fill="F5F7FB"/>
          </w:tcPr>
          <w:p>
            <w:pPr>
              <w:pStyle w:val="Compact"/>
            </w:pPr>
            <w:r>
              <w:rPr>
                <w:sz w:val="17"/>
              </w:rPr>
              <w:t xml:space="preserve">Quelle conformité volontaire ?</w:t>
            </w:r>
          </w:p>
        </w:tc>
        <w:tc>
          <w:tcPr>
            <w:shd w:val="clear" w:color="auto" w:fill="F5F7FB"/>
          </w:tcPr>
          <w:p>
            <w:pPr>
              <w:pStyle w:val="Compact"/>
            </w:pPr>
            <w:r>
              <w:rPr>
                <w:sz w:val="17"/>
              </w:rPr>
              <w:t xml:space="preserve">Paiements spontanés / exigible</w:t>
            </w:r>
          </w:p>
        </w:tc>
        <w:tc>
          <w:tcPr>
            <w:shd w:val="clear" w:color="auto" w:fill="F5F7FB"/>
          </w:tcPr>
          <w:p>
            <w:pPr>
              <w:pStyle w:val="Compact"/>
            </w:pPr>
            <w:r>
              <w:rPr>
                <w:sz w:val="17"/>
              </w:rPr>
              <w:t xml:space="preserve">Communication</w:t>
            </w:r>
          </w:p>
        </w:tc>
      </w:tr>
      <w:tr>
        <w:tc>
          <w:tcPr/>
          <w:p>
            <w:pPr>
              <w:pStyle w:val="Compact"/>
            </w:pPr>
            <w:r>
              <w:rPr>
                <w:sz w:val="17"/>
              </w:rPr>
              <w:t xml:space="preserve">Quelle déperdition évitée ou récupérée ?</w:t>
            </w:r>
          </w:p>
        </w:tc>
        <w:tc>
          <w:tcPr/>
          <w:p>
            <w:pPr>
              <w:pStyle w:val="Compact"/>
            </w:pPr>
            <w:r>
              <w:rPr>
                <w:sz w:val="17"/>
              </w:rPr>
              <w:t xml:space="preserve">Indicateurs d’intégrité</w:t>
            </w:r>
          </w:p>
        </w:tc>
        <w:tc>
          <w:tcPr/>
          <w:p>
            <w:pPr>
              <w:pStyle w:val="Compact"/>
            </w:pPr>
            <w:r>
              <w:rPr>
                <w:sz w:val="17"/>
              </w:rPr>
              <w:t xml:space="preserve">Saisir l’audit ou l’inspection</w:t>
            </w:r>
          </w:p>
        </w:tc>
      </w:tr>
      <w:tr>
        <w:tc>
          <w:tcPr>
            <w:shd w:val="clear" w:color="auto" w:fill="F5F7FB"/>
          </w:tcPr>
          <w:p>
            <w:pPr>
              <w:pStyle w:val="Compact"/>
            </w:pPr>
            <w:r>
              <w:rPr>
                <w:sz w:val="17"/>
              </w:rPr>
              <w:t xml:space="preserve">Quel coût par franc net ?</w:t>
            </w:r>
          </w:p>
        </w:tc>
        <w:tc>
          <w:tcPr>
            <w:shd w:val="clear" w:color="auto" w:fill="F5F7FB"/>
          </w:tcPr>
          <w:p>
            <w:pPr>
              <w:pStyle w:val="Compact"/>
            </w:pPr>
            <w:r>
              <w:rPr>
                <w:sz w:val="17"/>
              </w:rPr>
              <w:t xml:space="preserve">Coût de collecte / RANV</w:t>
            </w:r>
          </w:p>
        </w:tc>
        <w:tc>
          <w:tcPr>
            <w:shd w:val="clear" w:color="auto" w:fill="F5F7FB"/>
          </w:tcPr>
          <w:p>
            <w:pPr>
              <w:pStyle w:val="Compact"/>
            </w:pPr>
            <w:r>
              <w:rPr>
                <w:sz w:val="17"/>
              </w:rPr>
              <w:t xml:space="preserve">Arbitrage budgétaire</w:t>
            </w:r>
          </w:p>
        </w:tc>
      </w:tr>
    </w:tbl>
    <w:p>
      <w:pPr>
        <w:pStyle w:val="BodyText"/>
      </w:pPr>
      <w:r>
        <w:t xml:space="preserve">Compléments : bloc «</w:t>
      </w:r>
      <w:r>
        <w:t xml:space="preserve"> </w:t>
      </w:r>
      <w:r>
        <w:rPr>
          <w:b/>
          <w:bCs/>
        </w:rPr>
        <w:t xml:space="preserve">Par régie ou ministère</w:t>
      </w:r>
      <w:r>
        <w:t xml:space="preserve"> </w:t>
      </w:r>
      <w:r>
        <w:t xml:space="preserve">» (performance, délais, contentieux → plan d’action) ; bloc «</w:t>
      </w:r>
      <w:r>
        <w:t xml:space="preserve"> </w:t>
      </w:r>
      <w:r>
        <w:rPr>
          <w:b/>
          <w:bCs/>
        </w:rPr>
        <w:t xml:space="preserve">Couverture locative</w:t>
      </w:r>
      <w:r>
        <w:t xml:space="preserve"> </w:t>
      </w:r>
      <w:r>
        <w:t xml:space="preserve">» (unités, baux, conformité → campagne ciblée) ; carte filtrable par commune, quartier, catégorie, activité, situation fiscale, période, administration, type de recette ; drill-down sous contrôle d’accès (agrégats pour le Gouverneur, § 12.3) ; export de rapport</w:t>
      </w:r>
      <w:r>
        <w:t xml:space="preserve"> </w:t>
      </w:r>
      <w:r>
        <w:rPr>
          <w:b/>
          <w:bCs/>
        </w:rPr>
        <w:t xml:space="preserve">signé</w:t>
      </w:r>
      <w:r>
        <w:t xml:space="preserve">.</w:t>
      </w:r>
    </w:p>
    <w:bookmarkEnd w:id="500"/>
    <w:bookmarkStart w:id="501" w:name="X06ae6b36065f0959ce282cdeb69e5a361e03192"/>
    <w:p>
      <w:pPr>
        <w:pStyle w:val="Heading3"/>
      </w:pPr>
      <w:r>
        <w:t xml:space="preserve">H.14.3 Salle de contrôle financière et autres tableaux</w:t>
      </w:r>
    </w:p>
    <w:p>
      <w:pPr>
        <w:pStyle w:val="Compact"/>
        <w:numPr>
          <w:ilvl w:val="0"/>
          <w:numId w:val="1032"/>
        </w:numPr>
      </w:pPr>
      <w:r>
        <w:t xml:space="preserve">La salle de contrôle (module 45) surveille règlements, anomalies,</w:t>
      </w:r>
      <w:r>
        <w:t xml:space="preserve"> </w:t>
      </w:r>
      <w:r>
        <w:rPr>
          <w:b/>
          <w:bCs/>
        </w:rPr>
        <w:t xml:space="preserve">modifications de paramètres sensibles</w:t>
      </w:r>
      <w:r>
        <w:t xml:space="preserve">, comptes privilégiés et alertes critiques,</w:t>
      </w:r>
      <w:r>
        <w:t xml:space="preserve"> </w:t>
      </w:r>
      <w:r>
        <w:rPr>
          <w:b/>
          <w:bCs/>
        </w:rPr>
        <w:t xml:space="preserve">sans aucun pouvoir de correction silencieuse</w:t>
      </w:r>
      <w:r>
        <w:t xml:space="preserve"> </w:t>
      </w:r>
      <w:r>
        <w:t xml:space="preserve">; chaque incident a un propriétaire, une sévérité, un délai et une preuve de clôture.</w:t>
      </w:r>
    </w:p>
    <w:p>
      <w:pPr>
        <w:pStyle w:val="Compact"/>
        <w:numPr>
          <w:ilvl w:val="0"/>
          <w:numId w:val="1032"/>
        </w:numPr>
      </w:pPr>
      <w:r>
        <w:t xml:space="preserve">Tableaux complémentaires issus du Dossier Gouverneur :</w:t>
      </w:r>
      <w:r>
        <w:t xml:space="preserve"> </w:t>
      </w:r>
      <w:r>
        <w:rPr>
          <w:b/>
          <w:bCs/>
        </w:rPr>
        <w:t xml:space="preserve">tableau des communes</w:t>
      </w:r>
      <w:r>
        <w:t xml:space="preserve"> </w:t>
      </w:r>
      <w:r>
        <w:t xml:space="preserve">(couverture, recettes ETD dans l’espace communal, arbitrages en cours — module 95) ; tableau des</w:t>
      </w:r>
      <w:r>
        <w:t xml:space="preserve"> </w:t>
      </w:r>
      <w:r>
        <w:rPr>
          <w:b/>
          <w:bCs/>
        </w:rPr>
        <w:t xml:space="preserve">superviseurs terrain</w:t>
      </w:r>
      <w:r>
        <w:t xml:space="preserve"> </w:t>
      </w:r>
      <w:r>
        <w:t xml:space="preserve">(charge, productivité, qualité) ; tableau des</w:t>
      </w:r>
      <w:r>
        <w:t xml:space="preserve"> </w:t>
      </w:r>
      <w:r>
        <w:rPr>
          <w:b/>
          <w:bCs/>
        </w:rPr>
        <w:t xml:space="preserve">enquêteurs</w:t>
      </w:r>
      <w:r>
        <w:t xml:space="preserve"> </w:t>
      </w:r>
      <w:r>
        <w:t xml:space="preserve">(dossiers, liens).</w:t>
      </w:r>
    </w:p>
    <w:bookmarkEnd w:id="501"/>
    <w:bookmarkEnd w:id="502"/>
    <w:bookmarkStart w:id="508" w:name="Xb294af4944b943961579f31441ca379ad139d48"/>
    <w:p>
      <w:pPr>
        <w:pStyle w:val="Heading2"/>
      </w:pPr>
      <w:r>
        <w:t xml:space="preserve">H.15 Chapitre 27 — Affectation et contrôle de la dépense publique (CALCU)</w:t>
      </w:r>
    </w:p>
    <w:bookmarkStart w:id="503" w:name="h.15.1-compléments-sur-laffectation"/>
    <w:p>
      <w:pPr>
        <w:pStyle w:val="Heading3"/>
      </w:pPr>
      <w:r>
        <w:t xml:space="preserve">H.15.1 Compléments sur l’affectation</w:t>
      </w:r>
    </w:p>
    <w:p>
      <w:pPr>
        <w:pStyle w:val="Compact"/>
        <w:numPr>
          <w:ilvl w:val="0"/>
          <w:numId w:val="1033"/>
        </w:numPr>
      </w:pPr>
      <w:r>
        <w:t xml:space="preserve">Affectation des recettes de stationnement à l’entretien routier, à la signalisation, à la mobilité (dossier ParkSmart) :</w:t>
      </w:r>
      <w:r>
        <w:t xml:space="preserve"> </w:t>
      </w:r>
      <w:r>
        <w:rPr>
          <w:b/>
          <w:bCs/>
        </w:rPr>
        <w:t xml:space="preserve">possible seulement par un acte compatible avec l’universalité budgétaire</w:t>
      </w:r>
      <w:r>
        <w:t xml:space="preserve"> </w:t>
      </w:r>
      <w:r>
        <w:t xml:space="preserve">(J24) ; à défaut,</w:t>
      </w:r>
      <w:r>
        <w:t xml:space="preserve"> </w:t>
      </w:r>
      <w:r>
        <w:rPr>
          <w:b/>
          <w:bCs/>
        </w:rPr>
        <w:t xml:space="preserve">engagement de programmation publié</w:t>
      </w:r>
      <w:r>
        <w:t xml:space="preserve"> </w:t>
      </w:r>
      <w:r>
        <w:t xml:space="preserve">au tableau de transparence (§ 27.4).</w:t>
      </w:r>
    </w:p>
    <w:p>
      <w:pPr>
        <w:pStyle w:val="Compact"/>
        <w:numPr>
          <w:ilvl w:val="0"/>
          <w:numId w:val="1033"/>
        </w:numPr>
      </w:pPr>
      <w:r>
        <w:t xml:space="preserve">La séquence de la dépense est rappelée : collecte → comptabilité → partage légal → Trésor → appropriation budgétaire → autorisation de dépense → engagement → planification → dépense réelle ;</w:t>
      </w:r>
      <w:r>
        <w:t xml:space="preserve"> </w:t>
      </w:r>
      <w:r>
        <w:rPr>
          <w:b/>
          <w:bCs/>
        </w:rPr>
        <w:t xml:space="preserve">aucun transfert ni engagement automatique</w:t>
      </w:r>
      <w:r>
        <w:t xml:space="preserve">.</w:t>
      </w:r>
    </w:p>
    <w:bookmarkEnd w:id="503"/>
    <w:bookmarkStart w:id="507" w:name="Xefb14f3a2521577e72f6465c03c5dbe85faaa51"/>
    <w:p>
      <w:pPr>
        <w:pStyle w:val="Heading3"/>
      </w:pPr>
      <w:r>
        <w:t xml:space="preserve">H.15.2 CALCU — Central Automated Ledger for Control &amp; Understanding (module 80)</w:t>
      </w:r>
    </w:p>
    <w:p>
      <w:pPr>
        <w:pStyle w:val="FirstParagraph"/>
      </w:pPr>
      <w:r>
        <w:rPr>
          <w:b/>
          <w:bCs/>
        </w:rPr>
        <w:t xml:space="preserve">Finalité.</w:t>
      </w:r>
      <w:r>
        <w:t xml:space="preserve"> </w:t>
      </w:r>
      <w:r>
        <w:t xml:space="preserve">Prolonger la traçabilité des recettes jusqu’à la</w:t>
      </w:r>
      <w:r>
        <w:t xml:space="preserve"> </w:t>
      </w:r>
      <w:r>
        <w:rPr>
          <w:b/>
          <w:bCs/>
        </w:rPr>
        <w:t xml:space="preserve">dépense</w:t>
      </w:r>
      <w:r>
        <w:t xml:space="preserve"> </w:t>
      </w:r>
      <w:r>
        <w:t xml:space="preserve">publique, au profit de l’organe de contrôle et d’inspection compétent de la Ville (source : « Hôtel de Ville »), avec extension nationale possible (Inspection générale des finances, ministère des Finances, BCC). CALCU</w:t>
      </w:r>
      <w:r>
        <w:t xml:space="preserve"> </w:t>
      </w:r>
      <w:r>
        <w:rPr>
          <w:b/>
          <w:bCs/>
        </w:rPr>
        <w:t xml:space="preserve">ne bloque aucun paiement</w:t>
      </w:r>
      <w:r>
        <w:t xml:space="preserve">, ne remplace pas les banques et</w:t>
      </w:r>
      <w:r>
        <w:t xml:space="preserve"> </w:t>
      </w:r>
      <w:r>
        <w:rPr>
          <w:b/>
          <w:bCs/>
        </w:rPr>
        <w:t xml:space="preserve">respecte le secret bancaire</w:t>
      </w:r>
      <w:r>
        <w:t xml:space="preserv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Problème constaté</w:t>
            </w:r>
          </w:p>
        </w:tc>
        <w:tc>
          <w:tcPr>
            <w:shd w:val="clear" w:color="auto" w:fill="232C6B"/>
          </w:tcPr>
          <w:p>
            <w:pPr>
              <w:pStyle w:val="Compact"/>
            </w:pPr>
            <w:r>
              <w:rPr>
                <w:b/>
                <w:color w:val="FFFFFF"/>
                <w:sz w:val="17"/>
              </w:rPr>
              <w:t xml:space="preserve">Objectif</w:t>
            </w:r>
          </w:p>
        </w:tc>
      </w:tr>
      <w:tr>
        <w:tc>
          <w:tcPr/>
          <w:p>
            <w:pPr>
              <w:pStyle w:val="Compact"/>
            </w:pPr>
            <w:r>
              <w:rPr>
                <w:sz w:val="17"/>
              </w:rPr>
              <w:t xml:space="preserve">Comptes publics non déclarés</w:t>
            </w:r>
          </w:p>
        </w:tc>
        <w:tc>
          <w:tcPr/>
          <w:p>
            <w:pPr>
              <w:pStyle w:val="Compact"/>
            </w:pPr>
            <w:r>
              <w:rPr>
                <w:sz w:val="17"/>
              </w:rPr>
              <w:t xml:space="preserve">Registre de tous les comptes publics, nombre d’entités et de comptes non limité</w:t>
            </w:r>
          </w:p>
        </w:tc>
      </w:tr>
      <w:tr>
        <w:tc>
          <w:tcPr>
            <w:shd w:val="clear" w:color="auto" w:fill="F5F7FB"/>
          </w:tcPr>
          <w:p>
            <w:pPr>
              <w:pStyle w:val="Compact"/>
            </w:pPr>
            <w:r>
              <w:rPr>
                <w:sz w:val="17"/>
              </w:rPr>
              <w:t xml:space="preserve">Pas de traçabilité en temps réel</w:t>
            </w:r>
          </w:p>
        </w:tc>
        <w:tc>
          <w:tcPr>
            <w:shd w:val="clear" w:color="auto" w:fill="F5F7FB"/>
          </w:tcPr>
          <w:p>
            <w:pPr>
              <w:pStyle w:val="Compact"/>
            </w:pPr>
            <w:r>
              <w:rPr>
                <w:sz w:val="17"/>
              </w:rPr>
              <w:t xml:space="preserve">Traçage de chaque sortie de fonds dès sa transmission</w:t>
            </w:r>
          </w:p>
        </w:tc>
      </w:tr>
      <w:tr>
        <w:tc>
          <w:tcPr/>
          <w:p>
            <w:pPr>
              <w:pStyle w:val="Compact"/>
            </w:pPr>
            <w:r>
              <w:rPr>
                <w:sz w:val="17"/>
              </w:rPr>
              <w:t xml:space="preserve">Pièces papier</w:t>
            </w:r>
          </w:p>
        </w:tc>
        <w:tc>
          <w:tcPr/>
          <w:p>
            <w:pPr>
              <w:pStyle w:val="Compact"/>
            </w:pPr>
            <w:r>
              <w:rPr>
                <w:sz w:val="17"/>
              </w:rPr>
              <w:t xml:space="preserve">Preuves numériques obligatoires, horodatées, géolocalisées, liées</w:t>
            </w:r>
          </w:p>
        </w:tc>
      </w:tr>
      <w:tr>
        <w:tc>
          <w:tcPr>
            <w:shd w:val="clear" w:color="auto" w:fill="F5F7FB"/>
          </w:tcPr>
          <w:p>
            <w:pPr>
              <w:pStyle w:val="Compact"/>
            </w:pPr>
            <w:r>
              <w:rPr>
                <w:sz w:val="17"/>
              </w:rPr>
              <w:t xml:space="preserve">Contrôle a posteriori</w:t>
            </w:r>
          </w:p>
        </w:tc>
        <w:tc>
          <w:tcPr>
            <w:shd w:val="clear" w:color="auto" w:fill="F5F7FB"/>
          </w:tcPr>
          <w:p>
            <w:pPr>
              <w:pStyle w:val="Compact"/>
            </w:pPr>
            <w:r>
              <w:rPr>
                <w:sz w:val="17"/>
              </w:rPr>
              <w:t xml:space="preserve">Détection d’anomalies et missions ciblées sans déplacement</w:t>
            </w:r>
          </w:p>
        </w:tc>
      </w:tr>
    </w:tbl>
    <w:p>
      <w:pPr>
        <w:pStyle w:val="BodyText"/>
      </w:pPr>
      <w:r>
        <w:t xml:space="preserve">Champ : entreprises et établissements publics, ministères, province, ETD, projets financés par l’État ou par des partenaires —</w:t>
      </w:r>
      <w:r>
        <w:t xml:space="preserve"> </w:t>
      </w:r>
      <w:r>
        <w:rPr>
          <w:b/>
          <w:bCs/>
        </w:rPr>
        <w:t xml:space="preserve">selon le texte qui l’instituera (J26)</w:t>
      </w:r>
      <w:r>
        <w:t xml:space="preserv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Composant</w:t>
            </w:r>
          </w:p>
        </w:tc>
        <w:tc>
          <w:tcPr>
            <w:shd w:val="clear" w:color="auto" w:fill="232C6B"/>
          </w:tcPr>
          <w:p>
            <w:pPr>
              <w:pStyle w:val="Compact"/>
            </w:pPr>
            <w:r>
              <w:rPr>
                <w:b/>
                <w:color w:val="FFFFFF"/>
                <w:sz w:val="17"/>
              </w:rPr>
              <w:t xml:space="preserve">Exigence</w:t>
            </w:r>
          </w:p>
        </w:tc>
      </w:tr>
      <w:tr>
        <w:tc>
          <w:tcPr/>
          <w:p>
            <w:pPr>
              <w:pStyle w:val="Compact"/>
            </w:pPr>
            <w:r>
              <w:rPr>
                <w:sz w:val="17"/>
              </w:rPr>
              <w:t xml:space="preserve">Registre des comptes publics</w:t>
            </w:r>
          </w:p>
        </w:tc>
        <w:tc>
          <w:tcPr/>
          <w:p>
            <w:pPr>
              <w:pStyle w:val="Compact"/>
            </w:pPr>
            <w:r>
              <w:rPr>
                <w:sz w:val="17"/>
              </w:rPr>
              <w:t xml:space="preserve">Types : fonctionnement, investissement, projet, spécial ; déclaration obligatoire (banque, numéro, devise, type, responsables et signataires) validée conjointement par les Finances et l’organe de contrôle ;</w:t>
            </w:r>
            <w:r>
              <w:rPr>
                <w:sz w:val="17"/>
              </w:rPr>
              <w:t xml:space="preserve"> </w:t>
            </w:r>
            <w:r>
              <w:rPr>
                <w:b/>
                <w:bCs/>
                <w:sz w:val="17"/>
              </w:rPr>
              <w:t xml:space="preserve">un compte non enregistré est réputé irrégulier</w:t>
            </w:r>
            <w:r>
              <w:rPr>
                <w:sz w:val="17"/>
              </w:rPr>
              <w:t xml:space="preserve"> </w:t>
            </w:r>
            <w:r>
              <w:rPr>
                <w:sz w:val="17"/>
              </w:rPr>
              <w:t xml:space="preserve">et signalé ; un compte validé est surveillé en permanence</w:t>
            </w:r>
          </w:p>
        </w:tc>
      </w:tr>
      <w:tr>
        <w:tc>
          <w:tcPr>
            <w:shd w:val="clear" w:color="auto" w:fill="F5F7FB"/>
          </w:tcPr>
          <w:p>
            <w:pPr>
              <w:pStyle w:val="Compact"/>
            </w:pPr>
            <w:r>
              <w:rPr>
                <w:sz w:val="17"/>
              </w:rPr>
              <w:t xml:space="preserve">Passerelle bancaire</w:t>
            </w:r>
          </w:p>
        </w:tc>
        <w:tc>
          <w:tcPr>
            <w:shd w:val="clear" w:color="auto" w:fill="F5F7FB"/>
          </w:tcPr>
          <w:p>
            <w:pPr>
              <w:pStyle w:val="Compact"/>
            </w:pPr>
            <w:r>
              <w:rPr>
                <w:sz w:val="17"/>
              </w:rPr>
              <w:t xml:space="preserve">Transmission sécurisée des opérations (montant, date et heure, bénéficiaire, référence, compte émetteur) ; la passerelle</w:t>
            </w:r>
            <w:r>
              <w:rPr>
                <w:sz w:val="17"/>
              </w:rPr>
              <w:t xml:space="preserve"> </w:t>
            </w:r>
            <w:r>
              <w:rPr>
                <w:b/>
                <w:bCs/>
                <w:sz w:val="17"/>
              </w:rPr>
              <w:t xml:space="preserve">standardise sans analyser</w:t>
            </w:r>
            <w:r>
              <w:rPr>
                <w:sz w:val="17"/>
              </w:rPr>
              <w:t xml:space="preserve"> </w:t>
            </w:r>
            <w:r>
              <w:rPr>
                <w:sz w:val="17"/>
              </w:rPr>
              <w:t xml:space="preserve">; conventions bancaires (J26)</w:t>
            </w:r>
          </w:p>
        </w:tc>
      </w:tr>
      <w:tr>
        <w:tc>
          <w:tcPr/>
          <w:p>
            <w:pPr>
              <w:pStyle w:val="Compact"/>
            </w:pPr>
            <w:r>
              <w:rPr>
                <w:sz w:val="17"/>
              </w:rPr>
              <w:t xml:space="preserve">Justificatifs</w:t>
            </w:r>
          </w:p>
        </w:tc>
        <w:tc>
          <w:tcPr/>
          <w:p>
            <w:pPr>
              <w:pStyle w:val="Compact"/>
            </w:pPr>
            <w:r>
              <w:rPr>
                <w:sz w:val="17"/>
              </w:rPr>
              <w:t xml:space="preserve">Avant paiement : devis, bon de commande, engagement budgétaire, contrat, fournisseur enregistré ; identifiant unique par opération</w:t>
            </w:r>
          </w:p>
        </w:tc>
      </w:tr>
      <w:tr>
        <w:tc>
          <w:tcPr>
            <w:shd w:val="clear" w:color="auto" w:fill="F5F7FB"/>
          </w:tcPr>
          <w:p>
            <w:pPr>
              <w:pStyle w:val="Compact"/>
            </w:pPr>
            <w:r>
              <w:rPr>
                <w:sz w:val="17"/>
              </w:rPr>
              <w:t xml:space="preserve">Moteur de correspondance</w:t>
            </w:r>
          </w:p>
        </w:tc>
        <w:tc>
          <w:tcPr>
            <w:shd w:val="clear" w:color="auto" w:fill="F5F7FB"/>
          </w:tcPr>
          <w:p>
            <w:pPr>
              <w:pStyle w:val="Compact"/>
            </w:pPr>
            <w:r>
              <w:rPr>
                <w:sz w:val="17"/>
              </w:rPr>
              <w:t xml:space="preserve">Contrôles : compte enregistré ; existence des pièces ; cohérence du montant et de la date ; conformité budgétaire. Détection : surfacturation, fractionnement, paiements répétés, dépenses hors objet</w:t>
            </w:r>
          </w:p>
        </w:tc>
      </w:tr>
      <w:tr>
        <w:tc>
          <w:tcPr/>
          <w:p>
            <w:pPr>
              <w:pStyle w:val="Compact"/>
            </w:pPr>
            <w:r>
              <w:rPr>
                <w:sz w:val="17"/>
              </w:rPr>
              <w:t xml:space="preserve">Score</w:t>
            </w:r>
          </w:p>
        </w:tc>
        <w:tc>
          <w:tcPr/>
          <w:p>
            <w:pPr>
              <w:pStyle w:val="Compact"/>
            </w:pPr>
            <w:r>
              <w:rPr>
                <w:sz w:val="17"/>
              </w:rPr>
              <w:t xml:space="preserve">🟢 vert : conformité totale ; 🟠 ambre : correspondance partielle ; 🔴 rouge : aucune correspondance ou anomalie grave (légende propre, ARB-35)</w:t>
            </w:r>
          </w:p>
        </w:tc>
      </w:tr>
      <w:tr>
        <w:tc>
          <w:tcPr>
            <w:shd w:val="clear" w:color="auto" w:fill="F5F7FB"/>
          </w:tcPr>
          <w:p>
            <w:pPr>
              <w:pStyle w:val="Compact"/>
            </w:pPr>
            <w:r>
              <w:rPr>
                <w:sz w:val="17"/>
              </w:rPr>
              <w:t xml:space="preserve">Rapport d’anomalie</w:t>
            </w:r>
          </w:p>
        </w:tc>
        <w:tc>
          <w:tcPr>
            <w:shd w:val="clear" w:color="auto" w:fill="F5F7FB"/>
          </w:tcPr>
          <w:p>
            <w:pPr>
              <w:pStyle w:val="Compact"/>
            </w:pPr>
            <w:r>
              <w:rPr>
                <w:sz w:val="17"/>
              </w:rPr>
              <w:t xml:space="preserve">Horodaté, numéro unique, PDF téléchargeable, consultable par l’organe de contrôle, les Finances et les organes habilités</w:t>
            </w:r>
          </w:p>
        </w:tc>
      </w:tr>
      <w:tr>
        <w:tc>
          <w:tcPr/>
          <w:p>
            <w:pPr>
              <w:pStyle w:val="Compact"/>
            </w:pPr>
            <w:r>
              <w:rPr>
                <w:sz w:val="17"/>
              </w:rPr>
              <w:t xml:space="preserve">Organe de contrôle</w:t>
            </w:r>
          </w:p>
        </w:tc>
        <w:tc>
          <w:tcPr/>
          <w:p>
            <w:pPr>
              <w:pStyle w:val="Compact"/>
            </w:pPr>
            <w:r>
              <w:rPr>
                <w:sz w:val="17"/>
              </w:rPr>
              <w:t xml:space="preserve">Vision en temps réel ; missions ciblées ; accès aux preuves ;</w:t>
            </w:r>
            <w:r>
              <w:rPr>
                <w:sz w:val="17"/>
              </w:rPr>
              <w:t xml:space="preserve"> </w:t>
            </w:r>
            <w:r>
              <w:rPr>
                <w:b/>
                <w:bCs/>
                <w:sz w:val="17"/>
              </w:rPr>
              <w:t xml:space="preserve">gel administratif d’un dossier seulement selon ses pouvoirs légaux et par décision humaine motivée</w:t>
            </w:r>
            <w:r>
              <w:rPr>
                <w:sz w:val="17"/>
              </w:rPr>
              <w:t xml:space="preserve"> </w:t>
            </w:r>
            <w:r>
              <w:rPr>
                <w:sz w:val="17"/>
              </w:rPr>
              <w:t xml:space="preserve">(ARB-12) ; transmission à la justice</w:t>
            </w:r>
          </w:p>
        </w:tc>
      </w:tr>
      <w:tr>
        <w:tc>
          <w:tcPr>
            <w:shd w:val="clear" w:color="auto" w:fill="F5F7FB"/>
          </w:tcPr>
          <w:p>
            <w:pPr>
              <w:pStyle w:val="Compact"/>
            </w:pPr>
            <w:r>
              <w:rPr>
                <w:sz w:val="17"/>
              </w:rPr>
              <w:t xml:space="preserve">Tableaux</w:t>
            </w:r>
          </w:p>
        </w:tc>
        <w:tc>
          <w:tcPr>
            <w:shd w:val="clear" w:color="auto" w:fill="F5F7FB"/>
          </w:tcPr>
          <w:p>
            <w:pPr>
              <w:pStyle w:val="Compact"/>
            </w:pPr>
            <w:r>
              <w:rPr>
                <w:sz w:val="17"/>
              </w:rPr>
              <w:t xml:space="preserve">Montants contrôlés et récupérés ; institutions à risque ; zones à forte exposition ; taux d’exécution des recommandations</w:t>
            </w:r>
          </w:p>
        </w:tc>
      </w:tr>
      <w:tr>
        <w:tc>
          <w:tcPr/>
          <w:p>
            <w:pPr>
              <w:pStyle w:val="Compact"/>
            </w:pPr>
            <w:r>
              <w:rPr>
                <w:sz w:val="17"/>
              </w:rPr>
              <w:t xml:space="preserve">Sécurité</w:t>
            </w:r>
          </w:p>
        </w:tc>
        <w:tc>
          <w:tcPr/>
          <w:p>
            <w:pPr>
              <w:pStyle w:val="Compact"/>
            </w:pPr>
            <w:r>
              <w:rPr>
                <w:sz w:val="17"/>
              </w:rPr>
              <w:t xml:space="preserve">Hébergement souverain (§ 33) ; chiffrement ; journal d’accès inviolable ; sauvegardes quotidiennes ;</w:t>
            </w:r>
            <w:r>
              <w:rPr>
                <w:sz w:val="17"/>
              </w:rPr>
              <w:t xml:space="preserve"> </w:t>
            </w:r>
            <w:r>
              <w:rPr>
                <w:b/>
                <w:bCs/>
                <w:sz w:val="17"/>
              </w:rPr>
              <w:t xml:space="preserve">audit externe annuel</w:t>
            </w:r>
          </w:p>
        </w:tc>
      </w:tr>
    </w:tbl>
    <w:p>
      <w:pPr>
        <w:pStyle w:val="BodyText"/>
      </w:pPr>
      <w:r>
        <w:drawing>
          <wp:inline>
            <wp:extent cx="6108700" cy="1207714"/>
            <wp:effectExtent b="0" l="0" r="0" t="0"/>
            <wp:docPr descr="" title="" id="505" name="Picture"/>
            <a:graphic>
              <a:graphicData uri="http://schemas.openxmlformats.org/drawingml/2006/picture">
                <pic:pic>
                  <pic:nvPicPr>
                    <pic:cNvPr descr="figures/mermaid/mmd-d7d93b04f958.png" id="506" name="Picture"/>
                    <pic:cNvPicPr>
                      <a:picLocks noChangeArrowheads="1" noChangeAspect="1"/>
                    </pic:cNvPicPr>
                  </pic:nvPicPr>
                  <pic:blipFill>
                    <a:blip r:embed="rId504"/>
                    <a:stretch>
                      <a:fillRect/>
                    </a:stretch>
                  </pic:blipFill>
                  <pic:spPr bwMode="auto">
                    <a:xfrm>
                      <a:off x="0" y="0"/>
                      <a:ext cx="6108700" cy="1207714"/>
                    </a:xfrm>
                    <a:prstGeom prst="rect">
                      <a:avLst/>
                    </a:prstGeom>
                    <a:noFill/>
                    <a:ln w="9525">
                      <a:noFill/>
                      <a:headEnd/>
                      <a:tailEnd/>
                    </a:ln>
                  </pic:spPr>
                </pic:pic>
              </a:graphicData>
            </a:graphic>
          </wp:inline>
        </w:drawing>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Phase (source, [À VÉRIFIER])</w:t>
            </w:r>
          </w:p>
        </w:tc>
        <w:tc>
          <w:tcPr>
            <w:shd w:val="clear" w:color="auto" w:fill="232C6B"/>
          </w:tcPr>
          <w:p>
            <w:pPr>
              <w:pStyle w:val="Compact"/>
            </w:pPr>
            <w:r>
              <w:rPr>
                <w:b/>
                <w:color w:val="FFFFFF"/>
                <w:sz w:val="17"/>
              </w:rPr>
              <w:t xml:space="preserve">Durée</w:t>
            </w:r>
          </w:p>
        </w:tc>
        <w:tc>
          <w:tcPr>
            <w:shd w:val="clear" w:color="auto" w:fill="232C6B"/>
          </w:tcPr>
          <w:p>
            <w:pPr>
              <w:pStyle w:val="Compact"/>
            </w:pPr>
            <w:r>
              <w:rPr>
                <w:b/>
                <w:color w:val="FFFFFF"/>
                <w:sz w:val="17"/>
              </w:rPr>
              <w:t xml:space="preserve">Contenu</w:t>
            </w:r>
          </w:p>
        </w:tc>
      </w:tr>
      <w:tr>
        <w:tc>
          <w:tcPr/>
          <w:p>
            <w:pPr>
              <w:pStyle w:val="Compact"/>
            </w:pPr>
            <w:r>
              <w:rPr>
                <w:sz w:val="17"/>
              </w:rPr>
              <w:t xml:space="preserve">1</w:t>
            </w:r>
          </w:p>
        </w:tc>
        <w:tc>
          <w:tcPr/>
          <w:p>
            <w:pPr>
              <w:pStyle w:val="Compact"/>
            </w:pPr>
            <w:r>
              <w:rPr>
                <w:sz w:val="17"/>
              </w:rPr>
              <w:t xml:space="preserve">0 à 3 mois</w:t>
            </w:r>
          </w:p>
        </w:tc>
        <w:tc>
          <w:tcPr/>
          <w:p>
            <w:pPr>
              <w:pStyle w:val="Compact"/>
            </w:pPr>
            <w:r>
              <w:rPr>
                <w:sz w:val="17"/>
              </w:rPr>
              <w:t xml:space="preserve">Cadre juridique (J26), développement, formation</w:t>
            </w:r>
          </w:p>
        </w:tc>
      </w:tr>
      <w:tr>
        <w:tc>
          <w:tcPr>
            <w:shd w:val="clear" w:color="auto" w:fill="F5F7FB"/>
          </w:tcPr>
          <w:p>
            <w:pPr>
              <w:pStyle w:val="Compact"/>
            </w:pPr>
            <w:r>
              <w:rPr>
                <w:sz w:val="17"/>
              </w:rPr>
              <w:t xml:space="preserve">2</w:t>
            </w:r>
          </w:p>
        </w:tc>
        <w:tc>
          <w:tcPr>
            <w:shd w:val="clear" w:color="auto" w:fill="F5F7FB"/>
          </w:tcPr>
          <w:p>
            <w:pPr>
              <w:pStyle w:val="Compact"/>
            </w:pPr>
            <w:r>
              <w:rPr>
                <w:sz w:val="17"/>
              </w:rPr>
              <w:t xml:space="preserve">3 à 6 mois</w:t>
            </w:r>
          </w:p>
        </w:tc>
        <w:tc>
          <w:tcPr>
            <w:shd w:val="clear" w:color="auto" w:fill="F5F7FB"/>
          </w:tcPr>
          <w:p>
            <w:pPr>
              <w:pStyle w:val="Compact"/>
            </w:pPr>
            <w:r>
              <w:rPr>
                <w:sz w:val="17"/>
              </w:rPr>
              <w:t xml:space="preserve">Conventions bancaires ; enregistrement des entités et des comptes</w:t>
            </w:r>
          </w:p>
        </w:tc>
      </w:tr>
      <w:tr>
        <w:tc>
          <w:tcPr/>
          <w:p>
            <w:pPr>
              <w:pStyle w:val="Compact"/>
            </w:pPr>
            <w:r>
              <w:rPr>
                <w:sz w:val="17"/>
              </w:rPr>
              <w:t xml:space="preserve">3</w:t>
            </w:r>
          </w:p>
        </w:tc>
        <w:tc>
          <w:tcPr/>
          <w:p>
            <w:pPr>
              <w:pStyle w:val="Compact"/>
            </w:pPr>
            <w:r>
              <w:rPr>
                <w:sz w:val="17"/>
              </w:rPr>
              <w:t xml:space="preserve">6 à 12 mois</w:t>
            </w:r>
          </w:p>
        </w:tc>
        <w:tc>
          <w:tcPr/>
          <w:p>
            <w:pPr>
              <w:pStyle w:val="Compact"/>
            </w:pPr>
            <w:r>
              <w:rPr>
                <w:sz w:val="17"/>
              </w:rPr>
              <w:t xml:space="preserve">Automatisation ; extension</w:t>
            </w:r>
          </w:p>
        </w:tc>
      </w:tr>
      <w:tr>
        <w:tc>
          <w:tcPr>
            <w:shd w:val="clear" w:color="auto" w:fill="F5F7FB"/>
          </w:tcPr>
          <w:p>
            <w:pPr>
              <w:pStyle w:val="Compact"/>
            </w:pPr>
            <w:r>
              <w:rPr>
                <w:sz w:val="17"/>
              </w:rPr>
              <w:t xml:space="preserve">Pilote</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Une entité volontaire</w:t>
            </w:r>
          </w:p>
        </w:tc>
      </w:tr>
    </w:tbl>
    <w:p>
      <w:pPr>
        <w:pStyle w:val="BodyText"/>
      </w:pPr>
      <w:r>
        <w:t xml:space="preserve">Dans le calendrier v3.0, CALCU relève de</w:t>
      </w:r>
      <w:r>
        <w:t xml:space="preserve"> </w:t>
      </w:r>
      <w:r>
        <w:rPr>
          <w:b/>
          <w:bCs/>
        </w:rPr>
        <w:t xml:space="preserve">R4</w:t>
      </w:r>
      <w:r>
        <w:t xml:space="preserve"> </w:t>
      </w:r>
      <w:r>
        <w:t xml:space="preserve">(décembre 2028), après texte (J26) ; le pilote sur une entité volontaire peut être préparé dès R3. Cadre à adopter : registre obligatoire, preuve numérique, responsabilité personnelle des gestionnaires, sanctions de la non-déclaration et de la falsification [ACTE REQUIS]. Critère AC-CAL-01 : une transaction publique sans justificatif est classée rouge</w:t>
      </w:r>
      <w:r>
        <w:t xml:space="preserve"> </w:t>
      </w:r>
      <w:r>
        <w:rPr>
          <w:b/>
          <w:bCs/>
        </w:rPr>
        <w:t xml:space="preserve">sans être bloquée</w:t>
      </w:r>
      <w:r>
        <w:t xml:space="preserve">.</w:t>
      </w:r>
    </w:p>
    <w:bookmarkEnd w:id="507"/>
    <w:bookmarkEnd w:id="508"/>
    <w:bookmarkStart w:id="514" w:name="Xecb17b675e0e4f4ddf0c0f9f5f5a347d4ae109d"/>
    <w:p>
      <w:pPr>
        <w:pStyle w:val="Heading2"/>
      </w:pPr>
      <w:r>
        <w:t xml:space="preserve">H.16 Chapitres 28 à 33 — Compléments techniques</w:t>
      </w:r>
    </w:p>
    <w:bookmarkStart w:id="509" w:name="Xb63240629c5857d43c32b56affc2814b5bdc399"/>
    <w:p>
      <w:pPr>
        <w:pStyle w:val="Heading3"/>
      </w:pPr>
      <w:r>
        <w:t xml:space="preserve">H.16.1 Diagrammes livrables de la phase 1</w:t>
      </w:r>
    </w:p>
    <w:p>
      <w:pPr>
        <w:pStyle w:val="FirstParagraph"/>
      </w:pPr>
      <w:r>
        <w:t xml:space="preserve">Le Cahier exigeait neuf diagrammes livrables en phase 1, conditionnant la phase 2. Couverture v3.0 :</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Diagramme</w:t>
            </w:r>
          </w:p>
        </w:tc>
        <w:tc>
          <w:tcPr>
            <w:shd w:val="clear" w:color="auto" w:fill="232C6B"/>
          </w:tcPr>
          <w:p>
            <w:pPr>
              <w:pStyle w:val="Compact"/>
            </w:pPr>
            <w:r>
              <w:rPr>
                <w:b/>
                <w:color w:val="FFFFFF"/>
                <w:sz w:val="17"/>
              </w:rPr>
              <w:t xml:space="preserve">Où dans la v3.0</w:t>
            </w:r>
          </w:p>
        </w:tc>
        <w:tc>
          <w:tcPr>
            <w:shd w:val="clear" w:color="auto" w:fill="232C6B"/>
          </w:tcPr>
          <w:p>
            <w:pPr>
              <w:pStyle w:val="Compact"/>
            </w:pPr>
            <w:r>
              <w:rPr>
                <w:b/>
                <w:color w:val="FFFFFF"/>
                <w:sz w:val="17"/>
              </w:rPr>
              <w:t xml:space="preserve">Statut</w:t>
            </w:r>
          </w:p>
        </w:tc>
      </w:tr>
      <w:tr>
        <w:tc>
          <w:tcPr/>
          <w:p>
            <w:pPr>
              <w:pStyle w:val="Compact"/>
            </w:pPr>
            <w:r>
              <w:rPr>
                <w:sz w:val="17"/>
              </w:rPr>
              <w:t xml:space="preserve">Contexte</w:t>
            </w:r>
          </w:p>
        </w:tc>
        <w:tc>
          <w:tcPr/>
          <w:p>
            <w:pPr>
              <w:pStyle w:val="Compact"/>
            </w:pPr>
            <w:r>
              <w:rPr>
                <w:sz w:val="17"/>
              </w:rPr>
              <w:t xml:space="preserve">§ 28.3</w:t>
            </w:r>
          </w:p>
        </w:tc>
        <w:tc>
          <w:tcPr/>
          <w:p>
            <w:pPr>
              <w:pStyle w:val="Compact"/>
            </w:pPr>
            <w:r>
              <w:rPr>
                <w:sz w:val="17"/>
              </w:rPr>
              <w:t xml:space="preserve">Couvert</w:t>
            </w:r>
          </w:p>
        </w:tc>
      </w:tr>
      <w:tr>
        <w:tc>
          <w:tcPr>
            <w:shd w:val="clear" w:color="auto" w:fill="F5F7FB"/>
          </w:tcPr>
          <w:p>
            <w:pPr>
              <w:pStyle w:val="Compact"/>
            </w:pPr>
            <w:r>
              <w:rPr>
                <w:sz w:val="17"/>
              </w:rPr>
              <w:t xml:space="preserve">Conteneurs</w:t>
            </w:r>
          </w:p>
        </w:tc>
        <w:tc>
          <w:tcPr>
            <w:shd w:val="clear" w:color="auto" w:fill="F5F7FB"/>
          </w:tcPr>
          <w:p>
            <w:pPr>
              <w:pStyle w:val="Compact"/>
            </w:pPr>
            <w:r>
              <w:rPr>
                <w:sz w:val="17"/>
              </w:rPr>
              <w:t xml:space="preserve">§ 28.4</w:t>
            </w:r>
          </w:p>
        </w:tc>
        <w:tc>
          <w:tcPr>
            <w:shd w:val="clear" w:color="auto" w:fill="F5F7FB"/>
          </w:tcPr>
          <w:p>
            <w:pPr>
              <w:pStyle w:val="Compact"/>
            </w:pPr>
            <w:r>
              <w:rPr>
                <w:sz w:val="17"/>
              </w:rPr>
              <w:t xml:space="preserve">Couvert</w:t>
            </w:r>
          </w:p>
        </w:tc>
      </w:tr>
      <w:tr>
        <w:tc>
          <w:tcPr/>
          <w:p>
            <w:pPr>
              <w:pStyle w:val="Compact"/>
            </w:pPr>
            <w:r>
              <w:rPr>
                <w:sz w:val="17"/>
              </w:rPr>
              <w:t xml:space="preserve">Domaines</w:t>
            </w:r>
          </w:p>
        </w:tc>
        <w:tc>
          <w:tcPr/>
          <w:p>
            <w:pPr>
              <w:pStyle w:val="Compact"/>
            </w:pPr>
            <w:r>
              <w:rPr>
                <w:sz w:val="17"/>
              </w:rPr>
              <w:t xml:space="preserve">§ 10.1, § 28.5</w:t>
            </w:r>
          </w:p>
        </w:tc>
        <w:tc>
          <w:tcPr/>
          <w:p>
            <w:pPr>
              <w:pStyle w:val="Compact"/>
            </w:pPr>
            <w:r>
              <w:rPr>
                <w:sz w:val="17"/>
              </w:rPr>
              <w:t xml:space="preserve">Couvert</w:t>
            </w:r>
          </w:p>
        </w:tc>
      </w:tr>
      <w:tr>
        <w:tc>
          <w:tcPr>
            <w:shd w:val="clear" w:color="auto" w:fill="F5F7FB"/>
          </w:tcPr>
          <w:p>
            <w:pPr>
              <w:pStyle w:val="Compact"/>
            </w:pPr>
            <w:r>
              <w:rPr>
                <w:sz w:val="17"/>
              </w:rPr>
              <w:t xml:space="preserve">Flux de données</w:t>
            </w:r>
          </w:p>
        </w:tc>
        <w:tc>
          <w:tcPr>
            <w:shd w:val="clear" w:color="auto" w:fill="F5F7FB"/>
          </w:tcPr>
          <w:p>
            <w:pPr>
              <w:pStyle w:val="Compact"/>
            </w:pPr>
            <w:r>
              <w:rPr>
                <w:sz w:val="17"/>
              </w:rPr>
              <w:t xml:space="preserve">§ 28.5</w:t>
            </w:r>
          </w:p>
        </w:tc>
        <w:tc>
          <w:tcPr>
            <w:shd w:val="clear" w:color="auto" w:fill="F5F7FB"/>
          </w:tcPr>
          <w:p>
            <w:pPr>
              <w:pStyle w:val="Compact"/>
            </w:pPr>
            <w:r>
              <w:rPr>
                <w:sz w:val="17"/>
              </w:rPr>
              <w:t xml:space="preserve">Couvert</w:t>
            </w:r>
          </w:p>
        </w:tc>
      </w:tr>
      <w:tr>
        <w:tc>
          <w:tcPr/>
          <w:p>
            <w:pPr>
              <w:pStyle w:val="Compact"/>
            </w:pPr>
            <w:r>
              <w:rPr>
                <w:sz w:val="17"/>
              </w:rPr>
              <w:t xml:space="preserve">Séquence de paiement</w:t>
            </w:r>
          </w:p>
        </w:tc>
        <w:tc>
          <w:tcPr/>
          <w:p>
            <w:pPr>
              <w:pStyle w:val="Compact"/>
            </w:pPr>
            <w:r>
              <w:rPr>
                <w:sz w:val="17"/>
              </w:rPr>
              <w:t xml:space="preserve">§ 18.3 ; § H.10.4 (paiement assisté)</w:t>
            </w:r>
          </w:p>
        </w:tc>
        <w:tc>
          <w:tcPr/>
          <w:p>
            <w:pPr>
              <w:pStyle w:val="Compact"/>
            </w:pPr>
            <w:r>
              <w:rPr>
                <w:sz w:val="17"/>
              </w:rPr>
              <w:t xml:space="preserve">Couvert</w:t>
            </w:r>
          </w:p>
        </w:tc>
      </w:tr>
      <w:tr>
        <w:tc>
          <w:tcPr>
            <w:shd w:val="clear" w:color="auto" w:fill="F5F7FB"/>
          </w:tcPr>
          <w:p>
            <w:pPr>
              <w:pStyle w:val="Compact"/>
            </w:pPr>
            <w:r>
              <w:rPr>
                <w:sz w:val="17"/>
              </w:rPr>
              <w:t xml:space="preserve">Séquence de synchronisation terrain</w:t>
            </w:r>
          </w:p>
        </w:tc>
        <w:tc>
          <w:tcPr>
            <w:shd w:val="clear" w:color="auto" w:fill="F5F7FB"/>
          </w:tcPr>
          <w:p>
            <w:pPr>
              <w:pStyle w:val="Compact"/>
            </w:pPr>
            <w:r>
              <w:rPr>
                <w:sz w:val="17"/>
              </w:rPr>
              <w:t xml:space="preserve">§ 28.6</w:t>
            </w:r>
          </w:p>
        </w:tc>
        <w:tc>
          <w:tcPr>
            <w:shd w:val="clear" w:color="auto" w:fill="F5F7FB"/>
          </w:tcPr>
          <w:p>
            <w:pPr>
              <w:pStyle w:val="Compact"/>
            </w:pPr>
            <w:r>
              <w:rPr>
                <w:sz w:val="17"/>
              </w:rPr>
              <w:t xml:space="preserve">Couvert</w:t>
            </w:r>
          </w:p>
        </w:tc>
      </w:tr>
      <w:tr>
        <w:tc>
          <w:tcPr/>
          <w:p>
            <w:pPr>
              <w:pStyle w:val="Compact"/>
            </w:pPr>
            <w:r>
              <w:rPr>
                <w:sz w:val="17"/>
              </w:rPr>
              <w:t xml:space="preserve">Flux d’habilitation</w:t>
            </w:r>
          </w:p>
        </w:tc>
        <w:tc>
          <w:tcPr/>
          <w:p>
            <w:pPr>
              <w:pStyle w:val="Compact"/>
            </w:pPr>
            <w:r>
              <w:rPr>
                <w:sz w:val="17"/>
              </w:rPr>
              <w:t xml:space="preserve">§ 28.7 ; § H.6.4, § H.6.7 (invitations)</w:t>
            </w:r>
          </w:p>
        </w:tc>
        <w:tc>
          <w:tcPr/>
          <w:p>
            <w:pPr>
              <w:pStyle w:val="Compact"/>
            </w:pPr>
            <w:r>
              <w:rPr>
                <w:sz w:val="17"/>
              </w:rPr>
              <w:t xml:space="preserve">Couvert + complété</w:t>
            </w:r>
          </w:p>
        </w:tc>
      </w:tr>
      <w:tr>
        <w:tc>
          <w:tcPr>
            <w:shd w:val="clear" w:color="auto" w:fill="F5F7FB"/>
          </w:tcPr>
          <w:p>
            <w:pPr>
              <w:pStyle w:val="Compact"/>
            </w:pPr>
            <w:r>
              <w:rPr>
                <w:sz w:val="17"/>
              </w:rPr>
              <w:t xml:space="preserve">Chaîne de décision de l’IA</w:t>
            </w:r>
          </w:p>
        </w:tc>
        <w:tc>
          <w:tcPr>
            <w:shd w:val="clear" w:color="auto" w:fill="F5F7FB"/>
          </w:tcPr>
          <w:p>
            <w:pPr>
              <w:pStyle w:val="Compact"/>
            </w:pPr>
            <w:r>
              <w:rPr>
                <w:sz w:val="17"/>
              </w:rPr>
              <w:t xml:space="preserve">§ 23.3</w:t>
            </w:r>
          </w:p>
        </w:tc>
        <w:tc>
          <w:tcPr>
            <w:shd w:val="clear" w:color="auto" w:fill="F5F7FB"/>
          </w:tcPr>
          <w:p>
            <w:pPr>
              <w:pStyle w:val="Compact"/>
            </w:pPr>
            <w:r>
              <w:rPr>
                <w:sz w:val="17"/>
              </w:rPr>
              <w:t xml:space="preserve">Couvert</w:t>
            </w:r>
          </w:p>
        </w:tc>
      </w:tr>
      <w:tr>
        <w:tc>
          <w:tcPr/>
          <w:p>
            <w:pPr>
              <w:pStyle w:val="Compact"/>
            </w:pPr>
            <w:r>
              <w:rPr>
                <w:sz w:val="17"/>
              </w:rPr>
              <w:t xml:space="preserve">Reprise après sinistre</w:t>
            </w:r>
          </w:p>
        </w:tc>
        <w:tc>
          <w:tcPr/>
          <w:p>
            <w:pPr>
              <w:pStyle w:val="Compact"/>
            </w:pPr>
            <w:r>
              <w:rPr>
                <w:sz w:val="17"/>
              </w:rPr>
              <w:t xml:space="preserve">§ 28.8</w:t>
            </w:r>
          </w:p>
        </w:tc>
        <w:tc>
          <w:tcPr/>
          <w:p>
            <w:pPr>
              <w:pStyle w:val="Compact"/>
            </w:pPr>
            <w:r>
              <w:rPr>
                <w:sz w:val="17"/>
              </w:rPr>
              <w:t xml:space="preserve">Couvert</w:t>
            </w:r>
          </w:p>
        </w:tc>
      </w:tr>
    </w:tbl>
    <w:p>
      <w:pPr>
        <w:pStyle w:val="BodyText"/>
      </w:pPr>
      <w:r>
        <w:t xml:space="preserve">Ces diagrammes restent</w:t>
      </w:r>
      <w:r>
        <w:t xml:space="preserve"> </w:t>
      </w:r>
      <w:r>
        <w:rPr>
          <w:b/>
          <w:bCs/>
        </w:rPr>
        <w:t xml:space="preserve">des livrables formels de la phase 1</w:t>
      </w:r>
      <w:r>
        <w:t xml:space="preserve">, versionnés, approuvés par le Comité de sécurité et conditionnant la porte G1.</w:t>
      </w:r>
    </w:p>
    <w:bookmarkEnd w:id="509"/>
    <w:bookmarkStart w:id="510" w:name="Xa18b865a4cd8e188add57d69e0312852303de5d"/>
    <w:p>
      <w:pPr>
        <w:pStyle w:val="Heading3"/>
      </w:pPr>
      <w:r>
        <w:t xml:space="preserve">H.16.2 Exigences non fonctionnelles : sources et v3.0</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Exigence</w:t>
            </w:r>
          </w:p>
        </w:tc>
        <w:tc>
          <w:tcPr>
            <w:shd w:val="clear" w:color="auto" w:fill="232C6B"/>
          </w:tcPr>
          <w:p>
            <w:pPr>
              <w:pStyle w:val="Compact"/>
            </w:pPr>
            <w:r>
              <w:rPr>
                <w:b/>
                <w:color w:val="FFFFFF"/>
                <w:sz w:val="17"/>
              </w:rPr>
              <w:t xml:space="preserve">Source</w:t>
            </w:r>
          </w:p>
        </w:tc>
        <w:tc>
          <w:tcPr>
            <w:shd w:val="clear" w:color="auto" w:fill="232C6B"/>
          </w:tcPr>
          <w:p>
            <w:pPr>
              <w:pStyle w:val="Compact"/>
            </w:pPr>
            <w:r>
              <w:rPr>
                <w:b/>
                <w:color w:val="FFFFFF"/>
                <w:sz w:val="17"/>
              </w:rPr>
              <w:t xml:space="preserve">v3.0</w:t>
            </w:r>
          </w:p>
        </w:tc>
        <w:tc>
          <w:tcPr>
            <w:shd w:val="clear" w:color="auto" w:fill="232C6B"/>
          </w:tcPr>
          <w:p>
            <w:pPr>
              <w:pStyle w:val="Compact"/>
            </w:pPr>
            <w:r>
              <w:rPr>
                <w:b/>
                <w:color w:val="FFFFFF"/>
                <w:sz w:val="17"/>
              </w:rPr>
              <w:t xml:space="preserve">Position</w:t>
            </w:r>
          </w:p>
        </w:tc>
      </w:tr>
      <w:tr>
        <w:tc>
          <w:tcPr/>
          <w:p>
            <w:pPr>
              <w:pStyle w:val="Compact"/>
            </w:pPr>
            <w:r>
              <w:rPr>
                <w:sz w:val="17"/>
              </w:rPr>
              <w:t xml:space="preserve">Disponibilité services contribuables et paiement</w:t>
            </w:r>
          </w:p>
        </w:tc>
        <w:tc>
          <w:tcPr/>
          <w:p>
            <w:pPr>
              <w:pStyle w:val="Compact"/>
            </w:pPr>
            <w:r>
              <w:rPr>
                <w:sz w:val="17"/>
              </w:rPr>
              <w:t xml:space="preserve">99,9 % / mois</w:t>
            </w:r>
          </w:p>
        </w:tc>
        <w:tc>
          <w:tcPr/>
          <w:p>
            <w:pPr>
              <w:pStyle w:val="Compact"/>
            </w:pPr>
            <w:r>
              <w:rPr>
                <w:sz w:val="17"/>
              </w:rPr>
              <w:t xml:space="preserve">99,5 % pilote ; 99,9 % généralisation</w:t>
            </w:r>
          </w:p>
        </w:tc>
        <w:tc>
          <w:tcPr/>
          <w:p>
            <w:pPr>
              <w:pStyle w:val="Compact"/>
            </w:pPr>
            <w:r>
              <w:rPr>
                <w:sz w:val="17"/>
              </w:rPr>
              <w:t xml:space="preserve">v3.0 (ARB-61)</w:t>
            </w:r>
          </w:p>
        </w:tc>
      </w:tr>
      <w:tr>
        <w:tc>
          <w:tcPr>
            <w:shd w:val="clear" w:color="auto" w:fill="F5F7FB"/>
          </w:tcPr>
          <w:p>
            <w:pPr>
              <w:pStyle w:val="Compact"/>
            </w:pPr>
            <w:r>
              <w:rPr>
                <w:sz w:val="17"/>
              </w:rPr>
              <w:t xml:space="preserve">RPO grand livre</w:t>
            </w:r>
          </w:p>
        </w:tc>
        <w:tc>
          <w:tcPr>
            <w:shd w:val="clear" w:color="auto" w:fill="F5F7FB"/>
          </w:tcPr>
          <w:p>
            <w:pPr>
              <w:pStyle w:val="Compact"/>
            </w:pPr>
            <w:r>
              <w:rPr>
                <w:sz w:val="17"/>
              </w:rPr>
              <w:t xml:space="preserve">≈ 0</w:t>
            </w:r>
          </w:p>
        </w:tc>
        <w:tc>
          <w:tcPr>
            <w:shd w:val="clear" w:color="auto" w:fill="F5F7FB"/>
          </w:tcPr>
          <w:p>
            <w:pPr>
              <w:pStyle w:val="Compact"/>
            </w:pPr>
            <w:r>
              <w:rPr>
                <w:sz w:val="17"/>
              </w:rPr>
              <w:t xml:space="preserve">0 (réplication synchrone)</w:t>
            </w:r>
          </w:p>
        </w:tc>
        <w:tc>
          <w:tcPr>
            <w:shd w:val="clear" w:color="auto" w:fill="F5F7FB"/>
          </w:tcPr>
          <w:p>
            <w:pPr>
              <w:pStyle w:val="Compact"/>
            </w:pPr>
            <w:r>
              <w:rPr>
                <w:sz w:val="17"/>
              </w:rPr>
              <w:t xml:space="preserve">Identique</w:t>
            </w:r>
          </w:p>
        </w:tc>
      </w:tr>
      <w:tr>
        <w:tc>
          <w:tcPr/>
          <w:p>
            <w:pPr>
              <w:pStyle w:val="Compact"/>
            </w:pPr>
            <w:r>
              <w:rPr>
                <w:sz w:val="17"/>
              </w:rPr>
              <w:t xml:space="preserve">RTO critique</w:t>
            </w:r>
          </w:p>
        </w:tc>
        <w:tc>
          <w:tcPr/>
          <w:p>
            <w:pPr>
              <w:pStyle w:val="Compact"/>
            </w:pPr>
            <w:r>
              <w:rPr>
                <w:sz w:val="17"/>
              </w:rPr>
              <w:t xml:space="preserve">4 h pilote ; 1 h maturité</w:t>
            </w:r>
          </w:p>
        </w:tc>
        <w:tc>
          <w:tcPr/>
          <w:p>
            <w:pPr>
              <w:pStyle w:val="Compact"/>
            </w:pPr>
            <w:r>
              <w:rPr>
                <w:sz w:val="17"/>
              </w:rPr>
              <w:t xml:space="preserve">≤ 4 h ; ≤ 1 h</w:t>
            </w:r>
          </w:p>
        </w:tc>
        <w:tc>
          <w:tcPr/>
          <w:p>
            <w:pPr>
              <w:pStyle w:val="Compact"/>
            </w:pPr>
            <w:r>
              <w:rPr>
                <w:sz w:val="17"/>
              </w:rPr>
              <w:t xml:space="preserve">Identique</w:t>
            </w:r>
          </w:p>
        </w:tc>
      </w:tr>
      <w:tr>
        <w:tc>
          <w:tcPr>
            <w:shd w:val="clear" w:color="auto" w:fill="F5F7FB"/>
          </w:tcPr>
          <w:p>
            <w:pPr>
              <w:pStyle w:val="Compact"/>
            </w:pPr>
            <w:r>
              <w:rPr>
                <w:sz w:val="17"/>
              </w:rPr>
              <w:t xml:space="preserve">Test de restauration</w:t>
            </w:r>
          </w:p>
        </w:tc>
        <w:tc>
          <w:tcPr>
            <w:shd w:val="clear" w:color="auto" w:fill="F5F7FB"/>
          </w:tcPr>
          <w:p>
            <w:pPr>
              <w:pStyle w:val="Compact"/>
            </w:pPr>
            <w:r>
              <w:rPr>
                <w:sz w:val="17"/>
              </w:rPr>
              <w:t xml:space="preserve">Trimestriel</w:t>
            </w:r>
          </w:p>
        </w:tc>
        <w:tc>
          <w:tcPr>
            <w:shd w:val="clear" w:color="auto" w:fill="F5F7FB"/>
          </w:tcPr>
          <w:p>
            <w:pPr>
              <w:pStyle w:val="Compact"/>
            </w:pPr>
            <w:r>
              <w:rPr>
                <w:sz w:val="17"/>
              </w:rPr>
              <w:t xml:space="preserve">Mensuel ; bascule complète semestrielle</w:t>
            </w:r>
          </w:p>
        </w:tc>
        <w:tc>
          <w:tcPr>
            <w:shd w:val="clear" w:color="auto" w:fill="F5F7FB"/>
          </w:tcPr>
          <w:p>
            <w:pPr>
              <w:pStyle w:val="Compact"/>
            </w:pPr>
            <w:r>
              <w:rPr>
                <w:sz w:val="17"/>
              </w:rPr>
              <w:t xml:space="preserve">v3.0 (plus exigeante)</w:t>
            </w:r>
          </w:p>
        </w:tc>
      </w:tr>
      <w:tr>
        <w:tc>
          <w:tcPr/>
          <w:p>
            <w:pPr>
              <w:pStyle w:val="Compact"/>
            </w:pPr>
            <w:r>
              <w:rPr>
                <w:sz w:val="17"/>
              </w:rPr>
              <w:t xml:space="preserve">Capacité</w:t>
            </w:r>
          </w:p>
        </w:tc>
        <w:tc>
          <w:tcPr/>
          <w:p>
            <w:pPr>
              <w:pStyle w:val="Compact"/>
            </w:pPr>
            <w:r>
              <w:rPr>
                <w:sz w:val="17"/>
              </w:rPr>
              <w:t xml:space="preserve">Tests au pic avec marge ≥ 3×</w:t>
            </w:r>
          </w:p>
        </w:tc>
        <w:tc>
          <w:tcPr/>
          <w:p>
            <w:pPr>
              <w:pStyle w:val="Compact"/>
            </w:pPr>
            <w:r>
              <w:rPr>
                <w:sz w:val="17"/>
              </w:rPr>
              <w:t xml:space="preserve">20 fois le trafic moyen (pic de février)</w:t>
            </w:r>
          </w:p>
        </w:tc>
        <w:tc>
          <w:tcPr/>
          <w:p>
            <w:pPr>
              <w:pStyle w:val="Compact"/>
            </w:pPr>
            <w:r>
              <w:rPr>
                <w:sz w:val="17"/>
              </w:rPr>
              <w:t xml:space="preserve">v3.0 ; la marge ≥ 3×</w:t>
            </w:r>
            <w:r>
              <w:rPr>
                <w:sz w:val="17"/>
              </w:rPr>
              <w:t xml:space="preserve"> </w:t>
            </w:r>
            <w:r>
              <w:rPr>
                <w:b/>
                <w:bCs/>
                <w:sz w:val="17"/>
              </w:rPr>
              <w:t xml:space="preserve">au-dessus du pic mesuré</w:t>
            </w:r>
            <w:r>
              <w:rPr>
                <w:sz w:val="17"/>
              </w:rPr>
              <w:t xml:space="preserve"> </w:t>
            </w:r>
            <w:r>
              <w:rPr>
                <w:sz w:val="17"/>
              </w:rPr>
              <w:t xml:space="preserve">est conservée comme critère complémentaire</w:t>
            </w:r>
          </w:p>
        </w:tc>
      </w:tr>
      <w:tr>
        <w:tc>
          <w:tcPr>
            <w:shd w:val="clear" w:color="auto" w:fill="F5F7FB"/>
          </w:tcPr>
          <w:p>
            <w:pPr>
              <w:pStyle w:val="Compact"/>
            </w:pPr>
            <w:r>
              <w:rPr>
                <w:sz w:val="17"/>
              </w:rPr>
              <w:t xml:space="preserve">Application terrain hors ligne</w:t>
            </w:r>
          </w:p>
        </w:tc>
        <w:tc>
          <w:tcPr>
            <w:shd w:val="clear" w:color="auto" w:fill="F5F7FB"/>
          </w:tcPr>
          <w:p>
            <w:pPr>
              <w:pStyle w:val="Compact"/>
            </w:pPr>
            <w:r>
              <w:rPr>
                <w:sz w:val="17"/>
              </w:rPr>
              <w:t xml:space="preserve">Une journée complète</w:t>
            </w:r>
          </w:p>
        </w:tc>
        <w:tc>
          <w:tcPr>
            <w:shd w:val="clear" w:color="auto" w:fill="F5F7FB"/>
          </w:tcPr>
          <w:p>
            <w:pPr>
              <w:pStyle w:val="Compact"/>
            </w:pPr>
            <w:r>
              <w:rPr>
                <w:sz w:val="17"/>
              </w:rPr>
              <w:t xml:space="preserve">5 jours</w:t>
            </w:r>
          </w:p>
        </w:tc>
        <w:tc>
          <w:tcPr>
            <w:shd w:val="clear" w:color="auto" w:fill="F5F7FB"/>
          </w:tcPr>
          <w:p>
            <w:pPr>
              <w:pStyle w:val="Compact"/>
            </w:pPr>
            <w:r>
              <w:rPr>
                <w:sz w:val="17"/>
              </w:rPr>
              <w:t xml:space="preserve">v3.0</w:t>
            </w:r>
          </w:p>
        </w:tc>
      </w:tr>
      <w:tr>
        <w:tc>
          <w:tcPr/>
          <w:p>
            <w:pPr>
              <w:pStyle w:val="Compact"/>
            </w:pPr>
            <w:r>
              <w:rPr>
                <w:sz w:val="17"/>
              </w:rPr>
              <w:t xml:space="preserve">Contrôle par plaque</w:t>
            </w:r>
          </w:p>
        </w:tc>
        <w:tc>
          <w:tcPr/>
          <w:p>
            <w:pPr>
              <w:pStyle w:val="Compact"/>
            </w:pPr>
            <w:r>
              <w:rPr>
                <w:b/>
                <w:bCs/>
                <w:sz w:val="17"/>
              </w:rPr>
              <w:t xml:space="preserve">&lt; 3 s en ligne</w:t>
            </w:r>
          </w:p>
        </w:tc>
        <w:tc>
          <w:tcPr/>
          <w:p>
            <w:pPr>
              <w:pStyle w:val="Compact"/>
            </w:pPr>
            <w:r>
              <w:rPr>
                <w:sz w:val="17"/>
              </w:rPr>
              <w:t xml:space="preserve">—</w:t>
            </w:r>
          </w:p>
        </w:tc>
        <w:tc>
          <w:tcPr/>
          <w:p>
            <w:pPr>
              <w:pStyle w:val="Compact"/>
            </w:pPr>
            <w:r>
              <w:rPr>
                <w:b/>
                <w:bCs/>
                <w:sz w:val="17"/>
              </w:rPr>
              <w:t xml:space="preserve">Intégré</w:t>
            </w:r>
            <w:r>
              <w:rPr>
                <w:sz w:val="17"/>
              </w:rPr>
              <w:t xml:space="preserve"> </w:t>
            </w:r>
            <w:r>
              <w:rPr>
                <w:sz w:val="17"/>
              </w:rPr>
              <w:t xml:space="preserve">(AC-FLD-04)</w:t>
            </w:r>
          </w:p>
        </w:tc>
      </w:tr>
      <w:tr>
        <w:tc>
          <w:tcPr>
            <w:shd w:val="clear" w:color="auto" w:fill="F5F7FB"/>
          </w:tcPr>
          <w:p>
            <w:pPr>
              <w:pStyle w:val="Compact"/>
            </w:pPr>
            <w:r>
              <w:rPr>
                <w:sz w:val="17"/>
              </w:rPr>
              <w:t xml:space="preserve">USSD</w:t>
            </w:r>
          </w:p>
        </w:tc>
        <w:tc>
          <w:tcPr>
            <w:shd w:val="clear" w:color="auto" w:fill="F5F7FB"/>
          </w:tcPr>
          <w:p>
            <w:pPr>
              <w:pStyle w:val="Compact"/>
            </w:pPr>
            <w:r>
              <w:rPr>
                <w:b/>
                <w:bCs/>
                <w:sz w:val="17"/>
              </w:rPr>
              <w:t xml:space="preserve">Jamais de donnée sensible complète</w:t>
            </w:r>
          </w:p>
        </w:tc>
        <w:tc>
          <w:tcPr>
            <w:shd w:val="clear" w:color="auto" w:fill="F5F7FB"/>
          </w:tcPr>
          <w:p>
            <w:pPr>
              <w:pStyle w:val="Compact"/>
            </w:pPr>
            <w:r>
              <w:rPr>
                <w:sz w:val="17"/>
              </w:rPr>
              <w:t xml:space="preserve">—</w:t>
            </w:r>
          </w:p>
        </w:tc>
        <w:tc>
          <w:tcPr>
            <w:shd w:val="clear" w:color="auto" w:fill="F5F7FB"/>
          </w:tcPr>
          <w:p>
            <w:pPr>
              <w:pStyle w:val="Compact"/>
            </w:pPr>
            <w:r>
              <w:rPr>
                <w:b/>
                <w:bCs/>
                <w:sz w:val="17"/>
              </w:rPr>
              <w:t xml:space="preserve">Intégré</w:t>
            </w:r>
            <w:r>
              <w:rPr>
                <w:sz w:val="17"/>
              </w:rPr>
              <w:t xml:space="preserve"> </w:t>
            </w:r>
            <w:r>
              <w:rPr>
                <w:sz w:val="17"/>
              </w:rPr>
              <w:t xml:space="preserve">(AC-INC-03)</w:t>
            </w:r>
          </w:p>
        </w:tc>
      </w:tr>
      <w:tr>
        <w:tc>
          <w:tcPr/>
          <w:p>
            <w:pPr>
              <w:pStyle w:val="Compact"/>
            </w:pPr>
            <w:r>
              <w:rPr>
                <w:sz w:val="17"/>
              </w:rPr>
              <w:t xml:space="preserve">Sessions</w:t>
            </w:r>
          </w:p>
        </w:tc>
        <w:tc>
          <w:tcPr/>
          <w:p>
            <w:pPr>
              <w:pStyle w:val="Compact"/>
            </w:pPr>
            <w:r>
              <w:rPr>
                <w:b/>
                <w:bCs/>
                <w:sz w:val="17"/>
              </w:rPr>
              <w:t xml:space="preserve">Courtes</w:t>
            </w:r>
            <w:r>
              <w:rPr>
                <w:sz w:val="17"/>
              </w:rPr>
              <w:t xml:space="preserve"> </w:t>
            </w:r>
            <w:r>
              <w:rPr>
                <w:sz w:val="17"/>
              </w:rPr>
              <w:t xml:space="preserve">; session courte sur appareil partagé</w:t>
            </w:r>
          </w:p>
        </w:tc>
        <w:tc>
          <w:tcPr/>
          <w:p>
            <w:pPr>
              <w:pStyle w:val="Compact"/>
            </w:pPr>
            <w:r>
              <w:rPr>
                <w:sz w:val="17"/>
              </w:rPr>
              <w:t xml:space="preserve">Jeton OIDC court</w:t>
            </w:r>
          </w:p>
        </w:tc>
        <w:tc>
          <w:tcPr/>
          <w:p>
            <w:pPr>
              <w:pStyle w:val="Compact"/>
            </w:pPr>
            <w:r>
              <w:rPr>
                <w:sz w:val="17"/>
              </w:rPr>
              <w:t xml:space="preserve">Couvert + complété (§ H.4.1)</w:t>
            </w:r>
          </w:p>
        </w:tc>
      </w:tr>
      <w:tr>
        <w:tc>
          <w:tcPr>
            <w:shd w:val="clear" w:color="auto" w:fill="F5F7FB"/>
          </w:tcPr>
          <w:p>
            <w:pPr>
              <w:pStyle w:val="Compact"/>
            </w:pPr>
            <w:r>
              <w:rPr>
                <w:sz w:val="17"/>
              </w:rPr>
              <w:t xml:space="preserve">Exports sensibles</w:t>
            </w:r>
          </w:p>
        </w:tc>
        <w:tc>
          <w:tcPr>
            <w:shd w:val="clear" w:color="auto" w:fill="F5F7FB"/>
          </w:tcPr>
          <w:p>
            <w:pPr>
              <w:pStyle w:val="Compact"/>
            </w:pPr>
            <w:r>
              <w:rPr>
                <w:sz w:val="17"/>
              </w:rPr>
              <w:t xml:space="preserve">Filigranés, chiffrés, à expiration</w:t>
            </w:r>
          </w:p>
        </w:tc>
        <w:tc>
          <w:tcPr>
            <w:shd w:val="clear" w:color="auto" w:fill="F5F7FB"/>
          </w:tcPr>
          <w:p>
            <w:pPr>
              <w:pStyle w:val="Compact"/>
            </w:pPr>
            <w:r>
              <w:rPr>
                <w:sz w:val="17"/>
              </w:rPr>
              <w:t xml:space="preserve">Filigranes, limites (§ 25.2)</w:t>
            </w:r>
          </w:p>
        </w:tc>
        <w:tc>
          <w:tcPr>
            <w:shd w:val="clear" w:color="auto" w:fill="F5F7FB"/>
          </w:tcPr>
          <w:p>
            <w:pPr>
              <w:pStyle w:val="Compact"/>
            </w:pPr>
            <w:r>
              <w:rPr>
                <w:sz w:val="17"/>
              </w:rPr>
              <w:t xml:space="preserve">Couvert ;</w:t>
            </w:r>
            <w:r>
              <w:rPr>
                <w:sz w:val="17"/>
              </w:rPr>
              <w:t xml:space="preserve"> </w:t>
            </w:r>
            <w:r>
              <w:rPr>
                <w:b/>
                <w:bCs/>
                <w:sz w:val="17"/>
              </w:rPr>
              <w:t xml:space="preserve">expiration</w:t>
            </w:r>
            <w:r>
              <w:rPr>
                <w:sz w:val="17"/>
              </w:rPr>
              <w:t xml:space="preserve"> </w:t>
            </w:r>
            <w:r>
              <w:rPr>
                <w:sz w:val="17"/>
              </w:rPr>
              <w:t xml:space="preserve">des exports ajoutée</w:t>
            </w:r>
          </w:p>
        </w:tc>
      </w:tr>
      <w:tr>
        <w:tc>
          <w:tcPr/>
          <w:p>
            <w:pPr>
              <w:pStyle w:val="Compact"/>
            </w:pPr>
            <w:r>
              <w:rPr>
                <w:sz w:val="17"/>
              </w:rPr>
              <w:t xml:space="preserve">Pentest</w:t>
            </w:r>
          </w:p>
        </w:tc>
        <w:tc>
          <w:tcPr/>
          <w:p>
            <w:pPr>
              <w:pStyle w:val="Compact"/>
            </w:pPr>
            <w:r>
              <w:rPr>
                <w:sz w:val="17"/>
              </w:rPr>
              <w:t xml:space="preserve">Avant chaque mise en production majeure</w:t>
            </w:r>
          </w:p>
        </w:tc>
        <w:tc>
          <w:tcPr/>
          <w:p>
            <w:pPr>
              <w:pStyle w:val="Compact"/>
            </w:pPr>
            <w:r>
              <w:rPr>
                <w:sz w:val="17"/>
              </w:rPr>
              <w:t xml:space="preserve">Avant le pilote et chaque version majeure</w:t>
            </w:r>
          </w:p>
        </w:tc>
        <w:tc>
          <w:tcPr/>
          <w:p>
            <w:pPr>
              <w:pStyle w:val="Compact"/>
            </w:pPr>
            <w:r>
              <w:rPr>
                <w:sz w:val="17"/>
              </w:rPr>
              <w:t xml:space="preserve">Identique</w:t>
            </w:r>
          </w:p>
        </w:tc>
      </w:tr>
      <w:tr>
        <w:tc>
          <w:tcPr>
            <w:shd w:val="clear" w:color="auto" w:fill="F5F7FB"/>
          </w:tcPr>
          <w:p>
            <w:pPr>
              <w:pStyle w:val="Compact"/>
            </w:pPr>
            <w:r>
              <w:rPr>
                <w:sz w:val="17"/>
              </w:rPr>
              <w:t xml:space="preserve">Réversibilité</w:t>
            </w:r>
          </w:p>
        </w:tc>
        <w:tc>
          <w:tcPr>
            <w:shd w:val="clear" w:color="auto" w:fill="F5F7FB"/>
          </w:tcPr>
          <w:p>
            <w:pPr>
              <w:pStyle w:val="Compact"/>
            </w:pPr>
            <w:r>
              <w:rPr>
                <w:sz w:val="17"/>
              </w:rPr>
              <w:t xml:space="preserve">Testée au moins une fois par an</w:t>
            </w:r>
          </w:p>
        </w:tc>
        <w:tc>
          <w:tcPr>
            <w:shd w:val="clear" w:color="auto" w:fill="F5F7FB"/>
          </w:tcPr>
          <w:p>
            <w:pPr>
              <w:pStyle w:val="Compact"/>
            </w:pPr>
            <w:r>
              <w:rPr>
                <w:sz w:val="17"/>
              </w:rPr>
              <w:t xml:space="preserve">Avant généralisation (O12)</w:t>
            </w:r>
          </w:p>
        </w:tc>
        <w:tc>
          <w:tcPr>
            <w:shd w:val="clear" w:color="auto" w:fill="F5F7FB"/>
          </w:tcPr>
          <w:p>
            <w:pPr>
              <w:pStyle w:val="Compact"/>
            </w:pPr>
            <w:r>
              <w:rPr>
                <w:b/>
                <w:bCs/>
                <w:sz w:val="17"/>
              </w:rPr>
              <w:t xml:space="preserve">Complété</w:t>
            </w:r>
            <w:r>
              <w:rPr>
                <w:sz w:val="17"/>
              </w:rPr>
              <w:t xml:space="preserve"> </w:t>
            </w:r>
            <w:r>
              <w:rPr>
                <w:sz w:val="17"/>
              </w:rPr>
              <w:t xml:space="preserve">: exercice annuel après la généralisation</w:t>
            </w:r>
          </w:p>
        </w:tc>
      </w:tr>
    </w:tbl>
    <w:bookmarkEnd w:id="510"/>
    <w:bookmarkStart w:id="511" w:name="Xc6428144677fb0628fcb3c9b3a062d2672adda4"/>
    <w:p>
      <w:pPr>
        <w:pStyle w:val="Heading3"/>
      </w:pPr>
      <w:r>
        <w:t xml:space="preserve">H.16.3 Entités de données complémentaires</w:t>
      </w:r>
    </w:p>
    <w:p>
      <w:pPr>
        <w:pStyle w:val="FirstParagraph"/>
      </w:pPr>
      <w:r>
        <w:t xml:space="preserve">Le dictionnaire du § 29.3 est complété par les entités nécessaires aux modules 63 à 81. Attributs communs obligatoires du § 29.1 (dont</w:t>
      </w:r>
      <w:r>
        <w:t xml:space="preserve"> </w:t>
      </w:r>
      <w:r>
        <w:rPr>
          <w:rStyle w:val="VerbatimChar"/>
        </w:rPr>
        <w:t xml:space="preserve">entity_scope</w:t>
      </w:r>
      <w:r>
        <w:t xml:space="preserve">) applicables à toutes.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584"/>
        <w:gridCol w:w="1584"/>
        <w:gridCol w:w="1584"/>
        <w:gridCol w:w="1584"/>
        <w:gridCol w:w="1584"/>
      </w:tblGrid>
      <w:tr>
        <w:trPr>
          <w:tblHeader w:val="on"/>
        </w:trPr>
        <w:tc>
          <w:tcPr>
            <w:shd w:val="clear" w:color="auto" w:fill="232C6B"/>
          </w:tcPr>
          <w:p>
            <w:pPr>
              <w:pStyle w:val="Compact"/>
            </w:pPr>
            <w:r>
              <w:rPr>
                <w:b/>
                <w:color w:val="FFFFFF"/>
                <w:sz w:val="17"/>
              </w:rPr>
              <w:t xml:space="preserve">Entité</w:t>
            </w:r>
          </w:p>
        </w:tc>
        <w:tc>
          <w:tcPr>
            <w:shd w:val="clear" w:color="auto" w:fill="232C6B"/>
          </w:tcPr>
          <w:p>
            <w:pPr>
              <w:pStyle w:val="Compact"/>
            </w:pPr>
            <w:r>
              <w:rPr>
                <w:b/>
                <w:color w:val="FFFFFF"/>
                <w:sz w:val="17"/>
              </w:rPr>
              <w:t xml:space="preserve">Finalité</w:t>
            </w:r>
          </w:p>
        </w:tc>
        <w:tc>
          <w:tcPr>
            <w:shd w:val="clear" w:color="auto" w:fill="232C6B"/>
          </w:tcPr>
          <w:p>
            <w:pPr>
              <w:pStyle w:val="Compact"/>
            </w:pPr>
            <w:r>
              <w:rPr>
                <w:b/>
                <w:color w:val="FFFFFF"/>
                <w:sz w:val="17"/>
              </w:rPr>
              <w:t xml:space="preserve">Champs importants</w:t>
            </w:r>
          </w:p>
        </w:tc>
        <w:tc>
          <w:tcPr>
            <w:shd w:val="clear" w:color="auto" w:fill="232C6B"/>
          </w:tcPr>
          <w:p>
            <w:pPr>
              <w:pStyle w:val="Compact"/>
            </w:pPr>
            <w:r>
              <w:rPr>
                <w:b/>
                <w:color w:val="FFFFFF"/>
                <w:sz w:val="17"/>
              </w:rPr>
              <w:t xml:space="preserve">Cycle de vie</w:t>
            </w:r>
          </w:p>
        </w:tc>
        <w:tc>
          <w:tcPr>
            <w:shd w:val="clear" w:color="auto" w:fill="232C6B"/>
          </w:tcPr>
          <w:p>
            <w:pPr>
              <w:pStyle w:val="Compact"/>
            </w:pPr>
            <w:r>
              <w:rPr>
                <w:b/>
                <w:color w:val="FFFFFF"/>
                <w:sz w:val="17"/>
              </w:rPr>
              <w:t xml:space="preserve">Classe</w:t>
            </w:r>
          </w:p>
        </w:tc>
      </w:tr>
      <w:tr>
        <w:tc>
          <w:tcPr/>
          <w:p>
            <w:pPr>
              <w:pStyle w:val="Compact"/>
            </w:pPr>
            <w:r>
              <w:rPr>
                <w:b/>
                <w:bCs/>
                <w:sz w:val="17"/>
              </w:rPr>
              <w:t xml:space="preserve">Entity</w:t>
            </w:r>
          </w:p>
        </w:tc>
        <w:tc>
          <w:tcPr/>
          <w:p>
            <w:pPr>
              <w:pStyle w:val="Compact"/>
            </w:pPr>
            <w:r>
              <w:rPr>
                <w:sz w:val="17"/>
              </w:rPr>
              <w:t xml:space="preserve">Entité publique ou partenaire</w:t>
            </w:r>
          </w:p>
        </w:tc>
        <w:tc>
          <w:tcPr/>
          <w:p>
            <w:pPr>
              <w:pStyle w:val="Compact"/>
            </w:pPr>
            <w:r>
              <w:rPr>
                <w:sz w:val="17"/>
              </w:rPr>
              <w:t xml:space="preserve">type, name, legal_basis, parent</w:t>
            </w:r>
          </w:p>
        </w:tc>
        <w:tc>
          <w:tcPr/>
          <w:p>
            <w:pPr>
              <w:pStyle w:val="Compact"/>
            </w:pPr>
            <w:r>
              <w:rPr>
                <w:sz w:val="17"/>
              </w:rPr>
              <w:t xml:space="preserve">ACTIVE → SUSPENDUE → RETIRÉE</w:t>
            </w:r>
          </w:p>
        </w:tc>
        <w:tc>
          <w:tcPr/>
          <w:p>
            <w:pPr>
              <w:pStyle w:val="Compact"/>
            </w:pPr>
            <w:r>
              <w:rPr>
                <w:sz w:val="17"/>
              </w:rPr>
              <w:t xml:space="preserve">C1</w:t>
            </w:r>
          </w:p>
        </w:tc>
      </w:tr>
      <w:tr>
        <w:tc>
          <w:tcPr>
            <w:shd w:val="clear" w:color="auto" w:fill="F5F7FB"/>
          </w:tcPr>
          <w:p>
            <w:pPr>
              <w:pStyle w:val="Compact"/>
            </w:pPr>
            <w:r>
              <w:rPr>
                <w:b/>
                <w:bCs/>
                <w:sz w:val="17"/>
              </w:rPr>
              <w:t xml:space="preserve">Tenant</w:t>
            </w:r>
          </w:p>
        </w:tc>
        <w:tc>
          <w:tcPr>
            <w:shd w:val="clear" w:color="auto" w:fill="F5F7FB"/>
          </w:tcPr>
          <w:p>
            <w:pPr>
              <w:pStyle w:val="Compact"/>
            </w:pPr>
            <w:r>
              <w:rPr>
                <w:sz w:val="17"/>
              </w:rPr>
              <w:t xml:space="preserve">Espace d’entité</w:t>
            </w:r>
          </w:p>
        </w:tc>
        <w:tc>
          <w:tcPr>
            <w:shd w:val="clear" w:color="auto" w:fill="F5F7FB"/>
          </w:tcPr>
          <w:p>
            <w:pPr>
              <w:pStyle w:val="Compact"/>
            </w:pPr>
            <w:r>
              <w:rPr>
                <w:sz w:val="17"/>
              </w:rPr>
              <w:t xml:space="preserve">entity, modules[], branding</w:t>
            </w:r>
          </w:p>
        </w:tc>
        <w:tc>
          <w:tcPr>
            <w:shd w:val="clear" w:color="auto" w:fill="F5F7FB"/>
          </w:tcPr>
          <w:p>
            <w:pPr>
              <w:pStyle w:val="Compact"/>
            </w:pPr>
            <w:r>
              <w:rPr>
                <w:sz w:val="17"/>
              </w:rPr>
              <w:t xml:space="preserve">ACTIF → SUSPENDU</w:t>
            </w:r>
          </w:p>
        </w:tc>
        <w:tc>
          <w:tcPr>
            <w:shd w:val="clear" w:color="auto" w:fill="F5F7FB"/>
          </w:tcPr>
          <w:p>
            <w:pPr>
              <w:pStyle w:val="Compact"/>
            </w:pPr>
            <w:r>
              <w:rPr>
                <w:sz w:val="17"/>
              </w:rPr>
              <w:t xml:space="preserve">C2</w:t>
            </w:r>
          </w:p>
        </w:tc>
      </w:tr>
      <w:tr>
        <w:tc>
          <w:tcPr/>
          <w:p>
            <w:pPr>
              <w:pStyle w:val="Compact"/>
            </w:pPr>
            <w:r>
              <w:rPr>
                <w:b/>
                <w:bCs/>
                <w:sz w:val="17"/>
              </w:rPr>
              <w:t xml:space="preserve">ModuleConfiguration</w:t>
            </w:r>
          </w:p>
        </w:tc>
        <w:tc>
          <w:tcPr/>
          <w:p>
            <w:pPr>
              <w:pStyle w:val="Compact"/>
            </w:pPr>
            <w:r>
              <w:rPr>
                <w:sz w:val="17"/>
              </w:rPr>
              <w:t xml:space="preserve">Fiche de configuration (§ H.4.3)</w:t>
            </w:r>
          </w:p>
        </w:tc>
        <w:tc>
          <w:tcPr/>
          <w:p>
            <w:pPr>
              <w:pStyle w:val="Compact"/>
            </w:pPr>
            <w:r>
              <w:rPr>
                <w:sz w:val="17"/>
              </w:rPr>
              <w:t xml:space="preserve">entity, object_types, rules[], credential_types[], channels, workflows, dependencies, approvals</w:t>
            </w:r>
          </w:p>
        </w:tc>
        <w:tc>
          <w:tcPr/>
          <w:p>
            <w:pPr>
              <w:pStyle w:val="Compact"/>
            </w:pPr>
            <w:r>
              <w:rPr>
                <w:sz w:val="17"/>
              </w:rPr>
              <w:t xml:space="preserve">§ H.4.3</w:t>
            </w:r>
          </w:p>
        </w:tc>
        <w:tc>
          <w:tcPr/>
          <w:p>
            <w:pPr>
              <w:pStyle w:val="Compact"/>
            </w:pPr>
            <w:r>
              <w:rPr>
                <w:sz w:val="17"/>
              </w:rPr>
              <w:t xml:space="preserve">C2</w:t>
            </w:r>
          </w:p>
        </w:tc>
      </w:tr>
      <w:tr>
        <w:tc>
          <w:tcPr>
            <w:shd w:val="clear" w:color="auto" w:fill="F5F7FB"/>
          </w:tcPr>
          <w:p>
            <w:pPr>
              <w:pStyle w:val="Compact"/>
            </w:pPr>
            <w:r>
              <w:rPr>
                <w:b/>
                <w:bCs/>
                <w:sz w:val="17"/>
              </w:rPr>
              <w:t xml:space="preserve">ModuleAttachment</w:t>
            </w:r>
          </w:p>
        </w:tc>
        <w:tc>
          <w:tcPr>
            <w:shd w:val="clear" w:color="auto" w:fill="F5F7FB"/>
          </w:tcPr>
          <w:p>
            <w:pPr>
              <w:pStyle w:val="Compact"/>
            </w:pPr>
            <w:r>
              <w:rPr>
                <w:sz w:val="17"/>
              </w:rPr>
              <w:t xml:space="preserve">Rattachement module ↔ entité</w:t>
            </w:r>
          </w:p>
        </w:tc>
        <w:tc>
          <w:tcPr>
            <w:shd w:val="clear" w:color="auto" w:fill="F5F7FB"/>
          </w:tcPr>
          <w:p>
            <w:pPr>
              <w:pStyle w:val="Compact"/>
            </w:pPr>
            <w:r>
              <w:rPr>
                <w:sz w:val="17"/>
              </w:rPr>
              <w:t xml:space="preserve">module, entity, decree_ref, from, to, approvals</w:t>
            </w:r>
          </w:p>
        </w:tc>
        <w:tc>
          <w:tcPr>
            <w:shd w:val="clear" w:color="auto" w:fill="F5F7FB"/>
          </w:tcPr>
          <w:p>
            <w:pPr>
              <w:pStyle w:val="Compact"/>
            </w:pPr>
            <w:r>
              <w:rPr>
                <w:sz w:val="17"/>
              </w:rPr>
              <w:t xml:space="preserve">PROPOSÉ → VALIDÉ → CLOS</w:t>
            </w:r>
          </w:p>
        </w:tc>
        <w:tc>
          <w:tcPr>
            <w:shd w:val="clear" w:color="auto" w:fill="F5F7FB"/>
          </w:tcPr>
          <w:p>
            <w:pPr>
              <w:pStyle w:val="Compact"/>
            </w:pPr>
            <w:r>
              <w:rPr>
                <w:sz w:val="17"/>
              </w:rPr>
              <w:t xml:space="preserve">C2</w:t>
            </w:r>
          </w:p>
        </w:tc>
      </w:tr>
      <w:tr>
        <w:tc>
          <w:tcPr/>
          <w:p>
            <w:pPr>
              <w:pStyle w:val="Compact"/>
            </w:pPr>
            <w:r>
              <w:rPr>
                <w:b/>
                <w:bCs/>
                <w:sz w:val="17"/>
              </w:rPr>
              <w:t xml:space="preserve">Arbitration</w:t>
            </w:r>
          </w:p>
        </w:tc>
        <w:tc>
          <w:tcPr/>
          <w:p>
            <w:pPr>
              <w:pStyle w:val="Compact"/>
            </w:pPr>
            <w:r>
              <w:rPr>
                <w:sz w:val="17"/>
              </w:rPr>
              <w:t xml:space="preserve">Conflit de revendication</w:t>
            </w:r>
          </w:p>
        </w:tc>
        <w:tc>
          <w:tcPr/>
          <w:p>
            <w:pPr>
              <w:pStyle w:val="Compact"/>
            </w:pPr>
            <w:r>
              <w:rPr>
                <w:sz w:val="17"/>
              </w:rPr>
              <w:t xml:space="preserve">fact, object, period, claimants[], decision</w:t>
            </w:r>
          </w:p>
        </w:tc>
        <w:tc>
          <w:tcPr/>
          <w:p>
            <w:pPr>
              <w:pStyle w:val="Compact"/>
            </w:pPr>
            <w:r>
              <w:rPr>
                <w:sz w:val="17"/>
              </w:rPr>
              <w:t xml:space="preserve">OUVERT → RÉSOLU</w:t>
            </w:r>
          </w:p>
        </w:tc>
        <w:tc>
          <w:tcPr/>
          <w:p>
            <w:pPr>
              <w:pStyle w:val="Compact"/>
            </w:pPr>
            <w:r>
              <w:rPr>
                <w:sz w:val="17"/>
              </w:rPr>
              <w:t xml:space="preserve">C2</w:t>
            </w:r>
          </w:p>
        </w:tc>
      </w:tr>
      <w:tr>
        <w:tc>
          <w:tcPr>
            <w:shd w:val="clear" w:color="auto" w:fill="F5F7FB"/>
          </w:tcPr>
          <w:p>
            <w:pPr>
              <w:pStyle w:val="Compact"/>
            </w:pPr>
            <w:r>
              <w:rPr>
                <w:b/>
                <w:bCs/>
                <w:sz w:val="17"/>
              </w:rPr>
              <w:t xml:space="preserve">Invitation</w:t>
            </w:r>
          </w:p>
        </w:tc>
        <w:tc>
          <w:tcPr>
            <w:shd w:val="clear" w:color="auto" w:fill="F5F7FB"/>
          </w:tcPr>
          <w:p>
            <w:pPr>
              <w:pStyle w:val="Compact"/>
            </w:pPr>
            <w:r>
              <w:rPr>
                <w:sz w:val="17"/>
              </w:rPr>
              <w:t xml:space="preserve">Invitation nominative</w:t>
            </w:r>
          </w:p>
        </w:tc>
        <w:tc>
          <w:tcPr>
            <w:shd w:val="clear" w:color="auto" w:fill="F5F7FB"/>
          </w:tcPr>
          <w:p>
            <w:pPr>
              <w:pStyle w:val="Compact"/>
            </w:pPr>
            <w:r>
              <w:rPr>
                <w:sz w:val="17"/>
              </w:rPr>
              <w:t xml:space="preserve">inviter, invitee_phone, entity, level, scope, expires_at, reason</w:t>
            </w:r>
          </w:p>
        </w:tc>
        <w:tc>
          <w:tcPr>
            <w:shd w:val="clear" w:color="auto" w:fill="F5F7FB"/>
          </w:tcPr>
          <w:p>
            <w:pPr>
              <w:pStyle w:val="Compact"/>
            </w:pPr>
            <w:r>
              <w:rPr>
                <w:sz w:val="17"/>
              </w:rPr>
              <w:t xml:space="preserve">§ H.6.7</w:t>
            </w:r>
          </w:p>
        </w:tc>
        <w:tc>
          <w:tcPr>
            <w:shd w:val="clear" w:color="auto" w:fill="F5F7FB"/>
          </w:tcPr>
          <w:p>
            <w:pPr>
              <w:pStyle w:val="Compact"/>
            </w:pPr>
            <w:r>
              <w:rPr>
                <w:sz w:val="17"/>
              </w:rPr>
              <w:t xml:space="preserve">C3</w:t>
            </w:r>
          </w:p>
        </w:tc>
      </w:tr>
      <w:tr>
        <w:tc>
          <w:tcPr/>
          <w:p>
            <w:pPr>
              <w:pStyle w:val="Compact"/>
            </w:pPr>
            <w:r>
              <w:rPr>
                <w:b/>
                <w:bCs/>
                <w:sz w:val="17"/>
              </w:rPr>
              <w:t xml:space="preserve">Validation</w:t>
            </w:r>
          </w:p>
        </w:tc>
        <w:tc>
          <w:tcPr/>
          <w:p>
            <w:pPr>
              <w:pStyle w:val="Compact"/>
            </w:pPr>
            <w:r>
              <w:rPr>
                <w:sz w:val="17"/>
              </w:rPr>
              <w:t xml:space="preserve">Seconde validation d’un rôle sensible</w:t>
            </w:r>
          </w:p>
        </w:tc>
        <w:tc>
          <w:tcPr/>
          <w:p>
            <w:pPr>
              <w:pStyle w:val="Compact"/>
            </w:pPr>
            <w:r>
              <w:rPr>
                <w:sz w:val="17"/>
              </w:rPr>
              <w:t xml:space="preserve">account, validator (≠ inviter), decision</w:t>
            </w:r>
          </w:p>
        </w:tc>
        <w:tc>
          <w:tcPr/>
          <w:p>
            <w:pPr>
              <w:pStyle w:val="Compact"/>
            </w:pPr>
            <w:r>
              <w:rPr>
                <w:sz w:val="17"/>
              </w:rPr>
              <w:t xml:space="preserve">DEMANDÉE → ACCORDÉE / REFUSÉE</w:t>
            </w:r>
          </w:p>
        </w:tc>
        <w:tc>
          <w:tcPr/>
          <w:p>
            <w:pPr>
              <w:pStyle w:val="Compact"/>
            </w:pPr>
            <w:r>
              <w:rPr>
                <w:sz w:val="17"/>
              </w:rPr>
              <w:t xml:space="preserve">C2</w:t>
            </w:r>
          </w:p>
        </w:tc>
      </w:tr>
      <w:tr>
        <w:tc>
          <w:tcPr>
            <w:shd w:val="clear" w:color="auto" w:fill="F5F7FB"/>
          </w:tcPr>
          <w:p>
            <w:pPr>
              <w:pStyle w:val="Compact"/>
            </w:pPr>
            <w:r>
              <w:rPr>
                <w:b/>
                <w:bCs/>
                <w:sz w:val="17"/>
              </w:rPr>
              <w:t xml:space="preserve">Subcontractor</w:t>
            </w:r>
          </w:p>
        </w:tc>
        <w:tc>
          <w:tcPr>
            <w:shd w:val="clear" w:color="auto" w:fill="F5F7FB"/>
          </w:tcPr>
          <w:p>
            <w:pPr>
              <w:pStyle w:val="Compact"/>
            </w:pPr>
            <w:r>
              <w:rPr>
                <w:sz w:val="17"/>
              </w:rPr>
              <w:t xml:space="preserve">Sous-traitant accrédité</w:t>
            </w:r>
          </w:p>
        </w:tc>
        <w:tc>
          <w:tcPr>
            <w:shd w:val="clear" w:color="auto" w:fill="F5F7FB"/>
          </w:tcPr>
          <w:p>
            <w:pPr>
              <w:pStyle w:val="Compact"/>
            </w:pPr>
            <w:r>
              <w:rPr>
                <w:sz w:val="17"/>
              </w:rPr>
              <w:t xml:space="preserve">rccm, nif, modules[], probation_until, quality_score</w:t>
            </w:r>
          </w:p>
        </w:tc>
        <w:tc>
          <w:tcPr>
            <w:shd w:val="clear" w:color="auto" w:fill="F5F7FB"/>
          </w:tcPr>
          <w:p>
            <w:pPr>
              <w:pStyle w:val="Compact"/>
            </w:pPr>
            <w:r>
              <w:rPr>
                <w:sz w:val="17"/>
              </w:rPr>
              <w:t xml:space="preserve">§ H.8.4</w:t>
            </w:r>
          </w:p>
        </w:tc>
        <w:tc>
          <w:tcPr>
            <w:shd w:val="clear" w:color="auto" w:fill="F5F7FB"/>
          </w:tcPr>
          <w:p>
            <w:pPr>
              <w:pStyle w:val="Compact"/>
            </w:pPr>
            <w:r>
              <w:rPr>
                <w:sz w:val="17"/>
              </w:rPr>
              <w:t xml:space="preserve">C3</w:t>
            </w:r>
          </w:p>
        </w:tc>
      </w:tr>
      <w:tr>
        <w:tc>
          <w:tcPr/>
          <w:p>
            <w:pPr>
              <w:pStyle w:val="Compact"/>
            </w:pPr>
            <w:r>
              <w:rPr>
                <w:b/>
                <w:bCs/>
                <w:sz w:val="17"/>
              </w:rPr>
              <w:t xml:space="preserve">Lot</w:t>
            </w:r>
          </w:p>
        </w:tc>
        <w:tc>
          <w:tcPr/>
          <w:p>
            <w:pPr>
              <w:pStyle w:val="Compact"/>
            </w:pPr>
            <w:r>
              <w:rPr>
                <w:sz w:val="17"/>
              </w:rPr>
              <w:t xml:space="preserve">Lot de missions</w:t>
            </w:r>
          </w:p>
        </w:tc>
        <w:tc>
          <w:tcPr/>
          <w:p>
            <w:pPr>
              <w:pStyle w:val="Compact"/>
            </w:pPr>
            <w:r>
              <w:rPr>
                <w:sz w:val="17"/>
              </w:rPr>
              <w:t xml:space="preserve">subcontractor, module, zone, period, max_agents</w:t>
            </w:r>
          </w:p>
        </w:tc>
        <w:tc>
          <w:tcPr/>
          <w:p>
            <w:pPr>
              <w:pStyle w:val="Compact"/>
            </w:pPr>
            <w:r>
              <w:rPr>
                <w:sz w:val="17"/>
              </w:rPr>
              <w:t xml:space="preserve">OUVERT → CLOS</w:t>
            </w:r>
          </w:p>
        </w:tc>
        <w:tc>
          <w:tcPr/>
          <w:p>
            <w:pPr>
              <w:pStyle w:val="Compact"/>
            </w:pPr>
            <w:r>
              <w:rPr>
                <w:sz w:val="17"/>
              </w:rPr>
              <w:t xml:space="preserve">C2</w:t>
            </w:r>
          </w:p>
        </w:tc>
      </w:tr>
      <w:tr>
        <w:tc>
          <w:tcPr>
            <w:shd w:val="clear" w:color="auto" w:fill="F5F7FB"/>
          </w:tcPr>
          <w:p>
            <w:pPr>
              <w:pStyle w:val="Compact"/>
            </w:pPr>
            <w:r>
              <w:rPr>
                <w:b/>
                <w:bCs/>
                <w:sz w:val="17"/>
              </w:rPr>
              <w:t xml:space="preserve">AgentBadge</w:t>
            </w:r>
          </w:p>
        </w:tc>
        <w:tc>
          <w:tcPr>
            <w:shd w:val="clear" w:color="auto" w:fill="F5F7FB"/>
          </w:tcPr>
          <w:p>
            <w:pPr>
              <w:pStyle w:val="Compact"/>
            </w:pPr>
            <w:r>
              <w:rPr>
                <w:sz w:val="17"/>
              </w:rPr>
              <w:t xml:space="preserve">Badge d’agent</w:t>
            </w:r>
          </w:p>
        </w:tc>
        <w:tc>
          <w:tcPr>
            <w:shd w:val="clear" w:color="auto" w:fill="F5F7FB"/>
          </w:tcPr>
          <w:p>
            <w:pPr>
              <w:pStyle w:val="Compact"/>
            </w:pPr>
            <w:r>
              <w:rPr>
                <w:sz w:val="17"/>
              </w:rPr>
              <w:t xml:space="preserve">holder, qr_token, short_code, module, zone, period</w:t>
            </w:r>
          </w:p>
        </w:tc>
        <w:tc>
          <w:tcPr>
            <w:shd w:val="clear" w:color="auto" w:fill="F5F7FB"/>
          </w:tcPr>
          <w:p>
            <w:pPr>
              <w:pStyle w:val="Compact"/>
            </w:pPr>
            <w:r>
              <w:rPr>
                <w:sz w:val="17"/>
              </w:rPr>
              <w:t xml:space="preserve">ACTIF → RÉVOQUÉ</w:t>
            </w:r>
          </w:p>
        </w:tc>
        <w:tc>
          <w:tcPr>
            <w:shd w:val="clear" w:color="auto" w:fill="F5F7FB"/>
          </w:tcPr>
          <w:p>
            <w:pPr>
              <w:pStyle w:val="Compact"/>
            </w:pPr>
            <w:r>
              <w:rPr>
                <w:sz w:val="17"/>
              </w:rPr>
              <w:t xml:space="preserve">C2</w:t>
            </w:r>
          </w:p>
        </w:tc>
      </w:tr>
      <w:tr>
        <w:tc>
          <w:tcPr/>
          <w:p>
            <w:pPr>
              <w:pStyle w:val="Compact"/>
            </w:pPr>
            <w:r>
              <w:rPr>
                <w:b/>
                <w:bCs/>
                <w:sz w:val="17"/>
              </w:rPr>
              <w:t xml:space="preserve">MosoloCard</w:t>
            </w:r>
          </w:p>
        </w:tc>
        <w:tc>
          <w:tcPr/>
          <w:p>
            <w:pPr>
              <w:pStyle w:val="Compact"/>
            </w:pPr>
            <w:r>
              <w:rPr>
                <w:sz w:val="17"/>
              </w:rPr>
              <w:t xml:space="preserve">Carte MOSOLO</w:t>
            </w:r>
          </w:p>
        </w:tc>
        <w:tc>
          <w:tcPr/>
          <w:p>
            <w:pPr>
              <w:pStyle w:val="Compact"/>
            </w:pPr>
            <w:r>
              <w:rPr>
                <w:sz w:val="17"/>
              </w:rPr>
              <w:t xml:space="preserve">taxpayer, qr_token, short_code, photo_ref</w:t>
            </w:r>
          </w:p>
        </w:tc>
        <w:tc>
          <w:tcPr/>
          <w:p>
            <w:pPr>
              <w:pStyle w:val="Compact"/>
            </w:pPr>
            <w:r>
              <w:rPr>
                <w:sz w:val="17"/>
              </w:rPr>
              <w:t xml:space="preserve">§ H.7.2</w:t>
            </w:r>
          </w:p>
        </w:tc>
        <w:tc>
          <w:tcPr/>
          <w:p>
            <w:pPr>
              <w:pStyle w:val="Compact"/>
            </w:pPr>
            <w:r>
              <w:rPr>
                <w:sz w:val="17"/>
              </w:rPr>
              <w:t xml:space="preserve">C3</w:t>
            </w:r>
          </w:p>
        </w:tc>
      </w:tr>
      <w:tr>
        <w:tc>
          <w:tcPr>
            <w:shd w:val="clear" w:color="auto" w:fill="F5F7FB"/>
          </w:tcPr>
          <w:p>
            <w:pPr>
              <w:pStyle w:val="Compact"/>
            </w:pPr>
            <w:r>
              <w:rPr>
                <w:b/>
                <w:bCs/>
                <w:sz w:val="17"/>
              </w:rPr>
              <w:t xml:space="preserve">Consent</w:t>
            </w:r>
          </w:p>
        </w:tc>
        <w:tc>
          <w:tcPr>
            <w:shd w:val="clear" w:color="auto" w:fill="F5F7FB"/>
          </w:tcPr>
          <w:p>
            <w:pPr>
              <w:pStyle w:val="Compact"/>
            </w:pPr>
            <w:r>
              <w:rPr>
                <w:sz w:val="17"/>
              </w:rPr>
              <w:t xml:space="preserve">Consentement assisté</w:t>
            </w:r>
          </w:p>
        </w:tc>
        <w:tc>
          <w:tcPr>
            <w:shd w:val="clear" w:color="auto" w:fill="F5F7FB"/>
          </w:tcPr>
          <w:p>
            <w:pPr>
              <w:pStyle w:val="Compact"/>
            </w:pPr>
            <w:r>
              <w:rPr>
                <w:sz w:val="17"/>
              </w:rPr>
              <w:t xml:space="preserve">mode (voix, témoin, empreinte), audio_ref, witness, mission</w:t>
            </w:r>
          </w:p>
        </w:tc>
        <w:tc>
          <w:tcPr>
            <w:shd w:val="clear" w:color="auto" w:fill="F5F7FB"/>
          </w:tcPr>
          <w:p>
            <w:pPr>
              <w:pStyle w:val="Compact"/>
            </w:pPr>
            <w:r>
              <w:rPr>
                <w:sz w:val="17"/>
              </w:rPr>
              <w:t xml:space="preserve">SCELLÉ</w:t>
            </w:r>
          </w:p>
        </w:tc>
        <w:tc>
          <w:tcPr>
            <w:shd w:val="clear" w:color="auto" w:fill="F5F7FB"/>
          </w:tcPr>
          <w:p>
            <w:pPr>
              <w:pStyle w:val="Compact"/>
            </w:pPr>
            <w:r>
              <w:rPr>
                <w:sz w:val="17"/>
              </w:rPr>
              <w:t xml:space="preserve">C5 si empreinte, sinon C4</w:t>
            </w:r>
          </w:p>
        </w:tc>
      </w:tr>
      <w:tr>
        <w:tc>
          <w:tcPr/>
          <w:p>
            <w:pPr>
              <w:pStyle w:val="Compact"/>
            </w:pPr>
            <w:r>
              <w:rPr>
                <w:b/>
                <w:bCs/>
                <w:sz w:val="17"/>
              </w:rPr>
              <w:t xml:space="preserve">PaymentPoint</w:t>
            </w:r>
          </w:p>
        </w:tc>
        <w:tc>
          <w:tcPr/>
          <w:p>
            <w:pPr>
              <w:pStyle w:val="Compact"/>
            </w:pPr>
            <w:r>
              <w:rPr>
                <w:sz w:val="17"/>
              </w:rPr>
              <w:t xml:space="preserve">Point de paiement agréé</w:t>
            </w:r>
          </w:p>
        </w:tc>
        <w:tc>
          <w:tcPr/>
          <w:p>
            <w:pPr>
              <w:pStyle w:val="Compact"/>
            </w:pPr>
            <w:r>
              <w:rPr>
                <w:sz w:val="17"/>
              </w:rPr>
              <w:t xml:space="preserve">provider, location, hours, licence_ref, settlement_delay</w:t>
            </w:r>
          </w:p>
        </w:tc>
        <w:tc>
          <w:tcPr/>
          <w:p>
            <w:pPr>
              <w:pStyle w:val="Compact"/>
            </w:pPr>
            <w:r>
              <w:rPr>
                <w:sz w:val="17"/>
              </w:rPr>
              <w:t xml:space="preserve">RÉFÉRENCÉ → ACTIF → SUSPENDU</w:t>
            </w:r>
          </w:p>
        </w:tc>
        <w:tc>
          <w:tcPr/>
          <w:p>
            <w:pPr>
              <w:pStyle w:val="Compact"/>
            </w:pPr>
            <w:r>
              <w:rPr>
                <w:sz w:val="17"/>
              </w:rPr>
              <w:t xml:space="preserve">C1</w:t>
            </w:r>
          </w:p>
        </w:tc>
      </w:tr>
      <w:tr>
        <w:tc>
          <w:tcPr>
            <w:shd w:val="clear" w:color="auto" w:fill="F5F7FB"/>
          </w:tcPr>
          <w:p>
            <w:pPr>
              <w:pStyle w:val="Compact"/>
            </w:pPr>
            <w:r>
              <w:rPr>
                <w:b/>
                <w:bCs/>
                <w:sz w:val="17"/>
              </w:rPr>
              <w:t xml:space="preserve">Report</w:t>
            </w:r>
          </w:p>
        </w:tc>
        <w:tc>
          <w:tcPr>
            <w:shd w:val="clear" w:color="auto" w:fill="F5F7FB"/>
          </w:tcPr>
          <w:p>
            <w:pPr>
              <w:pStyle w:val="Compact"/>
            </w:pPr>
            <w:r>
              <w:rPr>
                <w:sz w:val="17"/>
              </w:rPr>
              <w:t xml:space="preserve">Signalement</w:t>
            </w:r>
          </w:p>
        </w:tc>
        <w:tc>
          <w:tcPr>
            <w:shd w:val="clear" w:color="auto" w:fill="F5F7FB"/>
          </w:tcPr>
          <w:p>
            <w:pPr>
              <w:pStyle w:val="Compact"/>
            </w:pPr>
            <w:r>
              <w:rPr>
                <w:sz w:val="17"/>
              </w:rPr>
              <w:t xml:space="preserve">channel, anonymous, category, status, investigator</w:t>
            </w:r>
          </w:p>
        </w:tc>
        <w:tc>
          <w:tcPr>
            <w:shd w:val="clear" w:color="auto" w:fill="F5F7FB"/>
          </w:tcPr>
          <w:p>
            <w:pPr>
              <w:pStyle w:val="Compact"/>
            </w:pPr>
            <w:r>
              <w:rPr>
                <w:sz w:val="17"/>
              </w:rPr>
              <w:t xml:space="preserve">REÇU → QUALIFIÉ → TRANSMIS → CLOS</w:t>
            </w:r>
          </w:p>
        </w:tc>
        <w:tc>
          <w:tcPr>
            <w:shd w:val="clear" w:color="auto" w:fill="F5F7FB"/>
          </w:tcPr>
          <w:p>
            <w:pPr>
              <w:pStyle w:val="Compact"/>
            </w:pPr>
            <w:r>
              <w:rPr>
                <w:sz w:val="17"/>
              </w:rPr>
              <w:t xml:space="preserve">C5</w:t>
            </w:r>
          </w:p>
        </w:tc>
      </w:tr>
      <w:tr>
        <w:tc>
          <w:tcPr/>
          <w:p>
            <w:pPr>
              <w:pStyle w:val="Compact"/>
            </w:pPr>
            <w:r>
              <w:rPr>
                <w:b/>
                <w:bCs/>
                <w:sz w:val="17"/>
              </w:rPr>
              <w:t xml:space="preserve">MysteryCheck</w:t>
            </w:r>
          </w:p>
        </w:tc>
        <w:tc>
          <w:tcPr/>
          <w:p>
            <w:pPr>
              <w:pStyle w:val="Compact"/>
            </w:pPr>
            <w:r>
              <w:rPr>
                <w:sz w:val="17"/>
              </w:rPr>
              <w:t xml:space="preserve">Contrôle mystère</w:t>
            </w:r>
          </w:p>
        </w:tc>
        <w:tc>
          <w:tcPr/>
          <w:p>
            <w:pPr>
              <w:pStyle w:val="Compact"/>
            </w:pPr>
            <w:r>
              <w:rPr>
                <w:sz w:val="17"/>
              </w:rPr>
              <w:t xml:space="preserve">target, date, result</w:t>
            </w:r>
          </w:p>
        </w:tc>
        <w:tc>
          <w:tcPr/>
          <w:p>
            <w:pPr>
              <w:pStyle w:val="Compact"/>
            </w:pPr>
            <w:r>
              <w:rPr>
                <w:sz w:val="17"/>
              </w:rPr>
              <w:t xml:space="preserve">PLANIFIÉ → RÉALISÉ</w:t>
            </w:r>
          </w:p>
        </w:tc>
        <w:tc>
          <w:tcPr/>
          <w:p>
            <w:pPr>
              <w:pStyle w:val="Compact"/>
            </w:pPr>
            <w:r>
              <w:rPr>
                <w:sz w:val="17"/>
              </w:rPr>
              <w:t xml:space="preserve">C4</w:t>
            </w:r>
          </w:p>
        </w:tc>
      </w:tr>
      <w:tr>
        <w:tc>
          <w:tcPr>
            <w:shd w:val="clear" w:color="auto" w:fill="F5F7FB"/>
          </w:tcPr>
          <w:p>
            <w:pPr>
              <w:pStyle w:val="Compact"/>
            </w:pPr>
            <w:r>
              <w:rPr>
                <w:b/>
                <w:bCs/>
                <w:sz w:val="17"/>
              </w:rPr>
              <w:t xml:space="preserve">CredentialType</w:t>
            </w:r>
          </w:p>
        </w:tc>
        <w:tc>
          <w:tcPr>
            <w:shd w:val="clear" w:color="auto" w:fill="F5F7FB"/>
          </w:tcPr>
          <w:p>
            <w:pPr>
              <w:pStyle w:val="Compact"/>
            </w:pPr>
            <w:r>
              <w:rPr>
                <w:sz w:val="17"/>
              </w:rPr>
              <w:t xml:space="preserve">Type de titre</w:t>
            </w:r>
          </w:p>
        </w:tc>
        <w:tc>
          <w:tcPr>
            <w:shd w:val="clear" w:color="auto" w:fill="F5F7FB"/>
          </w:tcPr>
          <w:p>
            <w:pPr>
              <w:pStyle w:val="Compact"/>
            </w:pPr>
            <w:r>
              <w:rPr>
                <w:sz w:val="17"/>
              </w:rPr>
              <w:t xml:space="preserve">module, prefix, validity_model, amber_threshold, transferable</w:t>
            </w:r>
          </w:p>
        </w:tc>
        <w:tc>
          <w:tcPr>
            <w:shd w:val="clear" w:color="auto" w:fill="F5F7FB"/>
          </w:tcPr>
          <w:p>
            <w:pPr>
              <w:pStyle w:val="Compact"/>
            </w:pPr>
            <w:r>
              <w:rPr>
                <w:sz w:val="17"/>
              </w:rPr>
              <w:t xml:space="preserve">Versionné</w:t>
            </w:r>
          </w:p>
        </w:tc>
        <w:tc>
          <w:tcPr>
            <w:shd w:val="clear" w:color="auto" w:fill="F5F7FB"/>
          </w:tcPr>
          <w:p>
            <w:pPr>
              <w:pStyle w:val="Compact"/>
            </w:pPr>
            <w:r>
              <w:rPr>
                <w:sz w:val="17"/>
              </w:rPr>
              <w:t xml:space="preserve">C1</w:t>
            </w:r>
          </w:p>
        </w:tc>
      </w:tr>
      <w:tr>
        <w:tc>
          <w:tcPr/>
          <w:p>
            <w:pPr>
              <w:pStyle w:val="Compact"/>
            </w:pPr>
            <w:r>
              <w:rPr>
                <w:b/>
                <w:bCs/>
                <w:sz w:val="17"/>
              </w:rPr>
              <w:t xml:space="preserve">ValidityPolicy</w:t>
            </w:r>
          </w:p>
        </w:tc>
        <w:tc>
          <w:tcPr/>
          <w:p>
            <w:pPr>
              <w:pStyle w:val="Compact"/>
            </w:pPr>
            <w:r>
              <w:rPr>
                <w:sz w:val="17"/>
              </w:rPr>
              <w:t xml:space="preserve">Modèle de validité</w:t>
            </w:r>
          </w:p>
        </w:tc>
        <w:tc>
          <w:tcPr/>
          <w:p>
            <w:pPr>
              <w:pStyle w:val="Compact"/>
            </w:pPr>
            <w:r>
              <w:rPr>
                <w:sz w:val="17"/>
              </w:rPr>
              <w:t xml:space="preserve">model, timezone, tolerance, extension_rules</w:t>
            </w:r>
          </w:p>
        </w:tc>
        <w:tc>
          <w:tcPr/>
          <w:p>
            <w:pPr>
              <w:pStyle w:val="Compact"/>
            </w:pPr>
            <w:r>
              <w:rPr>
                <w:sz w:val="17"/>
              </w:rPr>
              <w:t xml:space="preserve">Versionnée</w:t>
            </w:r>
          </w:p>
        </w:tc>
        <w:tc>
          <w:tcPr/>
          <w:p>
            <w:pPr>
              <w:pStyle w:val="Compact"/>
            </w:pPr>
            <w:r>
              <w:rPr>
                <w:sz w:val="17"/>
              </w:rPr>
              <w:t xml:space="preserve">C1</w:t>
            </w:r>
          </w:p>
        </w:tc>
      </w:tr>
      <w:tr>
        <w:tc>
          <w:tcPr>
            <w:shd w:val="clear" w:color="auto" w:fill="F5F7FB"/>
          </w:tcPr>
          <w:p>
            <w:pPr>
              <w:pStyle w:val="Compact"/>
            </w:pPr>
            <w:r>
              <w:rPr>
                <w:b/>
                <w:bCs/>
                <w:sz w:val="17"/>
              </w:rPr>
              <w:t xml:space="preserve">Credential</w:t>
            </w:r>
          </w:p>
        </w:tc>
        <w:tc>
          <w:tcPr>
            <w:shd w:val="clear" w:color="auto" w:fill="F5F7FB"/>
          </w:tcPr>
          <w:p>
            <w:pPr>
              <w:pStyle w:val="Compact"/>
            </w:pPr>
            <w:r>
              <w:rPr>
                <w:sz w:val="17"/>
              </w:rPr>
              <w:t xml:space="preserve">Titre</w:t>
            </w:r>
          </w:p>
        </w:tc>
        <w:tc>
          <w:tcPr>
            <w:shd w:val="clear" w:color="auto" w:fill="F5F7FB"/>
          </w:tcPr>
          <w:p>
            <w:pPr>
              <w:pStyle w:val="Compact"/>
            </w:pPr>
            <w:r>
              <w:rPr>
                <w:sz w:val="17"/>
              </w:rPr>
              <w:t xml:space="preserve">type, holder, object_or_plate, starts_at, ends_at, receipt_or_exemption, token</w:t>
            </w:r>
          </w:p>
        </w:tc>
        <w:tc>
          <w:tcPr>
            <w:shd w:val="clear" w:color="auto" w:fill="F5F7FB"/>
          </w:tcPr>
          <w:p>
            <w:pPr>
              <w:pStyle w:val="Compact"/>
            </w:pPr>
            <w:r>
              <w:rPr>
                <w:sz w:val="17"/>
              </w:rPr>
              <w:t xml:space="preserve">§ H.11.7</w:t>
            </w:r>
          </w:p>
        </w:tc>
        <w:tc>
          <w:tcPr>
            <w:shd w:val="clear" w:color="auto" w:fill="F5F7FB"/>
          </w:tcPr>
          <w:p>
            <w:pPr>
              <w:pStyle w:val="Compact"/>
            </w:pPr>
            <w:r>
              <w:rPr>
                <w:sz w:val="17"/>
              </w:rPr>
              <w:t xml:space="preserve">C3</w:t>
            </w:r>
          </w:p>
        </w:tc>
      </w:tr>
      <w:tr>
        <w:tc>
          <w:tcPr/>
          <w:p>
            <w:pPr>
              <w:pStyle w:val="Compact"/>
            </w:pPr>
            <w:r>
              <w:rPr>
                <w:b/>
                <w:bCs/>
                <w:sz w:val="17"/>
              </w:rPr>
              <w:t xml:space="preserve">UsageEvent</w:t>
            </w:r>
          </w:p>
        </w:tc>
        <w:tc>
          <w:tcPr/>
          <w:p>
            <w:pPr>
              <w:pStyle w:val="Compact"/>
            </w:pPr>
            <w:r>
              <w:rPr>
                <w:sz w:val="17"/>
              </w:rPr>
              <w:t xml:space="preserve">Consommation d’un usage</w:t>
            </w:r>
          </w:p>
        </w:tc>
        <w:tc>
          <w:tcPr/>
          <w:p>
            <w:pPr>
              <w:pStyle w:val="Compact"/>
            </w:pPr>
            <w:r>
              <w:rPr>
                <w:sz w:val="17"/>
              </w:rPr>
              <w:t xml:space="preserve">credential, time, place, device</w:t>
            </w:r>
          </w:p>
        </w:tc>
        <w:tc>
          <w:tcPr/>
          <w:p>
            <w:pPr>
              <w:pStyle w:val="Compact"/>
            </w:pPr>
            <w:r>
              <w:rPr>
                <w:sz w:val="17"/>
              </w:rPr>
              <w:t xml:space="preserve">Ajout seul</w:t>
            </w:r>
          </w:p>
        </w:tc>
        <w:tc>
          <w:tcPr/>
          <w:p>
            <w:pPr>
              <w:pStyle w:val="Compact"/>
            </w:pPr>
            <w:r>
              <w:rPr>
                <w:sz w:val="17"/>
              </w:rPr>
              <w:t xml:space="preserve">C3</w:t>
            </w:r>
          </w:p>
        </w:tc>
      </w:tr>
      <w:tr>
        <w:tc>
          <w:tcPr>
            <w:shd w:val="clear" w:color="auto" w:fill="F5F7FB"/>
          </w:tcPr>
          <w:p>
            <w:pPr>
              <w:pStyle w:val="Compact"/>
            </w:pPr>
            <w:r>
              <w:rPr>
                <w:b/>
                <w:bCs/>
                <w:sz w:val="17"/>
              </w:rPr>
              <w:t xml:space="preserve">VerificationEvent</w:t>
            </w:r>
          </w:p>
        </w:tc>
        <w:tc>
          <w:tcPr>
            <w:shd w:val="clear" w:color="auto" w:fill="F5F7FB"/>
          </w:tcPr>
          <w:p>
            <w:pPr>
              <w:pStyle w:val="Compact"/>
            </w:pPr>
            <w:r>
              <w:rPr>
                <w:sz w:val="17"/>
              </w:rPr>
              <w:t xml:space="preserve">Contrôle d’un titre</w:t>
            </w:r>
          </w:p>
        </w:tc>
        <w:tc>
          <w:tcPr>
            <w:shd w:val="clear" w:color="auto" w:fill="F5F7FB"/>
          </w:tcPr>
          <w:p>
            <w:pPr>
              <w:pStyle w:val="Compact"/>
            </w:pPr>
            <w:r>
              <w:rPr>
                <w:sz w:val="17"/>
              </w:rPr>
              <w:t xml:space="preserve">credential, controller, gps, result, offline</w:t>
            </w:r>
          </w:p>
        </w:tc>
        <w:tc>
          <w:tcPr>
            <w:shd w:val="clear" w:color="auto" w:fill="F5F7FB"/>
          </w:tcPr>
          <w:p>
            <w:pPr>
              <w:pStyle w:val="Compact"/>
            </w:pPr>
            <w:r>
              <w:rPr>
                <w:sz w:val="17"/>
              </w:rPr>
              <w:t xml:space="preserve">Ajout seul</w:t>
            </w:r>
          </w:p>
        </w:tc>
        <w:tc>
          <w:tcPr>
            <w:shd w:val="clear" w:color="auto" w:fill="F5F7FB"/>
          </w:tcPr>
          <w:p>
            <w:pPr>
              <w:pStyle w:val="Compact"/>
            </w:pPr>
            <w:r>
              <w:rPr>
                <w:sz w:val="17"/>
              </w:rPr>
              <w:t xml:space="preserve">C3</w:t>
            </w:r>
          </w:p>
        </w:tc>
      </w:tr>
      <w:tr>
        <w:tc>
          <w:tcPr/>
          <w:p>
            <w:pPr>
              <w:pStyle w:val="Compact"/>
            </w:pPr>
            <w:r>
              <w:rPr>
                <w:b/>
                <w:bCs/>
                <w:sz w:val="17"/>
              </w:rPr>
              <w:t xml:space="preserve">Revocation</w:t>
            </w:r>
          </w:p>
        </w:tc>
        <w:tc>
          <w:tcPr/>
          <w:p>
            <w:pPr>
              <w:pStyle w:val="Compact"/>
            </w:pPr>
            <w:r>
              <w:rPr>
                <w:sz w:val="17"/>
              </w:rPr>
              <w:t xml:space="preserve">Révocation (titre, carte, badge, quittance)</w:t>
            </w:r>
          </w:p>
        </w:tc>
        <w:tc>
          <w:tcPr/>
          <w:p>
            <w:pPr>
              <w:pStyle w:val="Compact"/>
            </w:pPr>
            <w:r>
              <w:rPr>
                <w:sz w:val="17"/>
              </w:rPr>
              <w:t xml:space="preserve">target, reason, time</w:t>
            </w:r>
          </w:p>
        </w:tc>
        <w:tc>
          <w:tcPr/>
          <w:p>
            <w:pPr>
              <w:pStyle w:val="Compact"/>
            </w:pPr>
            <w:r>
              <w:rPr>
                <w:sz w:val="17"/>
              </w:rPr>
              <w:t xml:space="preserve">Ajout seul ; liste signée</w:t>
            </w:r>
          </w:p>
        </w:tc>
        <w:tc>
          <w:tcPr/>
          <w:p>
            <w:pPr>
              <w:pStyle w:val="Compact"/>
            </w:pPr>
            <w:r>
              <w:rPr>
                <w:sz w:val="17"/>
              </w:rPr>
              <w:t xml:space="preserve">C2</w:t>
            </w:r>
          </w:p>
        </w:tc>
      </w:tr>
      <w:tr>
        <w:tc>
          <w:tcPr>
            <w:shd w:val="clear" w:color="auto" w:fill="F5F7FB"/>
          </w:tcPr>
          <w:p>
            <w:pPr>
              <w:pStyle w:val="Compact"/>
            </w:pPr>
            <w:r>
              <w:rPr>
                <w:b/>
                <w:bCs/>
                <w:sz w:val="17"/>
              </w:rPr>
              <w:t xml:space="preserve">Merchant</w:t>
            </w:r>
          </w:p>
        </w:tc>
        <w:tc>
          <w:tcPr>
            <w:shd w:val="clear" w:color="auto" w:fill="F5F7FB"/>
          </w:tcPr>
          <w:p>
            <w:pPr>
              <w:pStyle w:val="Compact"/>
            </w:pPr>
            <w:r>
              <w:rPr>
                <w:sz w:val="17"/>
              </w:rPr>
              <w:t xml:space="preserve">Opérateur de billetterie</w:t>
            </w:r>
          </w:p>
        </w:tc>
        <w:tc>
          <w:tcPr>
            <w:shd w:val="clear" w:color="auto" w:fill="F5F7FB"/>
          </w:tcPr>
          <w:p>
            <w:pPr>
              <w:pStyle w:val="Compact"/>
            </w:pPr>
            <w:r>
              <w:rPr>
                <w:sz w:val="17"/>
              </w:rPr>
              <w:t xml:space="preserve">entity, type (public/privé), catalogue, commission_contract_ref</w:t>
            </w:r>
          </w:p>
        </w:tc>
        <w:tc>
          <w:tcPr>
            <w:shd w:val="clear" w:color="auto" w:fill="F5F7FB"/>
          </w:tcPr>
          <w:p>
            <w:pPr>
              <w:pStyle w:val="Compact"/>
            </w:pPr>
            <w:r>
              <w:rPr>
                <w:sz w:val="17"/>
              </w:rPr>
              <w:t xml:space="preserve">ACCRÉDITÉ → SUSPENDU</w:t>
            </w:r>
          </w:p>
        </w:tc>
        <w:tc>
          <w:tcPr>
            <w:shd w:val="clear" w:color="auto" w:fill="F5F7FB"/>
          </w:tcPr>
          <w:p>
            <w:pPr>
              <w:pStyle w:val="Compact"/>
            </w:pPr>
            <w:r>
              <w:rPr>
                <w:sz w:val="17"/>
              </w:rPr>
              <w:t xml:space="preserve">C2</w:t>
            </w:r>
          </w:p>
        </w:tc>
      </w:tr>
      <w:tr>
        <w:tc>
          <w:tcPr/>
          <w:p>
            <w:pPr>
              <w:pStyle w:val="Compact"/>
            </w:pPr>
            <w:r>
              <w:rPr>
                <w:b/>
                <w:bCs/>
                <w:sz w:val="17"/>
              </w:rPr>
              <w:t xml:space="preserve">Ticket</w:t>
            </w:r>
          </w:p>
        </w:tc>
        <w:tc>
          <w:tcPr/>
          <w:p>
            <w:pPr>
              <w:pStyle w:val="Compact"/>
            </w:pPr>
            <w:r>
              <w:rPr>
                <w:sz w:val="17"/>
              </w:rPr>
              <w:t xml:space="preserve">Ticket de billetterie</w:t>
            </w:r>
          </w:p>
        </w:tc>
        <w:tc>
          <w:tcPr/>
          <w:p>
            <w:pPr>
              <w:pStyle w:val="Compact"/>
            </w:pPr>
            <w:r>
              <w:rPr>
                <w:sz w:val="17"/>
              </w:rPr>
              <w:t xml:space="preserve">merchant, service, location, validity, qr</w:t>
            </w:r>
          </w:p>
        </w:tc>
        <w:tc>
          <w:tcPr/>
          <w:p>
            <w:pPr>
              <w:pStyle w:val="Compact"/>
            </w:pPr>
            <w:r>
              <w:rPr>
                <w:sz w:val="17"/>
              </w:rPr>
              <w:t xml:space="preserve">= Credential</w:t>
            </w:r>
          </w:p>
        </w:tc>
        <w:tc>
          <w:tcPr/>
          <w:p>
            <w:pPr>
              <w:pStyle w:val="Compact"/>
            </w:pPr>
            <w:r>
              <w:rPr>
                <w:sz w:val="17"/>
              </w:rPr>
              <w:t xml:space="preserve">C3</w:t>
            </w:r>
          </w:p>
        </w:tc>
      </w:tr>
      <w:tr>
        <w:tc>
          <w:tcPr>
            <w:shd w:val="clear" w:color="auto" w:fill="F5F7FB"/>
          </w:tcPr>
          <w:p>
            <w:pPr>
              <w:pStyle w:val="Compact"/>
            </w:pPr>
            <w:r>
              <w:rPr>
                <w:b/>
                <w:bCs/>
                <w:sz w:val="17"/>
              </w:rPr>
              <w:t xml:space="preserve">ParkingZone</w:t>
            </w:r>
          </w:p>
        </w:tc>
        <w:tc>
          <w:tcPr>
            <w:shd w:val="clear" w:color="auto" w:fill="F5F7FB"/>
          </w:tcPr>
          <w:p>
            <w:pPr>
              <w:pStyle w:val="Compact"/>
            </w:pPr>
            <w:r>
              <w:rPr>
                <w:sz w:val="17"/>
              </w:rPr>
              <w:t xml:space="preserve">Zone de stationnement</w:t>
            </w:r>
          </w:p>
        </w:tc>
        <w:tc>
          <w:tcPr>
            <w:shd w:val="clear" w:color="auto" w:fill="F5F7FB"/>
          </w:tcPr>
          <w:p>
            <w:pPr>
              <w:pStyle w:val="Compact"/>
            </w:pPr>
            <w:r>
              <w:rPr>
                <w:sz w:val="17"/>
              </w:rPr>
              <w:t xml:space="preserve">geometry, tariff_rule, decree_ref</w:t>
            </w:r>
          </w:p>
        </w:tc>
        <w:tc>
          <w:tcPr>
            <w:shd w:val="clear" w:color="auto" w:fill="F5F7FB"/>
          </w:tcPr>
          <w:p>
            <w:pPr>
              <w:pStyle w:val="Compact"/>
            </w:pPr>
            <w:r>
              <w:rPr>
                <w:sz w:val="17"/>
              </w:rPr>
              <w:t xml:space="preserve">ACTIVE (après acte)</w:t>
            </w:r>
          </w:p>
        </w:tc>
        <w:tc>
          <w:tcPr>
            <w:shd w:val="clear" w:color="auto" w:fill="F5F7FB"/>
          </w:tcPr>
          <w:p>
            <w:pPr>
              <w:pStyle w:val="Compact"/>
            </w:pPr>
            <w:r>
              <w:rPr>
                <w:sz w:val="17"/>
              </w:rPr>
              <w:t xml:space="preserve">C1</w:t>
            </w:r>
          </w:p>
        </w:tc>
      </w:tr>
      <w:tr>
        <w:tc>
          <w:tcPr/>
          <w:p>
            <w:pPr>
              <w:pStyle w:val="Compact"/>
            </w:pPr>
            <w:r>
              <w:rPr>
                <w:b/>
                <w:bCs/>
                <w:sz w:val="17"/>
              </w:rPr>
              <w:t xml:space="preserve">ParkingSession</w:t>
            </w:r>
          </w:p>
        </w:tc>
        <w:tc>
          <w:tcPr/>
          <w:p>
            <w:pPr>
              <w:pStyle w:val="Compact"/>
            </w:pPr>
            <w:r>
              <w:rPr>
                <w:sz w:val="17"/>
              </w:rPr>
              <w:t xml:space="preserve">Session de stationnement</w:t>
            </w:r>
          </w:p>
        </w:tc>
        <w:tc>
          <w:tcPr/>
          <w:p>
            <w:pPr>
              <w:pStyle w:val="Compact"/>
            </w:pPr>
            <w:r>
              <w:rPr>
                <w:sz w:val="17"/>
              </w:rPr>
              <w:t xml:space="preserve">plate, zone, start, end, credential</w:t>
            </w:r>
          </w:p>
        </w:tc>
        <w:tc>
          <w:tcPr/>
          <w:p>
            <w:pPr>
              <w:pStyle w:val="Compact"/>
            </w:pPr>
            <w:r>
              <w:rPr>
                <w:sz w:val="17"/>
              </w:rPr>
              <w:t xml:space="preserve">OUVERTE → CLOSE</w:t>
            </w:r>
          </w:p>
        </w:tc>
        <w:tc>
          <w:tcPr/>
          <w:p>
            <w:pPr>
              <w:pStyle w:val="Compact"/>
            </w:pPr>
            <w:r>
              <w:rPr>
                <w:sz w:val="17"/>
              </w:rPr>
              <w:t xml:space="preserve">C3</w:t>
            </w:r>
          </w:p>
        </w:tc>
      </w:tr>
      <w:tr>
        <w:tc>
          <w:tcPr>
            <w:shd w:val="clear" w:color="auto" w:fill="F5F7FB"/>
          </w:tcPr>
          <w:p>
            <w:pPr>
              <w:pStyle w:val="Compact"/>
            </w:pPr>
            <w:r>
              <w:rPr>
                <w:b/>
                <w:bCs/>
                <w:sz w:val="17"/>
              </w:rPr>
              <w:t xml:space="preserve">Reservation</w:t>
            </w:r>
          </w:p>
        </w:tc>
        <w:tc>
          <w:tcPr>
            <w:shd w:val="clear" w:color="auto" w:fill="F5F7FB"/>
          </w:tcPr>
          <w:p>
            <w:pPr>
              <w:pStyle w:val="Compact"/>
            </w:pPr>
            <w:r>
              <w:rPr>
                <w:sz w:val="17"/>
              </w:rPr>
              <w:t xml:space="preserve">Réservation de voirie</w:t>
            </w:r>
          </w:p>
        </w:tc>
        <w:tc>
          <w:tcPr>
            <w:shd w:val="clear" w:color="auto" w:fill="F5F7FB"/>
          </w:tcPr>
          <w:p>
            <w:pPr>
              <w:pStyle w:val="Compact"/>
            </w:pPr>
            <w:r>
              <w:rPr>
                <w:sz w:val="17"/>
              </w:rPr>
              <w:t xml:space="preserve">purpose, zone, period, applicant</w:t>
            </w:r>
          </w:p>
        </w:tc>
        <w:tc>
          <w:tcPr>
            <w:shd w:val="clear" w:color="auto" w:fill="F5F7FB"/>
          </w:tcPr>
          <w:p>
            <w:pPr>
              <w:pStyle w:val="Compact"/>
            </w:pPr>
            <w:r>
              <w:rPr>
                <w:sz w:val="17"/>
              </w:rPr>
              <w:t xml:space="preserve">DEMANDÉE → ACCORDÉE → CLOSE</w:t>
            </w:r>
          </w:p>
        </w:tc>
        <w:tc>
          <w:tcPr>
            <w:shd w:val="clear" w:color="auto" w:fill="F5F7FB"/>
          </w:tcPr>
          <w:p>
            <w:pPr>
              <w:pStyle w:val="Compact"/>
            </w:pPr>
            <w:r>
              <w:rPr>
                <w:sz w:val="17"/>
              </w:rPr>
              <w:t xml:space="preserve">C3</w:t>
            </w:r>
          </w:p>
        </w:tc>
      </w:tr>
      <w:tr>
        <w:tc>
          <w:tcPr/>
          <w:p>
            <w:pPr>
              <w:pStyle w:val="Compact"/>
            </w:pPr>
            <w:r>
              <w:rPr>
                <w:b/>
                <w:bCs/>
                <w:sz w:val="17"/>
              </w:rPr>
              <w:t xml:space="preserve">AdvertisingPanel</w:t>
            </w:r>
          </w:p>
        </w:tc>
        <w:tc>
          <w:tcPr/>
          <w:p>
            <w:pPr>
              <w:pStyle w:val="Compact"/>
            </w:pPr>
            <w:r>
              <w:rPr>
                <w:sz w:val="17"/>
              </w:rPr>
              <w:t xml:space="preserve">Support publicitaire</w:t>
            </w:r>
          </w:p>
        </w:tc>
        <w:tc>
          <w:tcPr/>
          <w:p>
            <w:pPr>
              <w:pStyle w:val="Compact"/>
            </w:pPr>
            <w:r>
              <w:rPr>
                <w:sz w:val="17"/>
              </w:rPr>
              <w:t xml:space="preserve">(= Advertisement, § 29.3) + authorization_ref, qr</w:t>
            </w:r>
          </w:p>
        </w:tc>
        <w:tc>
          <w:tcPr/>
          <w:p>
            <w:pPr>
              <w:pStyle w:val="Compact"/>
            </w:pPr>
            <w:r>
              <w:rPr>
                <w:sz w:val="17"/>
              </w:rPr>
              <w:t xml:space="preserve">—</w:t>
            </w:r>
          </w:p>
        </w:tc>
        <w:tc>
          <w:tcPr/>
          <w:p>
            <w:pPr>
              <w:pStyle w:val="Compact"/>
            </w:pPr>
            <w:r>
              <w:rPr>
                <w:sz w:val="17"/>
              </w:rPr>
              <w:t xml:space="preserve">C2</w:t>
            </w:r>
          </w:p>
        </w:tc>
      </w:tr>
      <w:tr>
        <w:tc>
          <w:tcPr>
            <w:shd w:val="clear" w:color="auto" w:fill="F5F7FB"/>
          </w:tcPr>
          <w:p>
            <w:pPr>
              <w:pStyle w:val="Compact"/>
            </w:pPr>
            <w:r>
              <w:rPr>
                <w:b/>
                <w:bCs/>
                <w:sz w:val="17"/>
              </w:rPr>
              <w:t xml:space="preserve">InspectionCase</w:t>
            </w:r>
          </w:p>
        </w:tc>
        <w:tc>
          <w:tcPr>
            <w:shd w:val="clear" w:color="auto" w:fill="F5F7FB"/>
          </w:tcPr>
          <w:p>
            <w:pPr>
              <w:pStyle w:val="Compact"/>
            </w:pPr>
            <w:r>
              <w:rPr>
                <w:sz w:val="17"/>
              </w:rPr>
              <w:t xml:space="preserve">Dossier de constat</w:t>
            </w:r>
          </w:p>
        </w:tc>
        <w:tc>
          <w:tcPr>
            <w:shd w:val="clear" w:color="auto" w:fill="F5F7FB"/>
          </w:tcPr>
          <w:p>
            <w:pPr>
              <w:pStyle w:val="Compact"/>
            </w:pPr>
            <w:r>
              <w:rPr>
                <w:sz w:val="17"/>
              </w:rPr>
              <w:t xml:space="preserve">controller, evidence[], presumed_nature, supervisor, authority_decision</w:t>
            </w:r>
          </w:p>
        </w:tc>
        <w:tc>
          <w:tcPr>
            <w:shd w:val="clear" w:color="auto" w:fill="F5F7FB"/>
          </w:tcPr>
          <w:p>
            <w:pPr>
              <w:pStyle w:val="Compact"/>
            </w:pPr>
            <w:r>
              <w:rPr>
                <w:sz w:val="17"/>
              </w:rPr>
              <w:t xml:space="preserve">OUVERT → VALIDÉ / CLASSÉ → NOTIFIÉ</w:t>
            </w:r>
          </w:p>
        </w:tc>
        <w:tc>
          <w:tcPr>
            <w:shd w:val="clear" w:color="auto" w:fill="F5F7FB"/>
          </w:tcPr>
          <w:p>
            <w:pPr>
              <w:pStyle w:val="Compact"/>
            </w:pPr>
            <w:r>
              <w:rPr>
                <w:sz w:val="17"/>
              </w:rPr>
              <w:t xml:space="preserve">C4</w:t>
            </w:r>
          </w:p>
        </w:tc>
      </w:tr>
      <w:tr>
        <w:tc>
          <w:tcPr/>
          <w:p>
            <w:pPr>
              <w:pStyle w:val="Compact"/>
            </w:pPr>
            <w:r>
              <w:rPr>
                <w:b/>
                <w:bCs/>
                <w:sz w:val="17"/>
              </w:rPr>
              <w:t xml:space="preserve">Motorbike</w:t>
            </w:r>
          </w:p>
        </w:tc>
        <w:tc>
          <w:tcPr/>
          <w:p>
            <w:pPr>
              <w:pStyle w:val="Compact"/>
            </w:pPr>
            <w:r>
              <w:rPr>
                <w:sz w:val="17"/>
              </w:rPr>
              <w:t xml:space="preserve">Moto (wewa)</w:t>
            </w:r>
          </w:p>
        </w:tc>
        <w:tc>
          <w:tcPr/>
          <w:p>
            <w:pPr>
              <w:pStyle w:val="Compact"/>
            </w:pPr>
            <w:r>
              <w:rPr>
                <w:sz w:val="17"/>
              </w:rPr>
              <w:t xml:space="preserve">plate, order_number, owner, commune</w:t>
            </w:r>
          </w:p>
        </w:tc>
        <w:tc>
          <w:tcPr/>
          <w:p>
            <w:pPr>
              <w:pStyle w:val="Compact"/>
            </w:pPr>
            <w:r>
              <w:rPr>
                <w:sz w:val="17"/>
              </w:rPr>
              <w:t xml:space="preserve">ACTIVE → RETIRÉE</w:t>
            </w:r>
          </w:p>
        </w:tc>
        <w:tc>
          <w:tcPr/>
          <w:p>
            <w:pPr>
              <w:pStyle w:val="Compact"/>
            </w:pPr>
            <w:r>
              <w:rPr>
                <w:sz w:val="17"/>
              </w:rPr>
              <w:t xml:space="preserve">C3</w:t>
            </w:r>
          </w:p>
        </w:tc>
      </w:tr>
      <w:tr>
        <w:tc>
          <w:tcPr>
            <w:shd w:val="clear" w:color="auto" w:fill="F5F7FB"/>
          </w:tcPr>
          <w:p>
            <w:pPr>
              <w:pStyle w:val="Compact"/>
            </w:pPr>
            <w:r>
              <w:rPr>
                <w:b/>
                <w:bCs/>
                <w:sz w:val="17"/>
              </w:rPr>
              <w:t xml:space="preserve">Driver</w:t>
            </w:r>
          </w:p>
        </w:tc>
        <w:tc>
          <w:tcPr>
            <w:shd w:val="clear" w:color="auto" w:fill="F5F7FB"/>
          </w:tcPr>
          <w:p>
            <w:pPr>
              <w:pStyle w:val="Compact"/>
            </w:pPr>
            <w:r>
              <w:rPr>
                <w:sz w:val="17"/>
              </w:rPr>
              <w:t xml:space="preserve">Conducteur</w:t>
            </w:r>
          </w:p>
        </w:tc>
        <w:tc>
          <w:tcPr>
            <w:shd w:val="clear" w:color="auto" w:fill="F5F7FB"/>
          </w:tcPr>
          <w:p>
            <w:pPr>
              <w:pStyle w:val="Compact"/>
            </w:pPr>
            <w:r>
              <w:rPr>
                <w:sz w:val="17"/>
              </w:rPr>
              <w:t xml:space="preserve">identity, photo, licence, motorbikes[]</w:t>
            </w:r>
          </w:p>
        </w:tc>
        <w:tc>
          <w:tcPr>
            <w:shd w:val="clear" w:color="auto" w:fill="F5F7FB"/>
          </w:tcPr>
          <w:p>
            <w:pPr>
              <w:pStyle w:val="Compact"/>
            </w:pPr>
            <w:r>
              <w:rPr>
                <w:sz w:val="17"/>
              </w:rPr>
              <w:t xml:space="preserve">ACTIF → SUSPENDU</w:t>
            </w:r>
          </w:p>
        </w:tc>
        <w:tc>
          <w:tcPr>
            <w:shd w:val="clear" w:color="auto" w:fill="F5F7FB"/>
          </w:tcPr>
          <w:p>
            <w:pPr>
              <w:pStyle w:val="Compact"/>
            </w:pPr>
            <w:r>
              <w:rPr>
                <w:sz w:val="17"/>
              </w:rPr>
              <w:t xml:space="preserve">C4</w:t>
            </w:r>
          </w:p>
        </w:tc>
      </w:tr>
      <w:tr>
        <w:tc>
          <w:tcPr/>
          <w:p>
            <w:pPr>
              <w:pStyle w:val="Compact"/>
            </w:pPr>
            <w:r>
              <w:rPr>
                <w:b/>
                <w:bCs/>
                <w:sz w:val="17"/>
              </w:rPr>
              <w:t xml:space="preserve">Cooperative</w:t>
            </w:r>
          </w:p>
        </w:tc>
        <w:tc>
          <w:tcPr/>
          <w:p>
            <w:pPr>
              <w:pStyle w:val="Compact"/>
            </w:pPr>
            <w:r>
              <w:rPr>
                <w:sz w:val="17"/>
              </w:rPr>
              <w:t xml:space="preserve">Coopérative de wewa</w:t>
            </w:r>
          </w:p>
        </w:tc>
        <w:tc>
          <w:tcPr/>
          <w:p>
            <w:pPr>
              <w:pStyle w:val="Compact"/>
            </w:pPr>
            <w:r>
              <w:rPr>
                <w:sz w:val="17"/>
              </w:rPr>
              <w:t xml:space="preserve">entity, members[], accreditation</w:t>
            </w:r>
          </w:p>
        </w:tc>
        <w:tc>
          <w:tcPr/>
          <w:p>
            <w:pPr>
              <w:pStyle w:val="Compact"/>
            </w:pPr>
            <w:r>
              <w:rPr>
                <w:sz w:val="17"/>
              </w:rPr>
              <w:t xml:space="preserve">ACCRÉDITÉE → SUSPENDUE</w:t>
            </w:r>
          </w:p>
        </w:tc>
        <w:tc>
          <w:tcPr/>
          <w:p>
            <w:pPr>
              <w:pStyle w:val="Compact"/>
            </w:pPr>
            <w:r>
              <w:rPr>
                <w:sz w:val="17"/>
              </w:rPr>
              <w:t xml:space="preserve">C2</w:t>
            </w:r>
          </w:p>
        </w:tc>
      </w:tr>
      <w:tr>
        <w:tc>
          <w:tcPr>
            <w:shd w:val="clear" w:color="auto" w:fill="F5F7FB"/>
          </w:tcPr>
          <w:p>
            <w:pPr>
              <w:pStyle w:val="Compact"/>
            </w:pPr>
            <w:r>
              <w:rPr>
                <w:b/>
                <w:bCs/>
                <w:sz w:val="17"/>
              </w:rPr>
              <w:t xml:space="preserve">Station</w:t>
            </w:r>
          </w:p>
        </w:tc>
        <w:tc>
          <w:tcPr>
            <w:shd w:val="clear" w:color="auto" w:fill="F5F7FB"/>
          </w:tcPr>
          <w:p>
            <w:pPr>
              <w:pStyle w:val="Compact"/>
            </w:pPr>
            <w:r>
              <w:rPr>
                <w:sz w:val="17"/>
              </w:rPr>
              <w:t xml:space="preserve">Station de wewa</w:t>
            </w:r>
          </w:p>
        </w:tc>
        <w:tc>
          <w:tcPr>
            <w:shd w:val="clear" w:color="auto" w:fill="F5F7FB"/>
          </w:tcPr>
          <w:p>
            <w:pPr>
              <w:pStyle w:val="Compact"/>
            </w:pPr>
            <w:r>
              <w:rPr>
                <w:sz w:val="17"/>
              </w:rPr>
              <w:t xml:space="preserve">geometry, code</w:t>
            </w:r>
          </w:p>
        </w:tc>
        <w:tc>
          <w:tcPr>
            <w:shd w:val="clear" w:color="auto" w:fill="F5F7FB"/>
          </w:tcPr>
          <w:p>
            <w:pPr>
              <w:pStyle w:val="Compact"/>
            </w:pPr>
            <w:r>
              <w:rPr>
                <w:sz w:val="17"/>
              </w:rPr>
              <w:t xml:space="preserve">ACTIVE</w:t>
            </w:r>
          </w:p>
        </w:tc>
        <w:tc>
          <w:tcPr>
            <w:shd w:val="clear" w:color="auto" w:fill="F5F7FB"/>
          </w:tcPr>
          <w:p>
            <w:pPr>
              <w:pStyle w:val="Compact"/>
            </w:pPr>
            <w:r>
              <w:rPr>
                <w:sz w:val="17"/>
              </w:rPr>
              <w:t xml:space="preserve">C1</w:t>
            </w:r>
          </w:p>
        </w:tc>
      </w:tr>
      <w:tr>
        <w:tc>
          <w:tcPr/>
          <w:p>
            <w:pPr>
              <w:pStyle w:val="Compact"/>
            </w:pPr>
            <w:r>
              <w:rPr>
                <w:b/>
                <w:bCs/>
                <w:sz w:val="17"/>
              </w:rPr>
              <w:t xml:space="preserve">Flight</w:t>
            </w:r>
          </w:p>
        </w:tc>
        <w:tc>
          <w:tcPr/>
          <w:p>
            <w:pPr>
              <w:pStyle w:val="Compact"/>
            </w:pPr>
            <w:r>
              <w:rPr>
                <w:sz w:val="17"/>
              </w:rPr>
              <w:t xml:space="preserve">Vol (AVIA)</w:t>
            </w:r>
          </w:p>
        </w:tc>
        <w:tc>
          <w:tcPr/>
          <w:p>
            <w:pPr>
              <w:pStyle w:val="Compact"/>
            </w:pPr>
            <w:r>
              <w:rPr>
                <w:sz w:val="17"/>
              </w:rPr>
              <w:t xml:space="preserve">carrier, number, date, departures</w:t>
            </w:r>
          </w:p>
        </w:tc>
        <w:tc>
          <w:tcPr/>
          <w:p>
            <w:pPr>
              <w:pStyle w:val="Compact"/>
            </w:pPr>
            <w:r>
              <w:rPr>
                <w:sz w:val="17"/>
              </w:rPr>
              <w:t xml:space="preserve">—</w:t>
            </w:r>
          </w:p>
        </w:tc>
        <w:tc>
          <w:tcPr/>
          <w:p>
            <w:pPr>
              <w:pStyle w:val="Compact"/>
            </w:pPr>
            <w:r>
              <w:rPr>
                <w:sz w:val="17"/>
              </w:rPr>
              <w:t xml:space="preserve">C2</w:t>
            </w:r>
          </w:p>
        </w:tc>
      </w:tr>
      <w:tr>
        <w:tc>
          <w:tcPr>
            <w:shd w:val="clear" w:color="auto" w:fill="F5F7FB"/>
          </w:tcPr>
          <w:p>
            <w:pPr>
              <w:pStyle w:val="Compact"/>
            </w:pPr>
            <w:r>
              <w:rPr>
                <w:b/>
                <w:bCs/>
                <w:sz w:val="17"/>
              </w:rPr>
              <w:t xml:space="preserve">AirTaxId</w:t>
            </w:r>
          </w:p>
        </w:tc>
        <w:tc>
          <w:tcPr>
            <w:shd w:val="clear" w:color="auto" w:fill="F5F7FB"/>
          </w:tcPr>
          <w:p>
            <w:pPr>
              <w:pStyle w:val="Compact"/>
            </w:pPr>
            <w:r>
              <w:rPr>
                <w:sz w:val="17"/>
              </w:rPr>
              <w:t xml:space="preserve">Identifiant fiscal aérien (IFA)</w:t>
            </w:r>
          </w:p>
        </w:tc>
        <w:tc>
          <w:tcPr>
            <w:shd w:val="clear" w:color="auto" w:fill="F5F7FB"/>
          </w:tcPr>
          <w:p>
            <w:pPr>
              <w:pStyle w:val="Compact"/>
            </w:pPr>
            <w:r>
              <w:rPr>
                <w:sz w:val="17"/>
              </w:rPr>
              <w:t xml:space="preserve">flight, passenger_ref (pseudonymisé), ticket_ref</w:t>
            </w:r>
          </w:p>
        </w:tc>
        <w:tc>
          <w:tcPr>
            <w:shd w:val="clear" w:color="auto" w:fill="F5F7FB"/>
          </w:tcPr>
          <w:p>
            <w:pPr>
              <w:pStyle w:val="Compact"/>
            </w:pPr>
            <w:r>
              <w:rPr>
                <w:sz w:val="17"/>
              </w:rPr>
              <w:t xml:space="preserve">ÉMIS → EMBARQUÉ → SORTI</w:t>
            </w:r>
          </w:p>
        </w:tc>
        <w:tc>
          <w:tcPr>
            <w:shd w:val="clear" w:color="auto" w:fill="F5F7FB"/>
          </w:tcPr>
          <w:p>
            <w:pPr>
              <w:pStyle w:val="Compact"/>
            </w:pPr>
            <w:r>
              <w:rPr>
                <w:sz w:val="17"/>
              </w:rPr>
              <w:t xml:space="preserve">C4</w:t>
            </w:r>
          </w:p>
        </w:tc>
      </w:tr>
      <w:tr>
        <w:tc>
          <w:tcPr/>
          <w:p>
            <w:pPr>
              <w:pStyle w:val="Compact"/>
            </w:pPr>
            <w:r>
              <w:rPr>
                <w:b/>
                <w:bCs/>
                <w:sz w:val="17"/>
              </w:rPr>
              <w:t xml:space="preserve">AirReconciliation</w:t>
            </w:r>
          </w:p>
        </w:tc>
        <w:tc>
          <w:tcPr/>
          <w:p>
            <w:pPr>
              <w:pStyle w:val="Compact"/>
            </w:pPr>
            <w:r>
              <w:rPr>
                <w:sz w:val="17"/>
              </w:rPr>
              <w:t xml:space="preserve">Rapprochement aérien mensuel</w:t>
            </w:r>
          </w:p>
        </w:tc>
        <w:tc>
          <w:tcPr/>
          <w:p>
            <w:pPr>
              <w:pStyle w:val="Compact"/>
            </w:pPr>
            <w:r>
              <w:rPr>
                <w:sz w:val="17"/>
              </w:rPr>
              <w:t xml:space="preserve">carrier, period, sold, boarded, exited, remitted, gap</w:t>
            </w:r>
          </w:p>
        </w:tc>
        <w:tc>
          <w:tcPr/>
          <w:p>
            <w:pPr>
              <w:pStyle w:val="Compact"/>
            </w:pPr>
            <w:r>
              <w:rPr>
                <w:sz w:val="17"/>
              </w:rPr>
              <w:t xml:space="preserve">CALCULÉ → CONTRADICTOIRE → CLOS</w:t>
            </w:r>
          </w:p>
        </w:tc>
        <w:tc>
          <w:tcPr/>
          <w:p>
            <w:pPr>
              <w:pStyle w:val="Compact"/>
            </w:pPr>
            <w:r>
              <w:rPr>
                <w:sz w:val="17"/>
              </w:rPr>
              <w:t xml:space="preserve">C2</w:t>
            </w:r>
          </w:p>
        </w:tc>
      </w:tr>
      <w:tr>
        <w:tc>
          <w:tcPr>
            <w:shd w:val="clear" w:color="auto" w:fill="F5F7FB"/>
          </w:tcPr>
          <w:p>
            <w:pPr>
              <w:pStyle w:val="Compact"/>
            </w:pPr>
            <w:r>
              <w:rPr>
                <w:b/>
                <w:bCs/>
                <w:sz w:val="17"/>
              </w:rPr>
              <w:t xml:space="preserve">PublicAccount</w:t>
            </w:r>
          </w:p>
        </w:tc>
        <w:tc>
          <w:tcPr>
            <w:shd w:val="clear" w:color="auto" w:fill="F5F7FB"/>
          </w:tcPr>
          <w:p>
            <w:pPr>
              <w:pStyle w:val="Compact"/>
            </w:pPr>
            <w:r>
              <w:rPr>
                <w:sz w:val="17"/>
              </w:rPr>
              <w:t xml:space="preserve">Compte public (CALCU)</w:t>
            </w:r>
          </w:p>
        </w:tc>
        <w:tc>
          <w:tcPr>
            <w:shd w:val="clear" w:color="auto" w:fill="F5F7FB"/>
          </w:tcPr>
          <w:p>
            <w:pPr>
              <w:pStyle w:val="Compact"/>
            </w:pPr>
            <w:r>
              <w:rPr>
                <w:sz w:val="17"/>
              </w:rPr>
              <w:t xml:space="preserve">bank, number (chiffré), currency, type, signatories</w:t>
            </w:r>
          </w:p>
        </w:tc>
        <w:tc>
          <w:tcPr>
            <w:shd w:val="clear" w:color="auto" w:fill="F5F7FB"/>
          </w:tcPr>
          <w:p>
            <w:pPr>
              <w:pStyle w:val="Compact"/>
            </w:pPr>
            <w:r>
              <w:rPr>
                <w:sz w:val="17"/>
              </w:rPr>
              <w:t xml:space="preserve">DÉCLARÉ → VALIDÉ ; NON ENREGISTRÉ (irrégulier)</w:t>
            </w:r>
          </w:p>
        </w:tc>
        <w:tc>
          <w:tcPr>
            <w:shd w:val="clear" w:color="auto" w:fill="F5F7FB"/>
          </w:tcPr>
          <w:p>
            <w:pPr>
              <w:pStyle w:val="Compact"/>
            </w:pPr>
            <w:r>
              <w:rPr>
                <w:sz w:val="17"/>
              </w:rPr>
              <w:t xml:space="preserve">C4</w:t>
            </w:r>
          </w:p>
        </w:tc>
      </w:tr>
      <w:tr>
        <w:tc>
          <w:tcPr/>
          <w:p>
            <w:pPr>
              <w:pStyle w:val="Compact"/>
            </w:pPr>
            <w:r>
              <w:rPr>
                <w:b/>
                <w:bCs/>
                <w:sz w:val="17"/>
              </w:rPr>
              <w:t xml:space="preserve">BankTransaction</w:t>
            </w:r>
          </w:p>
        </w:tc>
        <w:tc>
          <w:tcPr/>
          <w:p>
            <w:pPr>
              <w:pStyle w:val="Compact"/>
            </w:pPr>
            <w:r>
              <w:rPr>
                <w:sz w:val="17"/>
              </w:rPr>
              <w:t xml:space="preserve">Opération bancaire transmise</w:t>
            </w:r>
          </w:p>
        </w:tc>
        <w:tc>
          <w:tcPr/>
          <w:p>
            <w:pPr>
              <w:pStyle w:val="Compact"/>
            </w:pPr>
            <w:r>
              <w:rPr>
                <w:sz w:val="17"/>
              </w:rPr>
              <w:t xml:space="preserve">account, amount, date, beneficiary, reference</w:t>
            </w:r>
          </w:p>
        </w:tc>
        <w:tc>
          <w:tcPr/>
          <w:p>
            <w:pPr>
              <w:pStyle w:val="Compact"/>
            </w:pPr>
            <w:r>
              <w:rPr>
                <w:sz w:val="17"/>
              </w:rPr>
              <w:t xml:space="preserve">Ajout seul</w:t>
            </w:r>
          </w:p>
        </w:tc>
        <w:tc>
          <w:tcPr/>
          <w:p>
            <w:pPr>
              <w:pStyle w:val="Compact"/>
            </w:pPr>
            <w:r>
              <w:rPr>
                <w:sz w:val="17"/>
              </w:rPr>
              <w:t xml:space="preserve">C4</w:t>
            </w:r>
          </w:p>
        </w:tc>
      </w:tr>
      <w:tr>
        <w:tc>
          <w:tcPr>
            <w:shd w:val="clear" w:color="auto" w:fill="F5F7FB"/>
          </w:tcPr>
          <w:p>
            <w:pPr>
              <w:pStyle w:val="Compact"/>
            </w:pPr>
            <w:r>
              <w:rPr>
                <w:b/>
                <w:bCs/>
                <w:sz w:val="17"/>
              </w:rPr>
              <w:t xml:space="preserve">SupportingDocument</w:t>
            </w:r>
          </w:p>
        </w:tc>
        <w:tc>
          <w:tcPr>
            <w:shd w:val="clear" w:color="auto" w:fill="F5F7FB"/>
          </w:tcPr>
          <w:p>
            <w:pPr>
              <w:pStyle w:val="Compact"/>
            </w:pPr>
            <w:r>
              <w:rPr>
                <w:sz w:val="17"/>
              </w:rPr>
              <w:t xml:space="preserve">Justificatif de dépense</w:t>
            </w:r>
          </w:p>
        </w:tc>
        <w:tc>
          <w:tcPr>
            <w:shd w:val="clear" w:color="auto" w:fill="F5F7FB"/>
          </w:tcPr>
          <w:p>
            <w:pPr>
              <w:pStyle w:val="Compact"/>
            </w:pPr>
            <w:r>
              <w:rPr>
                <w:sz w:val="17"/>
              </w:rPr>
              <w:t xml:space="preserve">type, operation_id, hash, gps, time</w:t>
            </w:r>
          </w:p>
        </w:tc>
        <w:tc>
          <w:tcPr>
            <w:shd w:val="clear" w:color="auto" w:fill="F5F7FB"/>
          </w:tcPr>
          <w:p>
            <w:pPr>
              <w:pStyle w:val="Compact"/>
            </w:pPr>
            <w:r>
              <w:rPr>
                <w:sz w:val="17"/>
              </w:rPr>
              <w:t xml:space="preserve">SCELLÉ</w:t>
            </w:r>
          </w:p>
        </w:tc>
        <w:tc>
          <w:tcPr>
            <w:shd w:val="clear" w:color="auto" w:fill="F5F7FB"/>
          </w:tcPr>
          <w:p>
            <w:pPr>
              <w:pStyle w:val="Compact"/>
            </w:pPr>
            <w:r>
              <w:rPr>
                <w:sz w:val="17"/>
              </w:rPr>
              <w:t xml:space="preserve">C3</w:t>
            </w:r>
          </w:p>
        </w:tc>
      </w:tr>
      <w:tr>
        <w:tc>
          <w:tcPr/>
          <w:p>
            <w:pPr>
              <w:pStyle w:val="Compact"/>
            </w:pPr>
            <w:r>
              <w:rPr>
                <w:b/>
                <w:bCs/>
                <w:sz w:val="17"/>
              </w:rPr>
              <w:t xml:space="preserve">SpendingAlert</w:t>
            </w:r>
          </w:p>
        </w:tc>
        <w:tc>
          <w:tcPr/>
          <w:p>
            <w:pPr>
              <w:pStyle w:val="Compact"/>
            </w:pPr>
            <w:r>
              <w:rPr>
                <w:sz w:val="17"/>
              </w:rPr>
              <w:t xml:space="preserve">Anomalie de dépense</w:t>
            </w:r>
          </w:p>
        </w:tc>
        <w:tc>
          <w:tcPr/>
          <w:p>
            <w:pPr>
              <w:pStyle w:val="Compact"/>
            </w:pPr>
            <w:r>
              <w:rPr>
                <w:sz w:val="17"/>
              </w:rPr>
              <w:t xml:space="preserve">score (vert/ambre/rouge), rules, report_number</w:t>
            </w:r>
          </w:p>
        </w:tc>
        <w:tc>
          <w:tcPr/>
          <w:p>
            <w:pPr>
              <w:pStyle w:val="Compact"/>
            </w:pPr>
            <w:r>
              <w:rPr>
                <w:sz w:val="17"/>
              </w:rPr>
              <w:t xml:space="preserve">OUVERTE → TRAITÉE</w:t>
            </w:r>
          </w:p>
        </w:tc>
        <w:tc>
          <w:tcPr/>
          <w:p>
            <w:pPr>
              <w:pStyle w:val="Compact"/>
            </w:pPr>
            <w:r>
              <w:rPr>
                <w:sz w:val="17"/>
              </w:rPr>
              <w:t xml:space="preserve">C4</w:t>
            </w:r>
          </w:p>
        </w:tc>
      </w:tr>
    </w:tbl>
    <w:p>
      <w:pPr>
        <w:pStyle w:val="BodyText"/>
      </w:pPr>
      <w:r>
        <w:rPr>
          <w:b/>
          <w:bCs/>
        </w:rPr>
        <w:t xml:space="preserve">Remplacements (ARB-74)</w:t>
      </w:r>
      <w:r>
        <w:t xml:space="preserve"> </w:t>
      </w:r>
      <w:r>
        <w:t xml:space="preserve">: les entités sources</w:t>
      </w:r>
      <w:r>
        <w:t xml:space="preserve"> </w:t>
      </w:r>
      <w:r>
        <w:rPr>
          <w:rStyle w:val="VerbatimChar"/>
        </w:rPr>
        <w:t xml:space="preserve">RevenueShareKey</w:t>
      </w:r>
      <w:r>
        <w:t xml:space="preserve">,</w:t>
      </w:r>
      <w:r>
        <w:t xml:space="preserve"> </w:t>
      </w:r>
      <w:r>
        <w:rPr>
          <w:rStyle w:val="VerbatimChar"/>
        </w:rPr>
        <w:t xml:space="preserve">Allocation</w:t>
      </w:r>
      <w:r>
        <w:t xml:space="preserve">,</w:t>
      </w:r>
      <w:r>
        <w:t xml:space="preserve"> </w:t>
      </w:r>
      <w:r>
        <w:rPr>
          <w:rStyle w:val="VerbatimChar"/>
        </w:rPr>
        <w:t xml:space="preserve">Disbursement</w:t>
      </w:r>
      <w:r>
        <w:t xml:space="preserve">,</w:t>
      </w:r>
      <w:r>
        <w:t xml:space="preserve"> </w:t>
      </w:r>
      <w:r>
        <w:rPr>
          <w:rStyle w:val="VerbatimChar"/>
        </w:rPr>
        <w:t xml:space="preserve">AllocationBeneficiary</w:t>
      </w:r>
      <w:r>
        <w:t xml:space="preserve"> </w:t>
      </w:r>
      <w:r>
        <w:t xml:space="preserve">sont remplacées par</w:t>
      </w:r>
      <w:r>
        <w:t xml:space="preserve"> </w:t>
      </w:r>
      <w:r>
        <w:rPr>
          <w:rStyle w:val="VerbatimChar"/>
        </w:rPr>
        <w:t xml:space="preserve">AllocationRule</w:t>
      </w:r>
      <w:r>
        <w:t xml:space="preserve"> </w:t>
      </w:r>
      <w:r>
        <w:t xml:space="preserve">(clés</w:t>
      </w:r>
      <w:r>
        <w:t xml:space="preserve"> </w:t>
      </w:r>
      <w:r>
        <w:rPr>
          <w:b/>
          <w:bCs/>
        </w:rPr>
        <w:t xml:space="preserve">légales</w:t>
      </w:r>
      <w:r>
        <w:t xml:space="preserve">, § 29.3) ; aucune entité ne porte d’instruction de virement vers un compte privé.</w:t>
      </w:r>
    </w:p>
    <w:p>
      <w:pPr>
        <w:pStyle w:val="BodyText"/>
      </w:pPr>
      <w:r>
        <w:rPr>
          <w:b/>
          <w:bCs/>
        </w:rPr>
        <w:t xml:space="preserve">Événements d’audit obligatoires</w:t>
      </w:r>
      <w:r>
        <w:t xml:space="preserve"> </w:t>
      </w:r>
      <w:r>
        <w:t xml:space="preserve">(liste minimale, complète le § 29.1) : connexion, échec, MFA, changement d’appareil, élévation de privilège ; création, lecture sensible, export, modification, fusion, archivage d’identité ou d’objet ; création, validation, publication, suspension, expiration de règle ; calcul, recalcul, correction, remise, exonération, pénalité, annulation ; ordre de paiement, rappel, règlement, rapprochement, exception, remboursement, révocation ; mission, preuve, position, synchronisation, conflit ; recours, pièce, consultation, décision, délai, notification ; changement de clé, de secret, de bénéficiaire, de configuration, de rôle, de politique de sécurité ;</w:t>
      </w:r>
      <w:r>
        <w:t xml:space="preserve"> </w:t>
      </w:r>
      <w:r>
        <w:rPr>
          <w:b/>
          <w:bCs/>
        </w:rPr>
        <w:t xml:space="preserve">invitation, finalisation, seconde validation, rattachement de module, contrôle de titre, consommation d’usage, émission et révocation de carte ou de badge</w:t>
      </w:r>
      <w:r>
        <w:t xml:space="preserve">.</w:t>
      </w:r>
    </w:p>
    <w:bookmarkEnd w:id="511"/>
    <w:bookmarkStart w:id="512" w:name="h.16.4-correspondance-des-routes-dapi"/>
    <w:p>
      <w:pPr>
        <w:pStyle w:val="Heading3"/>
      </w:pPr>
      <w:r>
        <w:t xml:space="preserve">H.16.4 Correspondance des routes d’API</w:t>
      </w:r>
    </w:p>
    <w:p>
      <w:pPr>
        <w:pStyle w:val="FirstParagraph"/>
      </w:pPr>
      <w:r>
        <w:t xml:space="preserve">La convention unique demandée par le Cahier (« à arrêter en phase 1 ») est</w:t>
      </w:r>
      <w:r>
        <w:t xml:space="preserve"> </w:t>
      </w:r>
      <w:r>
        <w:rPr>
          <w:b/>
          <w:bCs/>
        </w:rPr>
        <w:t xml:space="preserve">celle du § 30.2 de la v3.0</w:t>
      </w:r>
      <w:r>
        <w:t xml:space="preserve"> </w:t>
      </w:r>
      <w:r>
        <w:t xml:space="preserve">(ressources en anglais, verbes d’action</w:t>
      </w:r>
      <w:r>
        <w:t xml:space="preserve"> </w:t>
      </w:r>
      <w:r>
        <w:rPr>
          <w:rStyle w:val="VerbatimChar"/>
        </w:rPr>
        <w:t xml:space="preserve">:action</w:t>
      </w:r>
      <w:r>
        <w:t xml:space="preserve">, montants typés, RFC 9457) (ARB-43). Les routes sources sont conservées comme alias documentés pendant la seule période de transition des partenaires.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Route source (FR — Cahier)</w:t>
            </w:r>
          </w:p>
        </w:tc>
        <w:tc>
          <w:tcPr>
            <w:shd w:val="clear" w:color="auto" w:fill="232C6B"/>
          </w:tcPr>
          <w:p>
            <w:pPr>
              <w:pStyle w:val="Compact"/>
            </w:pPr>
            <w:r>
              <w:rPr>
                <w:b/>
                <w:color w:val="FFFFFF"/>
                <w:sz w:val="17"/>
              </w:rPr>
              <w:t xml:space="preserve">Alias sources (EN, KIN-RECETTES)</w:t>
            </w:r>
          </w:p>
        </w:tc>
        <w:tc>
          <w:tcPr>
            <w:shd w:val="clear" w:color="auto" w:fill="232C6B"/>
          </w:tcPr>
          <w:p>
            <w:pPr>
              <w:pStyle w:val="Compact"/>
            </w:pPr>
            <w:r>
              <w:rPr>
                <w:b/>
                <w:color w:val="FFFFFF"/>
                <w:sz w:val="17"/>
              </w:rPr>
              <w:t xml:space="preserve">Route v3.0 retenue</w:t>
            </w:r>
          </w:p>
        </w:tc>
      </w:tr>
      <w:tr>
        <w:tc>
          <w:tcPr/>
          <w:p>
            <w:pPr>
              <w:pStyle w:val="Compact"/>
            </w:pPr>
            <w:r>
              <w:rPr>
                <w:rStyle w:val="VerbatimChar"/>
                <w:sz w:val="17"/>
              </w:rPr>
              <w:t xml:space="preserve">POST /v1/comptes</w:t>
            </w:r>
            <w:r>
              <w:rPr>
                <w:sz w:val="17"/>
              </w:rPr>
              <w:t xml:space="preserve"> </w:t>
            </w:r>
            <w:r>
              <w:rPr>
                <w:sz w:val="17"/>
              </w:rPr>
              <w:t xml:space="preserve">;</w:t>
            </w:r>
            <w:r>
              <w:rPr>
                <w:sz w:val="17"/>
              </w:rPr>
              <w:t xml:space="preserve"> </w:t>
            </w:r>
            <w:r>
              <w:rPr>
                <w:rStyle w:val="VerbatimChar"/>
                <w:sz w:val="17"/>
              </w:rPr>
              <w:t xml:space="preserve">POST /v1/public/inscriptions</w:t>
            </w:r>
          </w:p>
        </w:tc>
        <w:tc>
          <w:tcPr/>
          <w:p>
            <w:pPr>
              <w:pStyle w:val="Compact"/>
            </w:pPr>
            <w:r>
              <w:rPr>
                <w:rStyle w:val="VerbatimChar"/>
                <w:sz w:val="17"/>
              </w:rPr>
              <w:t xml:space="preserve">POST /v1/identity/persons</w:t>
            </w:r>
            <w:r>
              <w:rPr>
                <w:sz w:val="17"/>
              </w:rPr>
              <w:t xml:space="preserve"> </w:t>
            </w:r>
            <w:r>
              <w:rPr>
                <w:sz w:val="17"/>
              </w:rPr>
              <w:t xml:space="preserve">;</w:t>
            </w:r>
            <w:r>
              <w:rPr>
                <w:sz w:val="17"/>
              </w:rPr>
              <w:t xml:space="preserve"> </w:t>
            </w:r>
            <w:r>
              <w:rPr>
                <w:rStyle w:val="VerbatimChar"/>
                <w:sz w:val="17"/>
              </w:rPr>
              <w:t xml:space="preserve">POST /v1/taxpayers</w:t>
            </w:r>
          </w:p>
        </w:tc>
        <w:tc>
          <w:tcPr/>
          <w:p>
            <w:pPr>
              <w:pStyle w:val="Compact"/>
            </w:pPr>
            <w:r>
              <w:rPr>
                <w:rStyle w:val="VerbatimChar"/>
                <w:sz w:val="17"/>
              </w:rPr>
              <w:t xml:space="preserve">POST /v1/registrations</w:t>
            </w:r>
            <w:r>
              <w:rPr>
                <w:sz w:val="17"/>
              </w:rPr>
              <w:t xml:space="preserve"> </w:t>
            </w:r>
            <w:r>
              <w:rPr>
                <w:sz w:val="17"/>
              </w:rPr>
              <w:t xml:space="preserve">(crée</w:t>
            </w:r>
            <w:r>
              <w:rPr>
                <w:sz w:val="17"/>
              </w:rPr>
              <w:t xml:space="preserve"> </w:t>
            </w:r>
            <w:r>
              <w:rPr>
                <w:b/>
                <w:bCs/>
                <w:sz w:val="17"/>
              </w:rPr>
              <w:t xml:space="preserve">exclusivement</w:t>
            </w:r>
            <w:r>
              <w:rPr>
                <w:sz w:val="17"/>
              </w:rPr>
              <w:t xml:space="preserve"> </w:t>
            </w:r>
            <w:r>
              <w:rPr>
                <w:sz w:val="17"/>
              </w:rPr>
              <w:t xml:space="preserve">un compte contribuable)</w:t>
            </w:r>
          </w:p>
        </w:tc>
      </w:tr>
      <w:tr>
        <w:tc>
          <w:tcPr>
            <w:shd w:val="clear" w:color="auto" w:fill="F5F7FB"/>
          </w:tcPr>
          <w:p>
            <w:pPr>
              <w:pStyle w:val="Compact"/>
            </w:pPr>
            <w:r>
              <w:rPr>
                <w:rStyle w:val="VerbatimChar"/>
                <w:sz w:val="17"/>
              </w:rPr>
              <w:t xml:space="preserve">POST /v1/identites/verification</w:t>
            </w:r>
          </w:p>
        </w:tc>
        <w:tc>
          <w:tcPr>
            <w:shd w:val="clear" w:color="auto" w:fill="F5F7FB"/>
          </w:tcPr>
          <w:p>
            <w:pPr>
              <w:pStyle w:val="Compact"/>
            </w:pPr>
            <w:r>
              <w:rPr>
                <w:sz w:val="17"/>
              </w:rPr>
              <w:t xml:space="preserve">—</w:t>
            </w:r>
          </w:p>
        </w:tc>
        <w:tc>
          <w:tcPr>
            <w:shd w:val="clear" w:color="auto" w:fill="F5F7FB"/>
          </w:tcPr>
          <w:p>
            <w:pPr>
              <w:pStyle w:val="Compact"/>
            </w:pPr>
            <w:r>
              <w:rPr>
                <w:rStyle w:val="VerbatimChar"/>
                <w:sz w:val="17"/>
              </w:rPr>
              <w:t xml:space="preserve">POST /v1/identity-verifications</w:t>
            </w:r>
          </w:p>
        </w:tc>
      </w:tr>
      <w:tr>
        <w:tc>
          <w:tcPr/>
          <w:p>
            <w:pPr>
              <w:pStyle w:val="Compact"/>
            </w:pPr>
            <w:r>
              <w:rPr>
                <w:rStyle w:val="VerbatimChar"/>
                <w:sz w:val="17"/>
              </w:rPr>
              <w:t xml:space="preserve">POST /v1/objets</w:t>
            </w:r>
          </w:p>
        </w:tc>
        <w:tc>
          <w:tcPr/>
          <w:p>
            <w:pPr>
              <w:pStyle w:val="Compact"/>
            </w:pPr>
            <w:r>
              <w:rPr>
                <w:rStyle w:val="VerbatimChar"/>
                <w:sz w:val="17"/>
              </w:rPr>
              <w:t xml:space="preserve">POST /v1/objects</w:t>
            </w:r>
          </w:p>
        </w:tc>
        <w:tc>
          <w:tcPr/>
          <w:p>
            <w:pPr>
              <w:pStyle w:val="Compact"/>
            </w:pPr>
            <w:r>
              <w:rPr>
                <w:rStyle w:val="VerbatimChar"/>
                <w:sz w:val="17"/>
              </w:rPr>
              <w:t xml:space="preserve">POST /v1/fiscal-objects</w:t>
            </w:r>
            <w:r>
              <w:rPr>
                <w:sz w:val="17"/>
              </w:rPr>
              <w:t xml:space="preserve"> </w:t>
            </w:r>
            <w:r>
              <w:rPr>
                <w:sz w:val="17"/>
              </w:rPr>
              <w:t xml:space="preserve">;</w:t>
            </w:r>
            <w:r>
              <w:rPr>
                <w:sz w:val="17"/>
              </w:rPr>
              <w:t xml:space="preserve"> </w:t>
            </w:r>
            <w:r>
              <w:rPr>
                <w:rStyle w:val="VerbatimChar"/>
                <w:sz w:val="17"/>
              </w:rPr>
              <w:t xml:space="preserve">POST /v1/properties</w:t>
            </w:r>
          </w:p>
        </w:tc>
      </w:tr>
      <w:tr>
        <w:tc>
          <w:tcPr>
            <w:shd w:val="clear" w:color="auto" w:fill="F5F7FB"/>
          </w:tcPr>
          <w:p>
            <w:pPr>
              <w:pStyle w:val="Compact"/>
            </w:pPr>
            <w:r>
              <w:rPr>
                <w:sz w:val="17"/>
              </w:rPr>
              <w:t xml:space="preserve">—</w:t>
            </w:r>
          </w:p>
        </w:tc>
        <w:tc>
          <w:tcPr>
            <w:shd w:val="clear" w:color="auto" w:fill="F5F7FB"/>
          </w:tcPr>
          <w:p>
            <w:pPr>
              <w:pStyle w:val="Compact"/>
            </w:pPr>
            <w:r>
              <w:rPr>
                <w:rStyle w:val="VerbatimChar"/>
                <w:sz w:val="17"/>
              </w:rPr>
              <w:t xml:space="preserve">POST /v1/relationships</w:t>
            </w:r>
          </w:p>
        </w:tc>
        <w:tc>
          <w:tcPr>
            <w:shd w:val="clear" w:color="auto" w:fill="F5F7FB"/>
          </w:tcPr>
          <w:p>
            <w:pPr>
              <w:pStyle w:val="Compact"/>
            </w:pPr>
            <w:r>
              <w:rPr>
                <w:rStyle w:val="VerbatimChar"/>
                <w:sz w:val="17"/>
              </w:rPr>
              <w:t xml:space="preserve">POST /v1/object-relations</w:t>
            </w:r>
          </w:p>
        </w:tc>
      </w:tr>
      <w:tr>
        <w:tc>
          <w:tcPr/>
          <w:p>
            <w:pPr>
              <w:pStyle w:val="Compact"/>
            </w:pPr>
            <w:r>
              <w:rPr>
                <w:rStyle w:val="VerbatimChar"/>
                <w:sz w:val="17"/>
              </w:rPr>
              <w:t xml:space="preserve">POST /v1/baux</w:t>
            </w:r>
          </w:p>
        </w:tc>
        <w:tc>
          <w:tcPr/>
          <w:p>
            <w:pPr>
              <w:pStyle w:val="Compact"/>
            </w:pPr>
            <w:r>
              <w:rPr>
                <w:sz w:val="17"/>
              </w:rPr>
              <w:t xml:space="preserve">—</w:t>
            </w:r>
          </w:p>
        </w:tc>
        <w:tc>
          <w:tcPr/>
          <w:p>
            <w:pPr>
              <w:pStyle w:val="Compact"/>
            </w:pPr>
            <w:r>
              <w:rPr>
                <w:rStyle w:val="VerbatimChar"/>
                <w:sz w:val="17"/>
              </w:rPr>
              <w:t xml:space="preserve">POST /v1/leases</w:t>
            </w:r>
          </w:p>
        </w:tc>
      </w:tr>
      <w:tr>
        <w:tc>
          <w:tcPr>
            <w:shd w:val="clear" w:color="auto" w:fill="F5F7FB"/>
          </w:tcPr>
          <w:p>
            <w:pPr>
              <w:pStyle w:val="Compact"/>
            </w:pPr>
            <w:r>
              <w:rPr>
                <w:rStyle w:val="VerbatimChar"/>
                <w:sz w:val="17"/>
              </w:rPr>
              <w:t xml:space="preserve">GET /v1/objets/{id}/obligations</w:t>
            </w:r>
          </w:p>
        </w:tc>
        <w:tc>
          <w:tcPr>
            <w:shd w:val="clear" w:color="auto" w:fill="F5F7FB"/>
          </w:tcPr>
          <w:p>
            <w:pPr>
              <w:pStyle w:val="Compact"/>
            </w:pPr>
            <w:r>
              <w:rPr>
                <w:rStyle w:val="VerbatimChar"/>
                <w:sz w:val="17"/>
              </w:rPr>
              <w:t xml:space="preserve">GET /v1/obligations</w:t>
            </w:r>
          </w:p>
        </w:tc>
        <w:tc>
          <w:tcPr>
            <w:shd w:val="clear" w:color="auto" w:fill="F5F7FB"/>
          </w:tcPr>
          <w:p>
            <w:pPr>
              <w:pStyle w:val="Compact"/>
            </w:pPr>
            <w:r>
              <w:rPr>
                <w:rStyle w:val="VerbatimChar"/>
                <w:sz w:val="17"/>
              </w:rPr>
              <w:t xml:space="preserve">GET /v1/fiscal-objects/{id}/obligations</w:t>
            </w:r>
            <w:r>
              <w:rPr>
                <w:sz w:val="17"/>
              </w:rPr>
              <w:t xml:space="preserve"> </w:t>
            </w:r>
            <w:r>
              <w:rPr>
                <w:b/>
                <w:bCs/>
                <w:sz w:val="17"/>
              </w:rPr>
              <w:t xml:space="preserve">(à ajouter)</w:t>
            </w:r>
          </w:p>
        </w:tc>
      </w:tr>
      <w:tr>
        <w:tc>
          <w:tcPr/>
          <w:p>
            <w:pPr>
              <w:pStyle w:val="Compact"/>
            </w:pPr>
            <w:r>
              <w:rPr>
                <w:rStyle w:val="VerbatimChar"/>
                <w:sz w:val="17"/>
              </w:rPr>
              <w:t xml:space="preserve">POST /v1/liquidations/simulation</w:t>
            </w:r>
          </w:p>
        </w:tc>
        <w:tc>
          <w:tcPr/>
          <w:p>
            <w:pPr>
              <w:pStyle w:val="Compact"/>
            </w:pPr>
            <w:r>
              <w:rPr>
                <w:sz w:val="17"/>
              </w:rPr>
              <w:t xml:space="preserve">—</w:t>
            </w:r>
          </w:p>
        </w:tc>
        <w:tc>
          <w:tcPr/>
          <w:p>
            <w:pPr>
              <w:pStyle w:val="Compact"/>
            </w:pPr>
            <w:r>
              <w:rPr>
                <w:rStyle w:val="VerbatimChar"/>
                <w:sz w:val="17"/>
              </w:rPr>
              <w:t xml:space="preserve">POST /v1/assessments:calculate</w:t>
            </w:r>
            <w:r>
              <w:rPr>
                <w:sz w:val="17"/>
              </w:rPr>
              <w:t xml:space="preserve"> </w:t>
            </w:r>
            <w:r>
              <w:rPr>
                <w:sz w:val="17"/>
              </w:rPr>
              <w:t xml:space="preserve">(mode simulation)</w:t>
            </w:r>
          </w:p>
        </w:tc>
      </w:tr>
      <w:tr>
        <w:tc>
          <w:tcPr>
            <w:shd w:val="clear" w:color="auto" w:fill="F5F7FB"/>
          </w:tcPr>
          <w:p>
            <w:pPr>
              <w:pStyle w:val="Compact"/>
            </w:pPr>
            <w:r>
              <w:rPr>
                <w:sz w:val="17"/>
              </w:rPr>
              <w:t xml:space="preserve">—</w:t>
            </w:r>
          </w:p>
        </w:tc>
        <w:tc>
          <w:tcPr>
            <w:shd w:val="clear" w:color="auto" w:fill="F5F7FB"/>
          </w:tcPr>
          <w:p>
            <w:pPr>
              <w:pStyle w:val="Compact"/>
            </w:pPr>
            <w:r>
              <w:rPr>
                <w:rStyle w:val="VerbatimChar"/>
                <w:sz w:val="17"/>
              </w:rPr>
              <w:t xml:space="preserve">POST /v1/declarations</w:t>
            </w:r>
          </w:p>
        </w:tc>
        <w:tc>
          <w:tcPr>
            <w:shd w:val="clear" w:color="auto" w:fill="F5F7FB"/>
          </w:tcPr>
          <w:p>
            <w:pPr>
              <w:pStyle w:val="Compact"/>
            </w:pPr>
            <w:r>
              <w:rPr>
                <w:rStyle w:val="VerbatimChar"/>
                <w:sz w:val="17"/>
              </w:rPr>
              <w:t xml:space="preserve">POST /v1/declarations</w:t>
            </w:r>
            <w:r>
              <w:rPr>
                <w:sz w:val="17"/>
              </w:rPr>
              <w:t xml:space="preserve"> </w:t>
            </w:r>
            <w:r>
              <w:rPr>
                <w:b/>
                <w:bCs/>
                <w:sz w:val="17"/>
              </w:rPr>
              <w:t xml:space="preserve">(à ajouter)</w:t>
            </w:r>
            <w:r>
              <w:rPr>
                <w:sz w:val="17"/>
              </w:rPr>
              <w:t xml:space="preserve"> </w:t>
            </w:r>
            <w:r>
              <w:rPr>
                <w:sz w:val="17"/>
              </w:rPr>
              <w:t xml:space="preserve">: version, signature, verrouillage</w:t>
            </w:r>
          </w:p>
        </w:tc>
      </w:tr>
      <w:tr>
        <w:tc>
          <w:tcPr/>
          <w:p>
            <w:pPr>
              <w:pStyle w:val="Compact"/>
            </w:pPr>
            <w:r>
              <w:rPr>
                <w:rStyle w:val="VerbatimChar"/>
                <w:sz w:val="17"/>
              </w:rPr>
              <w:t xml:space="preserve">POST /v1/regles</w:t>
            </w:r>
            <w:r>
              <w:rPr>
                <w:sz w:val="17"/>
              </w:rPr>
              <w:t xml:space="preserve"> </w:t>
            </w:r>
            <w:r>
              <w:rPr>
                <w:sz w:val="17"/>
              </w:rPr>
              <w:t xml:space="preserve">;</w:t>
            </w:r>
            <w:r>
              <w:rPr>
                <w:sz w:val="17"/>
              </w:rPr>
              <w:t xml:space="preserve"> </w:t>
            </w:r>
            <w:r>
              <w:rPr>
                <w:rStyle w:val="VerbatimChar"/>
                <w:sz w:val="17"/>
              </w:rPr>
              <w:t xml:space="preserve">POST /v1/regles/{id}/publication</w:t>
            </w:r>
          </w:p>
        </w:tc>
        <w:tc>
          <w:tcPr/>
          <w:p>
            <w:pPr>
              <w:pStyle w:val="Compact"/>
            </w:pPr>
            <w:r>
              <w:rPr>
                <w:rStyle w:val="VerbatimChar"/>
                <w:sz w:val="17"/>
              </w:rPr>
              <w:t xml:space="preserve">POST /v1/legal-rules</w:t>
            </w:r>
          </w:p>
        </w:tc>
        <w:tc>
          <w:tcPr/>
          <w:p>
            <w:pPr>
              <w:pStyle w:val="Compact"/>
            </w:pPr>
            <w:r>
              <w:rPr>
                <w:rStyle w:val="VerbatimChar"/>
                <w:sz w:val="17"/>
              </w:rPr>
              <w:t xml:space="preserve">POST /v1/legal-rules</w:t>
            </w:r>
            <w:r>
              <w:rPr>
                <w:sz w:val="17"/>
              </w:rPr>
              <w:t xml:space="preserve"> </w:t>
            </w:r>
            <w:r>
              <w:rPr>
                <w:sz w:val="17"/>
              </w:rPr>
              <w:t xml:space="preserve">·</w:t>
            </w:r>
            <w:r>
              <w:rPr>
                <w:sz w:val="17"/>
              </w:rPr>
              <w:t xml:space="preserve"> </w:t>
            </w:r>
            <w:r>
              <w:rPr>
                <w:rStyle w:val="VerbatimChar"/>
                <w:sz w:val="17"/>
              </w:rPr>
              <w:t xml:space="preserve">:submit</w:t>
            </w:r>
            <w:r>
              <w:rPr>
                <w:sz w:val="17"/>
              </w:rPr>
              <w:t xml:space="preserve"> </w:t>
            </w:r>
            <w:r>
              <w:rPr>
                <w:sz w:val="17"/>
              </w:rPr>
              <w:t xml:space="preserve">·</w:t>
            </w:r>
            <w:r>
              <w:rPr>
                <w:sz w:val="17"/>
              </w:rPr>
              <w:t xml:space="preserve"> </w:t>
            </w:r>
            <w:r>
              <w:rPr>
                <w:rStyle w:val="VerbatimChar"/>
                <w:sz w:val="17"/>
              </w:rPr>
              <w:t xml:space="preserve">:approve</w:t>
            </w:r>
            <w:r>
              <w:rPr>
                <w:sz w:val="17"/>
              </w:rPr>
              <w:t xml:space="preserve"> </w:t>
            </w:r>
            <w:r>
              <w:rPr>
                <w:sz w:val="17"/>
              </w:rPr>
              <w:t xml:space="preserve">·</w:t>
            </w:r>
            <w:r>
              <w:rPr>
                <w:sz w:val="17"/>
              </w:rPr>
              <w:t xml:space="preserve"> </w:t>
            </w:r>
            <w:r>
              <w:rPr>
                <w:rStyle w:val="VerbatimChar"/>
                <w:sz w:val="17"/>
              </w:rPr>
              <w:t xml:space="preserve">:publish</w:t>
            </w:r>
          </w:p>
        </w:tc>
      </w:tr>
      <w:tr>
        <w:tc>
          <w:tcPr>
            <w:shd w:val="clear" w:color="auto" w:fill="F5F7FB"/>
          </w:tcPr>
          <w:p>
            <w:pPr>
              <w:pStyle w:val="Compact"/>
            </w:pPr>
            <w:r>
              <w:rPr>
                <w:rStyle w:val="VerbatimChar"/>
                <w:sz w:val="17"/>
              </w:rPr>
              <w:t xml:space="preserve">POST /v1/paiements/ordres</w:t>
            </w:r>
          </w:p>
        </w:tc>
        <w:tc>
          <w:tcPr>
            <w:shd w:val="clear" w:color="auto" w:fill="F5F7FB"/>
          </w:tcPr>
          <w:p>
            <w:pPr>
              <w:pStyle w:val="Compact"/>
            </w:pPr>
            <w:r>
              <w:rPr>
                <w:rStyle w:val="VerbatimChar"/>
                <w:sz w:val="17"/>
              </w:rPr>
              <w:t xml:space="preserve">POST /v1/obligations/{id}/payment-references</w:t>
            </w:r>
            <w:r>
              <w:rPr>
                <w:sz w:val="17"/>
              </w:rPr>
              <w:t xml:space="preserve"> </w:t>
            </w:r>
            <w:r>
              <w:rPr>
                <w:sz w:val="17"/>
              </w:rPr>
              <w:t xml:space="preserve">;</w:t>
            </w:r>
            <w:r>
              <w:rPr>
                <w:sz w:val="17"/>
              </w:rPr>
              <w:t xml:space="preserve"> </w:t>
            </w:r>
            <w:r>
              <w:rPr>
                <w:rStyle w:val="VerbatimChar"/>
                <w:sz w:val="17"/>
              </w:rPr>
              <w:t xml:space="preserve">POST /v1/payment-orders</w:t>
            </w:r>
          </w:p>
        </w:tc>
        <w:tc>
          <w:tcPr>
            <w:shd w:val="clear" w:color="auto" w:fill="F5F7FB"/>
          </w:tcPr>
          <w:p>
            <w:pPr>
              <w:pStyle w:val="Compact"/>
            </w:pPr>
            <w:r>
              <w:rPr>
                <w:rStyle w:val="VerbatimChar"/>
                <w:sz w:val="17"/>
              </w:rPr>
              <w:t xml:space="preserve">POST /v1/obligations/{id}/payment-orders</w:t>
            </w:r>
          </w:p>
        </w:tc>
      </w:tr>
      <w:tr>
        <w:tc>
          <w:tcPr/>
          <w:p>
            <w:pPr>
              <w:pStyle w:val="Compact"/>
            </w:pPr>
            <w:r>
              <w:rPr>
                <w:rStyle w:val="VerbatimChar"/>
                <w:sz w:val="17"/>
              </w:rPr>
              <w:t xml:space="preserve">POST /v1/paiements/callback</w:t>
            </w:r>
          </w:p>
        </w:tc>
        <w:tc>
          <w:tcPr/>
          <w:p>
            <w:pPr>
              <w:pStyle w:val="Compact"/>
            </w:pPr>
            <w:r>
              <w:rPr>
                <w:rStyle w:val="VerbatimChar"/>
                <w:sz w:val="17"/>
              </w:rPr>
              <w:t xml:space="preserve">POST /v1/payments/webhooks/{provider}</w:t>
            </w:r>
            <w:r>
              <w:rPr>
                <w:sz w:val="17"/>
              </w:rPr>
              <w:t xml:space="preserve"> </w:t>
            </w:r>
            <w:r>
              <w:rPr>
                <w:sz w:val="17"/>
              </w:rPr>
              <w:t xml:space="preserve">;</w:t>
            </w:r>
            <w:r>
              <w:rPr>
                <w:sz w:val="17"/>
              </w:rPr>
              <w:t xml:space="preserve"> </w:t>
            </w:r>
            <w:r>
              <w:rPr>
                <w:rStyle w:val="VerbatimChar"/>
                <w:sz w:val="17"/>
              </w:rPr>
              <w:t xml:space="preserve">POST /v1/payment-events</w:t>
            </w:r>
          </w:p>
        </w:tc>
        <w:tc>
          <w:tcPr/>
          <w:p>
            <w:pPr>
              <w:pStyle w:val="Compact"/>
            </w:pPr>
            <w:r>
              <w:rPr>
                <w:rStyle w:val="VerbatimChar"/>
                <w:sz w:val="17"/>
              </w:rPr>
              <w:t xml:space="preserve">POST /v1/providers/{provider}/callbacks</w:t>
            </w:r>
          </w:p>
        </w:tc>
      </w:tr>
      <w:tr>
        <w:tc>
          <w:tcPr>
            <w:shd w:val="clear" w:color="auto" w:fill="F5F7FB"/>
          </w:tcPr>
          <w:p>
            <w:pPr>
              <w:pStyle w:val="Compact"/>
            </w:pPr>
            <w:r>
              <w:rPr>
                <w:rStyle w:val="VerbatimChar"/>
                <w:sz w:val="17"/>
              </w:rPr>
              <w:t xml:space="preserve">POST /v1/reglements/import</w:t>
            </w:r>
          </w:p>
        </w:tc>
        <w:tc>
          <w:tcPr>
            <w:shd w:val="clear" w:color="auto" w:fill="F5F7FB"/>
          </w:tcPr>
          <w:p>
            <w:pPr>
              <w:pStyle w:val="Compact"/>
            </w:pPr>
            <w:r>
              <w:rPr>
                <w:sz w:val="17"/>
              </w:rPr>
              <w:t xml:space="preserve">—</w:t>
            </w:r>
          </w:p>
        </w:tc>
        <w:tc>
          <w:tcPr>
            <w:shd w:val="clear" w:color="auto" w:fill="F5F7FB"/>
          </w:tcPr>
          <w:p>
            <w:pPr>
              <w:pStyle w:val="Compact"/>
            </w:pPr>
            <w:r>
              <w:rPr>
                <w:rStyle w:val="VerbatimChar"/>
                <w:sz w:val="17"/>
              </w:rPr>
              <w:t xml:space="preserve">POST /v1/settlements/statements</w:t>
            </w:r>
          </w:p>
        </w:tc>
      </w:tr>
      <w:tr>
        <w:tc>
          <w:tcPr/>
          <w:p>
            <w:pPr>
              <w:pStyle w:val="Compact"/>
            </w:pPr>
            <w:r>
              <w:rPr>
                <w:sz w:val="17"/>
              </w:rPr>
              <w:t xml:space="preserve">—</w:t>
            </w:r>
          </w:p>
        </w:tc>
        <w:tc>
          <w:tcPr/>
          <w:p>
            <w:pPr>
              <w:pStyle w:val="Compact"/>
            </w:pPr>
            <w:r>
              <w:rPr>
                <w:rStyle w:val="VerbatimChar"/>
                <w:sz w:val="17"/>
              </w:rPr>
              <w:t xml:space="preserve">POST /v1/reconciliations/jobs</w:t>
            </w:r>
            <w:r>
              <w:rPr>
                <w:sz w:val="17"/>
              </w:rPr>
              <w:t xml:space="preserve"> </w:t>
            </w:r>
            <w:r>
              <w:rPr>
                <w:sz w:val="17"/>
              </w:rPr>
              <w:t xml:space="preserve">;</w:t>
            </w:r>
            <w:r>
              <w:rPr>
                <w:sz w:val="17"/>
              </w:rPr>
              <w:t xml:space="preserve"> </w:t>
            </w:r>
            <w:r>
              <w:rPr>
                <w:rStyle w:val="VerbatimChar"/>
                <w:sz w:val="17"/>
              </w:rPr>
              <w:t xml:space="preserve">POST /v1/reconciliations</w:t>
            </w:r>
          </w:p>
        </w:tc>
        <w:tc>
          <w:tcPr/>
          <w:p>
            <w:pPr>
              <w:pStyle w:val="Compact"/>
            </w:pPr>
            <w:r>
              <w:rPr>
                <w:rStyle w:val="VerbatimChar"/>
                <w:sz w:val="17"/>
              </w:rPr>
              <w:t xml:space="preserve">POST /v1/reconciliations:run</w:t>
            </w:r>
          </w:p>
        </w:tc>
      </w:tr>
      <w:tr>
        <w:tc>
          <w:tcPr>
            <w:shd w:val="clear" w:color="auto" w:fill="F5F7FB"/>
          </w:tcPr>
          <w:p>
            <w:pPr>
              <w:pStyle w:val="Compact"/>
            </w:pPr>
            <w:r>
              <w:rPr>
                <w:rStyle w:val="VerbatimChar"/>
                <w:sz w:val="17"/>
              </w:rPr>
              <w:t xml:space="preserve">GET /v1/rapprochements/exceptions</w:t>
            </w:r>
          </w:p>
        </w:tc>
        <w:tc>
          <w:tcPr>
            <w:shd w:val="clear" w:color="auto" w:fill="F5F7FB"/>
          </w:tcPr>
          <w:p>
            <w:pPr>
              <w:pStyle w:val="Compact"/>
            </w:pPr>
            <w:r>
              <w:rPr>
                <w:sz w:val="17"/>
              </w:rPr>
              <w:t xml:space="preserve">—</w:t>
            </w:r>
          </w:p>
        </w:tc>
        <w:tc>
          <w:tcPr>
            <w:shd w:val="clear" w:color="auto" w:fill="F5F7FB"/>
          </w:tcPr>
          <w:p>
            <w:pPr>
              <w:pStyle w:val="Compact"/>
            </w:pPr>
            <w:r>
              <w:rPr>
                <w:rStyle w:val="VerbatimChar"/>
                <w:sz w:val="17"/>
              </w:rPr>
              <w:t xml:space="preserve">GET /v1/reconciliation-exceptions</w:t>
            </w:r>
            <w:r>
              <w:rPr>
                <w:sz w:val="17"/>
              </w:rPr>
              <w:t xml:space="preserve"> </w:t>
            </w:r>
            <w:r>
              <w:rPr>
                <w:b/>
                <w:bCs/>
                <w:sz w:val="17"/>
              </w:rPr>
              <w:t xml:space="preserve">(à ajouter)</w:t>
            </w:r>
            <w:r>
              <w:rPr>
                <w:sz w:val="17"/>
              </w:rPr>
              <w:t xml:space="preserve"> </w:t>
            </w:r>
            <w:r>
              <w:rPr>
                <w:sz w:val="17"/>
              </w:rPr>
              <w:t xml:space="preserve">·</w:t>
            </w:r>
            <w:r>
              <w:rPr>
                <w:sz w:val="17"/>
              </w:rPr>
              <w:t xml:space="preserve"> </w:t>
            </w:r>
            <w:r>
              <w:rPr>
                <w:rStyle w:val="VerbatimChar"/>
                <w:sz w:val="17"/>
              </w:rPr>
              <w:t xml:space="preserve">PATCH /v1/reconciliation-exceptions/{id}</w:t>
            </w:r>
          </w:p>
        </w:tc>
      </w:tr>
      <w:tr>
        <w:tc>
          <w:tcPr/>
          <w:p>
            <w:pPr>
              <w:pStyle w:val="Compact"/>
            </w:pPr>
            <w:r>
              <w:rPr>
                <w:rStyle w:val="VerbatimChar"/>
                <w:sz w:val="17"/>
              </w:rPr>
              <w:t xml:space="preserve">GET /v1/quittances/{ref}/verification</w:t>
            </w:r>
          </w:p>
        </w:tc>
        <w:tc>
          <w:tcPr/>
          <w:p>
            <w:pPr>
              <w:pStyle w:val="Compact"/>
            </w:pPr>
            <w:r>
              <w:rPr>
                <w:rStyle w:val="VerbatimChar"/>
                <w:sz w:val="17"/>
              </w:rPr>
              <w:t xml:space="preserve">GET /v1/receipts/{id}/verify</w:t>
            </w:r>
          </w:p>
        </w:tc>
        <w:tc>
          <w:tcPr/>
          <w:p>
            <w:pPr>
              <w:pStyle w:val="Compact"/>
            </w:pPr>
            <w:r>
              <w:rPr>
                <w:rStyle w:val="VerbatimChar"/>
                <w:sz w:val="17"/>
              </w:rPr>
              <w:t xml:space="preserve">GET /v1/public/receipts/{code}</w:t>
            </w:r>
          </w:p>
        </w:tc>
      </w:tr>
      <w:tr>
        <w:tc>
          <w:tcPr>
            <w:shd w:val="clear" w:color="auto" w:fill="F5F7FB"/>
          </w:tcPr>
          <w:p>
            <w:pPr>
              <w:pStyle w:val="Compact"/>
            </w:pPr>
            <w:r>
              <w:rPr>
                <w:rStyle w:val="VerbatimChar"/>
                <w:sz w:val="17"/>
              </w:rPr>
              <w:t xml:space="preserve">POST /v1/missions/synchronisation</w:t>
            </w:r>
          </w:p>
        </w:tc>
        <w:tc>
          <w:tcPr>
            <w:shd w:val="clear" w:color="auto" w:fill="F5F7FB"/>
          </w:tcPr>
          <w:p>
            <w:pPr>
              <w:pStyle w:val="Compact"/>
            </w:pPr>
            <w:r>
              <w:rPr>
                <w:rStyle w:val="VerbatimChar"/>
                <w:sz w:val="17"/>
              </w:rPr>
              <w:t xml:space="preserve">POST /v1/field-missions/{id}/evidence</w:t>
            </w:r>
            <w:r>
              <w:rPr>
                <w:sz w:val="17"/>
              </w:rPr>
              <w:t xml:space="preserve"> </w:t>
            </w:r>
            <w:r>
              <w:rPr>
                <w:sz w:val="17"/>
              </w:rPr>
              <w:t xml:space="preserve">;</w:t>
            </w:r>
            <w:r>
              <w:rPr>
                <w:sz w:val="17"/>
              </w:rPr>
              <w:t xml:space="preserve"> </w:t>
            </w:r>
            <w:r>
              <w:rPr>
                <w:rStyle w:val="VerbatimChar"/>
                <w:sz w:val="17"/>
              </w:rPr>
              <w:t xml:space="preserve">POST /v1/field/sync</w:t>
            </w:r>
          </w:p>
        </w:tc>
        <w:tc>
          <w:tcPr>
            <w:shd w:val="clear" w:color="auto" w:fill="F5F7FB"/>
          </w:tcPr>
          <w:p>
            <w:pPr>
              <w:pStyle w:val="Compact"/>
            </w:pPr>
            <w:r>
              <w:rPr>
                <w:rStyle w:val="VerbatimChar"/>
                <w:sz w:val="17"/>
              </w:rPr>
              <w:t xml:space="preserve">POST /v1/field-sync/batches</w:t>
            </w:r>
          </w:p>
        </w:tc>
      </w:tr>
      <w:tr>
        <w:tc>
          <w:tcPr/>
          <w:p>
            <w:pPr>
              <w:pStyle w:val="Compact"/>
            </w:pPr>
            <w:r>
              <w:rPr>
                <w:rStyle w:val="VerbatimChar"/>
                <w:sz w:val="17"/>
              </w:rPr>
              <w:t xml:space="preserve">POST /v1/constats</w:t>
            </w:r>
          </w:p>
        </w:tc>
        <w:tc>
          <w:tcPr/>
          <w:p>
            <w:pPr>
              <w:pStyle w:val="Compact"/>
            </w:pPr>
            <w:r>
              <w:rPr>
                <w:sz w:val="17"/>
              </w:rPr>
              <w:t xml:space="preserve">—</w:t>
            </w:r>
          </w:p>
        </w:tc>
        <w:tc>
          <w:tcPr/>
          <w:p>
            <w:pPr>
              <w:pStyle w:val="Compact"/>
            </w:pPr>
            <w:r>
              <w:rPr>
                <w:rStyle w:val="VerbatimChar"/>
                <w:sz w:val="17"/>
              </w:rPr>
              <w:t xml:space="preserve">POST /v1/inspections</w:t>
            </w:r>
          </w:p>
        </w:tc>
      </w:tr>
      <w:tr>
        <w:tc>
          <w:tcPr>
            <w:shd w:val="clear" w:color="auto" w:fill="F5F7FB"/>
          </w:tcPr>
          <w:p>
            <w:pPr>
              <w:pStyle w:val="Compact"/>
            </w:pPr>
            <w:r>
              <w:rPr>
                <w:rStyle w:val="VerbatimChar"/>
                <w:sz w:val="17"/>
              </w:rPr>
              <w:t xml:space="preserve">POST /v1/recours</w:t>
            </w:r>
          </w:p>
        </w:tc>
        <w:tc>
          <w:tcPr>
            <w:shd w:val="clear" w:color="auto" w:fill="F5F7FB"/>
          </w:tcPr>
          <w:p>
            <w:pPr>
              <w:pStyle w:val="Compact"/>
            </w:pPr>
            <w:r>
              <w:rPr>
                <w:rStyle w:val="VerbatimChar"/>
                <w:sz w:val="17"/>
              </w:rPr>
              <w:t xml:space="preserve">POST /v1/appeals</w:t>
            </w:r>
          </w:p>
        </w:tc>
        <w:tc>
          <w:tcPr>
            <w:shd w:val="clear" w:color="auto" w:fill="F5F7FB"/>
          </w:tcPr>
          <w:p>
            <w:pPr>
              <w:pStyle w:val="Compact"/>
            </w:pPr>
            <w:r>
              <w:rPr>
                <w:rStyle w:val="VerbatimChar"/>
                <w:sz w:val="17"/>
              </w:rPr>
              <w:t xml:space="preserve">POST /v1/appeals</w:t>
            </w:r>
            <w:r>
              <w:rPr>
                <w:sz w:val="17"/>
              </w:rPr>
              <w:t xml:space="preserve"> </w:t>
            </w:r>
            <w:r>
              <w:rPr>
                <w:sz w:val="17"/>
              </w:rPr>
              <w:t xml:space="preserve">·</w:t>
            </w:r>
            <w:r>
              <w:rPr>
                <w:sz w:val="17"/>
              </w:rPr>
              <w:t xml:space="preserve"> </w:t>
            </w:r>
            <w:r>
              <w:rPr>
                <w:rStyle w:val="VerbatimChar"/>
                <w:sz w:val="17"/>
              </w:rPr>
              <w:t xml:space="preserve">:decide</w:t>
            </w:r>
          </w:p>
        </w:tc>
      </w:tr>
      <w:tr>
        <w:tc>
          <w:tcPr/>
          <w:p>
            <w:pPr>
              <w:pStyle w:val="Compact"/>
            </w:pPr>
            <w:r>
              <w:rPr>
                <w:rStyle w:val="VerbatimChar"/>
                <w:sz w:val="17"/>
              </w:rPr>
              <w:t xml:space="preserve">GET /v1/alertes-fraude</w:t>
            </w:r>
          </w:p>
        </w:tc>
        <w:tc>
          <w:tcPr/>
          <w:p>
            <w:pPr>
              <w:pStyle w:val="Compact"/>
            </w:pPr>
            <w:r>
              <w:rPr>
                <w:sz w:val="17"/>
              </w:rPr>
              <w:t xml:space="preserve">—</w:t>
            </w:r>
          </w:p>
        </w:tc>
        <w:tc>
          <w:tcPr/>
          <w:p>
            <w:pPr>
              <w:pStyle w:val="Compact"/>
            </w:pPr>
            <w:r>
              <w:rPr>
                <w:rStyle w:val="VerbatimChar"/>
                <w:sz w:val="17"/>
              </w:rPr>
              <w:t xml:space="preserve">GET /v1/fraud-alerts</w:t>
            </w:r>
          </w:p>
        </w:tc>
      </w:tr>
      <w:tr>
        <w:tc>
          <w:tcPr>
            <w:shd w:val="clear" w:color="auto" w:fill="F5F7FB"/>
          </w:tcPr>
          <w:p>
            <w:pPr>
              <w:pStyle w:val="Compact"/>
            </w:pPr>
            <w:r>
              <w:rPr>
                <w:rStyle w:val="VerbatimChar"/>
                <w:sz w:val="17"/>
              </w:rPr>
              <w:t xml:space="preserve">GET /v1/tableaux/{profil}</w:t>
            </w:r>
          </w:p>
        </w:tc>
        <w:tc>
          <w:tcPr>
            <w:shd w:val="clear" w:color="auto" w:fill="F5F7FB"/>
          </w:tcPr>
          <w:p>
            <w:pPr>
              <w:pStyle w:val="Compact"/>
            </w:pPr>
            <w:r>
              <w:rPr>
                <w:sz w:val="17"/>
              </w:rPr>
              <w:t xml:space="preserve">—</w:t>
            </w:r>
          </w:p>
        </w:tc>
        <w:tc>
          <w:tcPr>
            <w:shd w:val="clear" w:color="auto" w:fill="F5F7FB"/>
          </w:tcPr>
          <w:p>
            <w:pPr>
              <w:pStyle w:val="Compact"/>
            </w:pPr>
            <w:r>
              <w:rPr>
                <w:rStyle w:val="VerbatimChar"/>
                <w:sz w:val="17"/>
              </w:rPr>
              <w:t xml:space="preserve">GET /v1/dashboards/{board}</w:t>
            </w:r>
          </w:p>
        </w:tc>
      </w:tr>
      <w:tr>
        <w:tc>
          <w:tcPr/>
          <w:p>
            <w:pPr>
              <w:pStyle w:val="Compact"/>
            </w:pPr>
            <w:r>
              <w:rPr>
                <w:rStyle w:val="VerbatimChar"/>
                <w:sz w:val="17"/>
              </w:rPr>
              <w:t xml:space="preserve">GET /v1/previsions</w:t>
            </w:r>
          </w:p>
        </w:tc>
        <w:tc>
          <w:tcPr/>
          <w:p>
            <w:pPr>
              <w:pStyle w:val="Compact"/>
            </w:pPr>
            <w:r>
              <w:rPr>
                <w:sz w:val="17"/>
              </w:rPr>
              <w:t xml:space="preserve">—</w:t>
            </w:r>
          </w:p>
        </w:tc>
        <w:tc>
          <w:tcPr/>
          <w:p>
            <w:pPr>
              <w:pStyle w:val="Compact"/>
            </w:pPr>
            <w:r>
              <w:rPr>
                <w:rStyle w:val="VerbatimChar"/>
                <w:sz w:val="17"/>
              </w:rPr>
              <w:t xml:space="preserve">POST /v1/forecasts:run</w:t>
            </w:r>
          </w:p>
        </w:tc>
      </w:tr>
      <w:tr>
        <w:tc>
          <w:tcPr>
            <w:shd w:val="clear" w:color="auto" w:fill="F5F7FB"/>
          </w:tcPr>
          <w:p>
            <w:pPr>
              <w:pStyle w:val="Compact"/>
            </w:pPr>
            <w:r>
              <w:rPr>
                <w:rStyle w:val="VerbatimChar"/>
                <w:sz w:val="17"/>
              </w:rPr>
              <w:t xml:space="preserve">POST /v1/affectations/scenarios</w:t>
            </w:r>
          </w:p>
        </w:tc>
        <w:tc>
          <w:tcPr>
            <w:shd w:val="clear" w:color="auto" w:fill="F5F7FB"/>
          </w:tcPr>
          <w:p>
            <w:pPr>
              <w:pStyle w:val="Compact"/>
            </w:pPr>
            <w:r>
              <w:rPr>
                <w:sz w:val="17"/>
              </w:rPr>
              <w:t xml:space="preserve">—</w:t>
            </w:r>
          </w:p>
        </w:tc>
        <w:tc>
          <w:tcPr>
            <w:shd w:val="clear" w:color="auto" w:fill="F5F7FB"/>
          </w:tcPr>
          <w:p>
            <w:pPr>
              <w:pStyle w:val="Compact"/>
            </w:pPr>
            <w:r>
              <w:rPr>
                <w:rStyle w:val="VerbatimChar"/>
                <w:sz w:val="17"/>
              </w:rPr>
              <w:t xml:space="preserve">POST /v1/allocation-scenarios</w:t>
            </w:r>
          </w:p>
        </w:tc>
      </w:tr>
    </w:tbl>
    <w:p>
      <w:pPr>
        <w:pStyle w:val="BodyText"/>
      </w:pPr>
      <w:r>
        <w:t xml:space="preserve">Routes</w:t>
      </w:r>
      <w:r>
        <w:t xml:space="preserve"> </w:t>
      </w:r>
      <w:r>
        <w:rPr>
          <w:b/>
          <w:bCs/>
        </w:rPr>
        <w:t xml:space="preserve">à ajouter</w:t>
      </w:r>
      <w:r>
        <w:t xml:space="preserve"> </w:t>
      </w:r>
      <w:r>
        <w:t xml:space="preserve">à la spécification OpenAPI (</w:t>
      </w:r>
      <w:r>
        <w:rPr>
          <w:rStyle w:val="VerbatimChar"/>
        </w:rPr>
        <w:t xml:space="preserve">specs/openapi.yaml</w:t>
      </w:r>
      <w:r>
        <w:t xml:space="preserve">) pour les modules intégrés ; mêmes normes que le § 30.1 (OAuth 2.1, mTLS pour partenaires et terminaux,</w:t>
      </w:r>
      <w:r>
        <w:t xml:space="preserve"> </w:t>
      </w:r>
      <w:r>
        <w:rPr>
          <w:rStyle w:val="VerbatimChar"/>
        </w:rPr>
        <w:t xml:space="preserve">Idempotency-Key</w:t>
      </w:r>
      <w:r>
        <w:t xml:space="preserve"> </w:t>
      </w:r>
      <w:r>
        <w:t xml:space="preserve">pour tout effet financier, limites de débit, audit).</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Route v3.0 (convention retenue)</w:t>
            </w:r>
          </w:p>
        </w:tc>
        <w:tc>
          <w:tcPr>
            <w:shd w:val="clear" w:color="auto" w:fill="232C6B"/>
          </w:tcPr>
          <w:p>
            <w:pPr>
              <w:pStyle w:val="Compact"/>
            </w:pPr>
            <w:r>
              <w:rPr>
                <w:b/>
                <w:color w:val="FFFFFF"/>
                <w:sz w:val="17"/>
              </w:rPr>
              <w:t xml:space="preserve">Route source</w:t>
            </w:r>
          </w:p>
        </w:tc>
        <w:tc>
          <w:tcPr>
            <w:shd w:val="clear" w:color="auto" w:fill="232C6B"/>
          </w:tcPr>
          <w:p>
            <w:pPr>
              <w:pStyle w:val="Compact"/>
            </w:pPr>
            <w:r>
              <w:rPr>
                <w:b/>
                <w:color w:val="FFFFFF"/>
                <w:sz w:val="17"/>
              </w:rPr>
              <w:t xml:space="preserve">Acteur</w:t>
            </w:r>
          </w:p>
        </w:tc>
        <w:tc>
          <w:tcPr>
            <w:shd w:val="clear" w:color="auto" w:fill="232C6B"/>
          </w:tcPr>
          <w:p>
            <w:pPr>
              <w:pStyle w:val="Compact"/>
            </w:pPr>
            <w:r>
              <w:rPr>
                <w:b/>
                <w:color w:val="FFFFFF"/>
                <w:sz w:val="17"/>
              </w:rPr>
              <w:t xml:space="preserve">Contrôles</w:t>
            </w:r>
          </w:p>
        </w:tc>
      </w:tr>
      <w:tr>
        <w:tc>
          <w:tcPr/>
          <w:p>
            <w:pPr>
              <w:pStyle w:val="Compact"/>
            </w:pPr>
            <w:r>
              <w:rPr>
                <w:rStyle w:val="VerbatimChar"/>
                <w:sz w:val="17"/>
              </w:rPr>
              <w:t xml:space="preserve">POST /v1/assisted-enrolments</w:t>
            </w:r>
          </w:p>
        </w:tc>
        <w:tc>
          <w:tcPr/>
          <w:p>
            <w:pPr>
              <w:pStyle w:val="Compact"/>
            </w:pPr>
            <w:r>
              <w:rPr>
                <w:rStyle w:val="VerbatimChar"/>
                <w:sz w:val="17"/>
              </w:rPr>
              <w:t xml:space="preserve">POST /v1/enrolements/assistes</w:t>
            </w:r>
          </w:p>
        </w:tc>
        <w:tc>
          <w:tcPr/>
          <w:p>
            <w:pPr>
              <w:pStyle w:val="Compact"/>
            </w:pPr>
            <w:r>
              <w:rPr>
                <w:sz w:val="17"/>
              </w:rPr>
              <w:t xml:space="preserve">Agent d’enrôlement</w:t>
            </w:r>
          </w:p>
        </w:tc>
        <w:tc>
          <w:tcPr/>
          <w:p>
            <w:pPr>
              <w:pStyle w:val="Compact"/>
            </w:pPr>
            <w:r>
              <w:rPr>
                <w:sz w:val="17"/>
              </w:rPr>
              <w:t xml:space="preserve">Lecture audio, consentement horodaté, zone et horaire, terminal enrôlé</w:t>
            </w:r>
          </w:p>
        </w:tc>
      </w:tr>
      <w:tr>
        <w:tc>
          <w:tcPr>
            <w:shd w:val="clear" w:color="auto" w:fill="F5F7FB"/>
          </w:tcPr>
          <w:p>
            <w:pPr>
              <w:pStyle w:val="Compact"/>
            </w:pPr>
            <w:r>
              <w:rPr>
                <w:rStyle w:val="VerbatimChar"/>
                <w:sz w:val="17"/>
              </w:rPr>
              <w:t xml:space="preserve">POST /v1/mosolo-cards</w:t>
            </w:r>
            <w:r>
              <w:rPr>
                <w:sz w:val="17"/>
              </w:rPr>
              <w:t xml:space="preserve"> </w:t>
            </w:r>
            <w:r>
              <w:rPr>
                <w:sz w:val="17"/>
              </w:rPr>
              <w:t xml:space="preserve">·</w:t>
            </w:r>
            <w:r>
              <w:rPr>
                <w:sz w:val="17"/>
              </w:rPr>
              <w:t xml:space="preserve"> </w:t>
            </w:r>
            <w:r>
              <w:rPr>
                <w:rStyle w:val="VerbatimChar"/>
                <w:sz w:val="17"/>
              </w:rPr>
              <w:t xml:space="preserve">:revoke</w:t>
            </w:r>
            <w:r>
              <w:rPr>
                <w:sz w:val="17"/>
              </w:rPr>
              <w:t xml:space="preserve"> </w:t>
            </w:r>
            <w:r>
              <w:rPr>
                <w:sz w:val="17"/>
              </w:rPr>
              <w:t xml:space="preserve">·</w:t>
            </w:r>
            <w:r>
              <w:rPr>
                <w:sz w:val="17"/>
              </w:rPr>
              <w:t xml:space="preserve"> </w:t>
            </w:r>
            <w:r>
              <w:rPr>
                <w:rStyle w:val="VerbatimChar"/>
                <w:sz w:val="17"/>
              </w:rPr>
              <w:t xml:space="preserve">:reissue</w:t>
            </w:r>
          </w:p>
        </w:tc>
        <w:tc>
          <w:tcPr>
            <w:shd w:val="clear" w:color="auto" w:fill="F5F7FB"/>
          </w:tcPr>
          <w:p>
            <w:pPr>
              <w:pStyle w:val="Compact"/>
            </w:pPr>
            <w:r>
              <w:rPr>
                <w:rStyle w:val="VerbatimChar"/>
                <w:sz w:val="17"/>
              </w:rPr>
              <w:t xml:space="preserve">POST /v1/cartes</w:t>
            </w:r>
          </w:p>
        </w:tc>
        <w:tc>
          <w:tcPr>
            <w:shd w:val="clear" w:color="auto" w:fill="F5F7FB"/>
          </w:tcPr>
          <w:p>
            <w:pPr>
              <w:pStyle w:val="Compact"/>
            </w:pPr>
            <w:r>
              <w:rPr>
                <w:sz w:val="17"/>
              </w:rPr>
              <w:t xml:space="preserve">Agent, guichet</w:t>
            </w:r>
          </w:p>
        </w:tc>
        <w:tc>
          <w:tcPr>
            <w:shd w:val="clear" w:color="auto" w:fill="F5F7FB"/>
          </w:tcPr>
          <w:p>
            <w:pPr>
              <w:pStyle w:val="Compact"/>
            </w:pPr>
            <w:r>
              <w:rPr>
                <w:sz w:val="17"/>
              </w:rPr>
              <w:t xml:space="preserve">Double validation pour la réémission</w:t>
            </w:r>
          </w:p>
        </w:tc>
      </w:tr>
      <w:tr>
        <w:tc>
          <w:tcPr/>
          <w:p>
            <w:pPr>
              <w:pStyle w:val="Compact"/>
            </w:pPr>
            <w:r>
              <w:rPr>
                <w:rStyle w:val="VerbatimChar"/>
                <w:sz w:val="17"/>
              </w:rPr>
              <w:t xml:space="preserve">GET /v1/public/verifications/{short_code}</w:t>
            </w:r>
          </w:p>
        </w:tc>
        <w:tc>
          <w:tcPr/>
          <w:p>
            <w:pPr>
              <w:pStyle w:val="Compact"/>
            </w:pPr>
            <w:r>
              <w:rPr>
                <w:rStyle w:val="VerbatimChar"/>
                <w:sz w:val="17"/>
              </w:rPr>
              <w:t xml:space="preserve">GET /v1/verification/code/{code}</w:t>
            </w:r>
          </w:p>
        </w:tc>
        <w:tc>
          <w:tcPr/>
          <w:p>
            <w:pPr>
              <w:pStyle w:val="Compact"/>
            </w:pPr>
            <w:r>
              <w:rPr>
                <w:sz w:val="17"/>
              </w:rPr>
              <w:t xml:space="preserve">Public</w:t>
            </w:r>
          </w:p>
        </w:tc>
        <w:tc>
          <w:tcPr/>
          <w:p>
            <w:pPr>
              <w:pStyle w:val="Compact"/>
            </w:pPr>
            <w:r>
              <w:rPr>
                <w:sz w:val="17"/>
              </w:rPr>
              <w:t xml:space="preserve">Chiffre de contrôle, limite de débit, divulgation minimale (quittance, carte, badge, titre)</w:t>
            </w:r>
          </w:p>
        </w:tc>
      </w:tr>
      <w:tr>
        <w:tc>
          <w:tcPr>
            <w:shd w:val="clear" w:color="auto" w:fill="F5F7FB"/>
          </w:tcPr>
          <w:p>
            <w:pPr>
              <w:pStyle w:val="Compact"/>
            </w:pPr>
            <w:r>
              <w:rPr>
                <w:rStyle w:val="VerbatimChar"/>
                <w:sz w:val="17"/>
              </w:rPr>
              <w:t xml:space="preserve">GET /v1/public/payment-points</w:t>
            </w:r>
          </w:p>
        </w:tc>
        <w:tc>
          <w:tcPr>
            <w:shd w:val="clear" w:color="auto" w:fill="F5F7FB"/>
          </w:tcPr>
          <w:p>
            <w:pPr>
              <w:pStyle w:val="Compact"/>
            </w:pPr>
            <w:r>
              <w:rPr>
                <w:rStyle w:val="VerbatimChar"/>
                <w:sz w:val="17"/>
              </w:rPr>
              <w:t xml:space="preserve">GET /v1/points-paiement</w:t>
            </w:r>
          </w:p>
        </w:tc>
        <w:tc>
          <w:tcPr>
            <w:shd w:val="clear" w:color="auto" w:fill="F5F7FB"/>
          </w:tcPr>
          <w:p>
            <w:pPr>
              <w:pStyle w:val="Compact"/>
            </w:pPr>
            <w:r>
              <w:rPr>
                <w:sz w:val="17"/>
              </w:rPr>
              <w:t xml:space="preserve">Public</w:t>
            </w:r>
          </w:p>
        </w:tc>
        <w:tc>
          <w:tcPr>
            <w:shd w:val="clear" w:color="auto" w:fill="F5F7FB"/>
          </w:tcPr>
          <w:p>
            <w:pPr>
              <w:pStyle w:val="Compact"/>
            </w:pPr>
            <w:r>
              <w:rPr>
                <w:sz w:val="17"/>
              </w:rPr>
              <w:t xml:space="preserve">—</w:t>
            </w:r>
          </w:p>
        </w:tc>
      </w:tr>
      <w:tr>
        <w:tc>
          <w:tcPr/>
          <w:p>
            <w:pPr>
              <w:pStyle w:val="Compact"/>
            </w:pPr>
            <w:r>
              <w:rPr>
                <w:rStyle w:val="VerbatimChar"/>
                <w:sz w:val="17"/>
              </w:rPr>
              <w:t xml:space="preserve">POST /v1/payment-points/{id}/collections</w:t>
            </w:r>
          </w:p>
        </w:tc>
        <w:tc>
          <w:tcPr/>
          <w:p>
            <w:pPr>
              <w:pStyle w:val="Compact"/>
            </w:pPr>
            <w:r>
              <w:rPr>
                <w:rStyle w:val="VerbatimChar"/>
                <w:sz w:val="17"/>
              </w:rPr>
              <w:t xml:space="preserve">POST /v1/points-paiement/{id}/encaissements</w:t>
            </w:r>
          </w:p>
        </w:tc>
        <w:tc>
          <w:tcPr/>
          <w:p>
            <w:pPr>
              <w:pStyle w:val="Compact"/>
            </w:pPr>
            <w:r>
              <w:rPr>
                <w:sz w:val="17"/>
              </w:rPr>
              <w:t xml:space="preserve">Point agréé</w:t>
            </w:r>
          </w:p>
        </w:tc>
        <w:tc>
          <w:tcPr/>
          <w:p>
            <w:pPr>
              <w:pStyle w:val="Compact"/>
            </w:pPr>
            <w:r>
              <w:rPr>
                <w:sz w:val="17"/>
              </w:rPr>
              <w:t xml:space="preserve">mTLS, référence valide,</w:t>
            </w:r>
            <w:r>
              <w:rPr>
                <w:sz w:val="17"/>
              </w:rPr>
              <w:t xml:space="preserve"> </w:t>
            </w:r>
            <w:r>
              <w:rPr>
                <w:b/>
                <w:bCs/>
                <w:sz w:val="17"/>
              </w:rPr>
              <w:t xml:space="preserve">montant immuable</w:t>
            </w:r>
            <w:r>
              <w:rPr>
                <w:sz w:val="17"/>
              </w:rPr>
              <w:t xml:space="preserve">, idempotence</w:t>
            </w:r>
          </w:p>
        </w:tc>
      </w:tr>
      <w:tr>
        <w:tc>
          <w:tcPr>
            <w:shd w:val="clear" w:color="auto" w:fill="F5F7FB"/>
          </w:tcPr>
          <w:p>
            <w:pPr>
              <w:pStyle w:val="Compact"/>
            </w:pPr>
            <w:r>
              <w:rPr>
                <w:rStyle w:val="VerbatimChar"/>
                <w:sz w:val="17"/>
              </w:rPr>
              <w:t xml:space="preserve">POST /v1/subcontractors</w:t>
            </w:r>
            <w:r>
              <w:rPr>
                <w:sz w:val="17"/>
              </w:rPr>
              <w:t xml:space="preserve"> </w:t>
            </w:r>
            <w:r>
              <w:rPr>
                <w:sz w:val="17"/>
              </w:rPr>
              <w:t xml:space="preserve">·</w:t>
            </w:r>
            <w:r>
              <w:rPr>
                <w:sz w:val="17"/>
              </w:rPr>
              <w:t xml:space="preserve"> </w:t>
            </w:r>
            <w:r>
              <w:rPr>
                <w:rStyle w:val="VerbatimChar"/>
                <w:sz w:val="17"/>
              </w:rPr>
              <w:t xml:space="preserve">:accredit</w:t>
            </w:r>
          </w:p>
        </w:tc>
        <w:tc>
          <w:tcPr>
            <w:shd w:val="clear" w:color="auto" w:fill="F5F7FB"/>
          </w:tcPr>
          <w:p>
            <w:pPr>
              <w:pStyle w:val="Compact"/>
            </w:pPr>
            <w:r>
              <w:rPr>
                <w:rStyle w:val="VerbatimChar"/>
                <w:sz w:val="17"/>
              </w:rPr>
              <w:t xml:space="preserve">POST /v1/partenaires/sous-traitants</w:t>
            </w:r>
          </w:p>
        </w:tc>
        <w:tc>
          <w:tcPr>
            <w:shd w:val="clear" w:color="auto" w:fill="F5F7FB"/>
          </w:tcPr>
          <w:p>
            <w:pPr>
              <w:pStyle w:val="Compact"/>
            </w:pPr>
            <w:r>
              <w:rPr>
                <w:sz w:val="17"/>
              </w:rPr>
              <w:t xml:space="preserve">Direction de régie, responsable de module</w:t>
            </w:r>
          </w:p>
        </w:tc>
        <w:tc>
          <w:tcPr>
            <w:shd w:val="clear" w:color="auto" w:fill="F5F7FB"/>
          </w:tcPr>
          <w:p>
            <w:pPr>
              <w:pStyle w:val="Compact"/>
            </w:pPr>
            <w:r>
              <w:rPr>
                <w:sz w:val="17"/>
              </w:rPr>
              <w:t xml:space="preserve">Statut « en diligence » ; maker-checker</w:t>
            </w:r>
          </w:p>
        </w:tc>
      </w:tr>
      <w:tr>
        <w:tc>
          <w:tcPr/>
          <w:p>
            <w:pPr>
              <w:pStyle w:val="Compact"/>
            </w:pPr>
            <w:r>
              <w:rPr>
                <w:rStyle w:val="VerbatimChar"/>
                <w:sz w:val="17"/>
              </w:rPr>
              <w:t xml:space="preserve">POST /v1/subcontractors/{id}/agents</w:t>
            </w:r>
          </w:p>
        </w:tc>
        <w:tc>
          <w:tcPr/>
          <w:p>
            <w:pPr>
              <w:pStyle w:val="Compact"/>
            </w:pPr>
            <w:r>
              <w:rPr>
                <w:rStyle w:val="VerbatimChar"/>
                <w:sz w:val="17"/>
              </w:rPr>
              <w:t xml:space="preserve">POST /v1/sous-traitants/{id}/agents</w:t>
            </w:r>
          </w:p>
        </w:tc>
        <w:tc>
          <w:tcPr/>
          <w:p>
            <w:pPr>
              <w:pStyle w:val="Compact"/>
            </w:pPr>
            <w:r>
              <w:rPr>
                <w:sz w:val="17"/>
              </w:rPr>
              <w:t xml:space="preserve">Sous-traitant, responsable de module</w:t>
            </w:r>
          </w:p>
        </w:tc>
        <w:tc>
          <w:tcPr/>
          <w:p>
            <w:pPr>
              <w:pStyle w:val="Compact"/>
            </w:pPr>
            <w:r>
              <w:rPr>
                <w:sz w:val="17"/>
              </w:rPr>
              <w:t xml:space="preserve">Agent</w:t>
            </w:r>
            <w:r>
              <w:rPr>
                <w:sz w:val="17"/>
              </w:rPr>
              <w:t xml:space="preserve"> </w:t>
            </w:r>
            <w:r>
              <w:rPr>
                <w:b/>
                <w:bCs/>
                <w:sz w:val="17"/>
              </w:rPr>
              <w:t xml:space="preserve">inactif jusqu’à habilitation</w:t>
            </w:r>
          </w:p>
        </w:tc>
      </w:tr>
      <w:tr>
        <w:tc>
          <w:tcPr>
            <w:shd w:val="clear" w:color="auto" w:fill="F5F7FB"/>
          </w:tcPr>
          <w:p>
            <w:pPr>
              <w:pStyle w:val="Compact"/>
            </w:pPr>
            <w:r>
              <w:rPr>
                <w:rStyle w:val="VerbatimChar"/>
                <w:sz w:val="17"/>
              </w:rPr>
              <w:t xml:space="preserve">POST /v1/lots/{id}/mission-assignments</w:t>
            </w:r>
          </w:p>
        </w:tc>
        <w:tc>
          <w:tcPr>
            <w:shd w:val="clear" w:color="auto" w:fill="F5F7FB"/>
          </w:tcPr>
          <w:p>
            <w:pPr>
              <w:pStyle w:val="Compact"/>
            </w:pPr>
            <w:r>
              <w:rPr>
                <w:rStyle w:val="VerbatimChar"/>
                <w:sz w:val="17"/>
              </w:rPr>
              <w:t xml:space="preserve">POST /v1/lots/{id}/missions/affectations</w:t>
            </w:r>
          </w:p>
        </w:tc>
        <w:tc>
          <w:tcPr>
            <w:shd w:val="clear" w:color="auto" w:fill="F5F7FB"/>
          </w:tcPr>
          <w:p>
            <w:pPr>
              <w:pStyle w:val="Compact"/>
            </w:pPr>
            <w:r>
              <w:rPr>
                <w:sz w:val="17"/>
              </w:rPr>
              <w:t xml:space="preserve">Sous-traitant, superviseur</w:t>
            </w:r>
          </w:p>
        </w:tc>
        <w:tc>
          <w:tcPr>
            <w:shd w:val="clear" w:color="auto" w:fill="F5F7FB"/>
          </w:tcPr>
          <w:p>
            <w:pPr>
              <w:pStyle w:val="Compact"/>
            </w:pPr>
            <w:r>
              <w:rPr>
                <w:sz w:val="17"/>
              </w:rPr>
              <w:t xml:space="preserve">Limité au lot (zone, période)</w:t>
            </w:r>
          </w:p>
        </w:tc>
      </w:tr>
      <w:tr>
        <w:tc>
          <w:tcPr/>
          <w:p>
            <w:pPr>
              <w:pStyle w:val="Compact"/>
            </w:pPr>
            <w:r>
              <w:rPr>
                <w:rStyle w:val="VerbatimChar"/>
                <w:sz w:val="17"/>
              </w:rPr>
              <w:t xml:space="preserve">GET /v1/public/agent-badges/{badge}</w:t>
            </w:r>
          </w:p>
        </w:tc>
        <w:tc>
          <w:tcPr/>
          <w:p>
            <w:pPr>
              <w:pStyle w:val="Compact"/>
            </w:pPr>
            <w:r>
              <w:rPr>
                <w:rStyle w:val="VerbatimChar"/>
                <w:sz w:val="17"/>
              </w:rPr>
              <w:t xml:space="preserve">GET /v1/agents/{badge}/verification</w:t>
            </w:r>
          </w:p>
        </w:tc>
        <w:tc>
          <w:tcPr/>
          <w:p>
            <w:pPr>
              <w:pStyle w:val="Compact"/>
            </w:pPr>
            <w:r>
              <w:rPr>
                <w:sz w:val="17"/>
              </w:rPr>
              <w:t xml:space="preserve">Public</w:t>
            </w:r>
          </w:p>
        </w:tc>
        <w:tc>
          <w:tcPr/>
          <w:p>
            <w:pPr>
              <w:pStyle w:val="Compact"/>
            </w:pPr>
            <w:r>
              <w:rPr>
                <w:sz w:val="17"/>
              </w:rPr>
              <w:t xml:space="preserve">Statut, module, zone, période, structure</w:t>
            </w:r>
          </w:p>
        </w:tc>
      </w:tr>
      <w:tr>
        <w:tc>
          <w:tcPr>
            <w:shd w:val="clear" w:color="auto" w:fill="F5F7FB"/>
          </w:tcPr>
          <w:p>
            <w:pPr>
              <w:pStyle w:val="Compact"/>
            </w:pPr>
            <w:r>
              <w:rPr>
                <w:rStyle w:val="VerbatimChar"/>
                <w:sz w:val="17"/>
              </w:rPr>
              <w:t xml:space="preserve">POST /v1/public/reports</w:t>
            </w:r>
          </w:p>
        </w:tc>
        <w:tc>
          <w:tcPr>
            <w:shd w:val="clear" w:color="auto" w:fill="F5F7FB"/>
          </w:tcPr>
          <w:p>
            <w:pPr>
              <w:pStyle w:val="Compact"/>
            </w:pPr>
            <w:r>
              <w:rPr>
                <w:rStyle w:val="VerbatimChar"/>
                <w:sz w:val="17"/>
              </w:rPr>
              <w:t xml:space="preserve">POST /v1/signalements</w:t>
            </w:r>
          </w:p>
        </w:tc>
        <w:tc>
          <w:tcPr>
            <w:shd w:val="clear" w:color="auto" w:fill="F5F7FB"/>
          </w:tcPr>
          <w:p>
            <w:pPr>
              <w:pStyle w:val="Compact"/>
            </w:pPr>
            <w:r>
              <w:rPr>
                <w:sz w:val="17"/>
              </w:rPr>
              <w:t xml:space="preserve">Public</w:t>
            </w:r>
          </w:p>
        </w:tc>
        <w:tc>
          <w:tcPr>
            <w:shd w:val="clear" w:color="auto" w:fill="F5F7FB"/>
          </w:tcPr>
          <w:p>
            <w:pPr>
              <w:pStyle w:val="Compact"/>
            </w:pPr>
            <w:r>
              <w:rPr>
                <w:sz w:val="17"/>
              </w:rPr>
              <w:t xml:space="preserve">Anonymat possible, accusé de réception</w:t>
            </w:r>
          </w:p>
        </w:tc>
      </w:tr>
      <w:tr>
        <w:tc>
          <w:tcPr/>
          <w:p>
            <w:pPr>
              <w:pStyle w:val="Compact"/>
            </w:pPr>
            <w:r>
              <w:rPr>
                <w:rStyle w:val="VerbatimChar"/>
                <w:sz w:val="17"/>
              </w:rPr>
              <w:t xml:space="preserve">POST /v1/credentials</w:t>
            </w:r>
          </w:p>
        </w:tc>
        <w:tc>
          <w:tcPr/>
          <w:p>
            <w:pPr>
              <w:pStyle w:val="Compact"/>
            </w:pPr>
            <w:r>
              <w:rPr>
                <w:rStyle w:val="VerbatimChar"/>
                <w:sz w:val="17"/>
              </w:rPr>
              <w:t xml:space="preserve">POST /v1/titres</w:t>
            </w:r>
          </w:p>
        </w:tc>
        <w:tc>
          <w:tcPr/>
          <w:p>
            <w:pPr>
              <w:pStyle w:val="Compact"/>
            </w:pPr>
            <w:r>
              <w:rPr>
                <w:sz w:val="17"/>
              </w:rPr>
              <w:t xml:space="preserve">Système, point agréé</w:t>
            </w:r>
          </w:p>
        </w:tc>
        <w:tc>
          <w:tcPr/>
          <w:p>
            <w:pPr>
              <w:pStyle w:val="Compact"/>
            </w:pPr>
            <w:r>
              <w:rPr>
                <w:sz w:val="17"/>
              </w:rPr>
              <w:t xml:space="preserve">Quittance ou exonération valide ; type activé ;</w:t>
            </w:r>
            <w:r>
              <w:rPr>
                <w:sz w:val="17"/>
              </w:rPr>
              <w:t xml:space="preserve"> </w:t>
            </w:r>
            <w:r>
              <w:rPr>
                <w:b/>
                <w:bCs/>
                <w:sz w:val="17"/>
              </w:rPr>
              <w:t xml:space="preserve">validité calculée par le serveur</w:t>
            </w:r>
          </w:p>
        </w:tc>
      </w:tr>
      <w:tr>
        <w:tc>
          <w:tcPr>
            <w:shd w:val="clear" w:color="auto" w:fill="F5F7FB"/>
          </w:tcPr>
          <w:p>
            <w:pPr>
              <w:pStyle w:val="Compact"/>
            </w:pPr>
            <w:r>
              <w:rPr>
                <w:rStyle w:val="VerbatimChar"/>
                <w:sz w:val="17"/>
              </w:rPr>
              <w:t xml:space="preserve">GET /v1/credentials/{id}/status</w:t>
            </w:r>
          </w:p>
        </w:tc>
        <w:tc>
          <w:tcPr>
            <w:shd w:val="clear" w:color="auto" w:fill="F5F7FB"/>
          </w:tcPr>
          <w:p>
            <w:pPr>
              <w:pStyle w:val="Compact"/>
            </w:pPr>
            <w:r>
              <w:rPr>
                <w:rStyle w:val="VerbatimChar"/>
                <w:sz w:val="17"/>
              </w:rPr>
              <w:t xml:space="preserve">GET /v1/titres/{id}/statut</w:t>
            </w:r>
          </w:p>
        </w:tc>
        <w:tc>
          <w:tcPr>
            <w:shd w:val="clear" w:color="auto" w:fill="F5F7FB"/>
          </w:tcPr>
          <w:p>
            <w:pPr>
              <w:pStyle w:val="Compact"/>
            </w:pPr>
            <w:r>
              <w:rPr>
                <w:sz w:val="17"/>
              </w:rPr>
              <w:t xml:space="preserve">Public (minimal), contrôleur</w:t>
            </w:r>
          </w:p>
        </w:tc>
        <w:tc>
          <w:tcPr>
            <w:shd w:val="clear" w:color="auto" w:fill="F5F7FB"/>
          </w:tcPr>
          <w:p>
            <w:pPr>
              <w:pStyle w:val="Compact"/>
            </w:pPr>
            <w:r>
              <w:rPr>
                <w:sz w:val="17"/>
              </w:rPr>
              <w:t xml:space="preserve">Heure serveur, liste de révocation</w:t>
            </w:r>
          </w:p>
        </w:tc>
      </w:tr>
      <w:tr>
        <w:tc>
          <w:tcPr/>
          <w:p>
            <w:pPr>
              <w:pStyle w:val="Compact"/>
            </w:pPr>
            <w:r>
              <w:rPr>
                <w:rStyle w:val="VerbatimChar"/>
                <w:sz w:val="17"/>
              </w:rPr>
              <w:t xml:space="preserve">POST /v1/credentials/{id}/verifications</w:t>
            </w:r>
          </w:p>
        </w:tc>
        <w:tc>
          <w:tcPr/>
          <w:p>
            <w:pPr>
              <w:pStyle w:val="Compact"/>
            </w:pPr>
            <w:r>
              <w:rPr>
                <w:rStyle w:val="VerbatimChar"/>
                <w:sz w:val="17"/>
              </w:rPr>
              <w:t xml:space="preserve">POST /v1/titres/{id}/controles</w:t>
            </w:r>
          </w:p>
        </w:tc>
        <w:tc>
          <w:tcPr/>
          <w:p>
            <w:pPr>
              <w:pStyle w:val="Compact"/>
            </w:pPr>
            <w:r>
              <w:rPr>
                <w:sz w:val="17"/>
              </w:rPr>
              <w:t xml:space="preserve">Contrôleur</w:t>
            </w:r>
          </w:p>
        </w:tc>
        <w:tc>
          <w:tcPr/>
          <w:p>
            <w:pPr>
              <w:pStyle w:val="Compact"/>
            </w:pPr>
            <w:r>
              <w:rPr>
                <w:sz w:val="17"/>
              </w:rPr>
              <w:t xml:space="preserve">Terminal enrôlé, géolocalisation, consommation si usage unique</w:t>
            </w:r>
          </w:p>
        </w:tc>
      </w:tr>
      <w:tr>
        <w:tc>
          <w:tcPr>
            <w:shd w:val="clear" w:color="auto" w:fill="F5F7FB"/>
          </w:tcPr>
          <w:p>
            <w:pPr>
              <w:pStyle w:val="Compact"/>
            </w:pPr>
            <w:r>
              <w:rPr>
                <w:rStyle w:val="VerbatimChar"/>
                <w:sz w:val="17"/>
              </w:rPr>
              <w:t xml:space="preserve">POST /v1/credentials/{id}:extend</w:t>
            </w:r>
          </w:p>
        </w:tc>
        <w:tc>
          <w:tcPr>
            <w:shd w:val="clear" w:color="auto" w:fill="F5F7FB"/>
          </w:tcPr>
          <w:p>
            <w:pPr>
              <w:pStyle w:val="Compact"/>
            </w:pPr>
            <w:r>
              <w:rPr>
                <w:rStyle w:val="VerbatimChar"/>
                <w:sz w:val="17"/>
              </w:rPr>
              <w:t xml:space="preserve">POST /v1/titres/{id}/prolongations</w:t>
            </w:r>
          </w:p>
        </w:tc>
        <w:tc>
          <w:tcPr>
            <w:shd w:val="clear" w:color="auto" w:fill="F5F7FB"/>
          </w:tcPr>
          <w:p>
            <w:pPr>
              <w:pStyle w:val="Compact"/>
            </w:pPr>
            <w:r>
              <w:rPr>
                <w:sz w:val="17"/>
              </w:rPr>
              <w:t xml:space="preserve">Titulaire, guichet</w:t>
            </w:r>
          </w:p>
        </w:tc>
        <w:tc>
          <w:tcPr>
            <w:shd w:val="clear" w:color="auto" w:fill="F5F7FB"/>
          </w:tcPr>
          <w:p>
            <w:pPr>
              <w:pStyle w:val="Compact"/>
            </w:pPr>
            <w:r>
              <w:rPr>
                <w:sz w:val="17"/>
              </w:rPr>
              <w:t xml:space="preserve">Règle du module, nouveau paiement</w:t>
            </w:r>
          </w:p>
        </w:tc>
      </w:tr>
      <w:tr>
        <w:tc>
          <w:tcPr/>
          <w:p>
            <w:pPr>
              <w:pStyle w:val="Compact"/>
            </w:pPr>
            <w:r>
              <w:rPr>
                <w:rStyle w:val="VerbatimChar"/>
                <w:sz w:val="17"/>
              </w:rPr>
              <w:t xml:space="preserve">GET /v1/vehicles/{plate}/credentials</w:t>
            </w:r>
          </w:p>
        </w:tc>
        <w:tc>
          <w:tcPr/>
          <w:p>
            <w:pPr>
              <w:pStyle w:val="Compact"/>
            </w:pPr>
            <w:r>
              <w:rPr>
                <w:rStyle w:val="VerbatimChar"/>
                <w:sz w:val="17"/>
              </w:rPr>
              <w:t xml:space="preserve">GET /v1/vehicules/{plaque}/titres</w:t>
            </w:r>
          </w:p>
        </w:tc>
        <w:tc>
          <w:tcPr/>
          <w:p>
            <w:pPr>
              <w:pStyle w:val="Compact"/>
            </w:pPr>
            <w:r>
              <w:rPr>
                <w:sz w:val="17"/>
              </w:rPr>
              <w:t xml:space="preserve">Contrôleur</w:t>
            </w:r>
          </w:p>
        </w:tc>
        <w:tc>
          <w:tcPr/>
          <w:p>
            <w:pPr>
              <w:pStyle w:val="Compact"/>
            </w:pPr>
            <w:r>
              <w:rPr>
                <w:sz w:val="17"/>
              </w:rPr>
              <w:t xml:space="preserve">Journalisation, filtrage par module et entité</w:t>
            </w:r>
          </w:p>
        </w:tc>
      </w:tr>
      <w:tr>
        <w:tc>
          <w:tcPr>
            <w:shd w:val="clear" w:color="auto" w:fill="F5F7FB"/>
          </w:tcPr>
          <w:p>
            <w:pPr>
              <w:pStyle w:val="Compact"/>
            </w:pPr>
            <w:r>
              <w:rPr>
                <w:rStyle w:val="VerbatimChar"/>
                <w:sz w:val="17"/>
              </w:rPr>
              <w:t xml:space="preserve">GET /v1/revocation-lists/{kind}</w:t>
            </w:r>
          </w:p>
        </w:tc>
        <w:tc>
          <w:tcPr>
            <w:shd w:val="clear" w:color="auto" w:fill="F5F7FB"/>
          </w:tcPr>
          <w:p>
            <w:pPr>
              <w:pStyle w:val="Compact"/>
            </w:pPr>
            <w:r>
              <w:rPr>
                <w:rStyle w:val="VerbatimChar"/>
                <w:sz w:val="17"/>
              </w:rPr>
              <w:t xml:space="preserve">GET /v1/revocations</w:t>
            </w:r>
          </w:p>
        </w:tc>
        <w:tc>
          <w:tcPr>
            <w:shd w:val="clear" w:color="auto" w:fill="F5F7FB"/>
          </w:tcPr>
          <w:p>
            <w:pPr>
              <w:pStyle w:val="Compact"/>
            </w:pPr>
            <w:r>
              <w:rPr>
                <w:sz w:val="17"/>
              </w:rPr>
              <w:t xml:space="preserve">Terminaux</w:t>
            </w:r>
          </w:p>
        </w:tc>
        <w:tc>
          <w:tcPr>
            <w:shd w:val="clear" w:color="auto" w:fill="F5F7FB"/>
          </w:tcPr>
          <w:p>
            <w:pPr>
              <w:pStyle w:val="Compact"/>
            </w:pPr>
            <w:r>
              <w:rPr>
                <w:sz w:val="17"/>
              </w:rPr>
              <w:t xml:space="preserve">mTLS, liste signée</w:t>
            </w:r>
          </w:p>
        </w:tc>
      </w:tr>
      <w:tr>
        <w:tc>
          <w:tcPr/>
          <w:p>
            <w:pPr>
              <w:pStyle w:val="Compact"/>
            </w:pPr>
            <w:r>
              <w:rPr>
                <w:rStyle w:val="VerbatimChar"/>
                <w:sz w:val="17"/>
              </w:rPr>
              <w:t xml:space="preserve">POST /v1/entities</w:t>
            </w:r>
          </w:p>
        </w:tc>
        <w:tc>
          <w:tcPr/>
          <w:p>
            <w:pPr>
              <w:pStyle w:val="Compact"/>
            </w:pPr>
            <w:r>
              <w:rPr>
                <w:rStyle w:val="VerbatimChar"/>
                <w:sz w:val="17"/>
              </w:rPr>
              <w:t xml:space="preserve">POST /v1/entites</w:t>
            </w:r>
          </w:p>
        </w:tc>
        <w:tc>
          <w:tcPr/>
          <w:p>
            <w:pPr>
              <w:pStyle w:val="Compact"/>
            </w:pPr>
            <w:r>
              <w:rPr>
                <w:sz w:val="17"/>
              </w:rPr>
              <w:t xml:space="preserve">Administrateur de la plateforme</w:t>
            </w:r>
          </w:p>
        </w:tc>
        <w:tc>
          <w:tcPr/>
          <w:p>
            <w:pPr>
              <w:pStyle w:val="Compact"/>
            </w:pPr>
            <w:r>
              <w:rPr>
                <w:sz w:val="17"/>
              </w:rPr>
              <w:t xml:space="preserve">Décision du Comité de pilotage référencée</w:t>
            </w:r>
          </w:p>
        </w:tc>
      </w:tr>
      <w:tr>
        <w:tc>
          <w:tcPr>
            <w:shd w:val="clear" w:color="auto" w:fill="F5F7FB"/>
          </w:tcPr>
          <w:p>
            <w:pPr>
              <w:pStyle w:val="Compact"/>
            </w:pPr>
            <w:r>
              <w:rPr>
                <w:rStyle w:val="VerbatimChar"/>
                <w:sz w:val="17"/>
              </w:rPr>
              <w:t xml:space="preserve">POST /v1/entities/{id}/module-configurations</w:t>
            </w:r>
          </w:p>
        </w:tc>
        <w:tc>
          <w:tcPr>
            <w:shd w:val="clear" w:color="auto" w:fill="F5F7FB"/>
          </w:tcPr>
          <w:p>
            <w:pPr>
              <w:pStyle w:val="Compact"/>
            </w:pPr>
            <w:r>
              <w:rPr>
                <w:rStyle w:val="VerbatimChar"/>
                <w:sz w:val="17"/>
              </w:rPr>
              <w:t xml:space="preserve">POST /v1/entites/{id}/modules</w:t>
            </w:r>
          </w:p>
        </w:tc>
        <w:tc>
          <w:tcPr>
            <w:shd w:val="clear" w:color="auto" w:fill="F5F7FB"/>
          </w:tcPr>
          <w:p>
            <w:pPr>
              <w:pStyle w:val="Compact"/>
            </w:pPr>
            <w:r>
              <w:rPr>
                <w:sz w:val="17"/>
              </w:rPr>
              <w:t xml:space="preserve">Programme, entité</w:t>
            </w:r>
          </w:p>
        </w:tc>
        <w:tc>
          <w:tcPr>
            <w:shd w:val="clear" w:color="auto" w:fill="F5F7FB"/>
          </w:tcPr>
          <w:p>
            <w:pPr>
              <w:pStyle w:val="Compact"/>
            </w:pPr>
            <w:r>
              <w:rPr>
                <w:sz w:val="17"/>
              </w:rPr>
              <w:t xml:space="preserve">Maker-checker, recette avant activation</w:t>
            </w:r>
          </w:p>
        </w:tc>
      </w:tr>
      <w:tr>
        <w:tc>
          <w:tcPr/>
          <w:p>
            <w:pPr>
              <w:pStyle w:val="Compact"/>
            </w:pPr>
            <w:r>
              <w:rPr>
                <w:rStyle w:val="VerbatimChar"/>
                <w:sz w:val="17"/>
              </w:rPr>
              <w:t xml:space="preserve">POST /v1/entities/{id}/module-attachments</w:t>
            </w:r>
          </w:p>
        </w:tc>
        <w:tc>
          <w:tcPr/>
          <w:p>
            <w:pPr>
              <w:pStyle w:val="Compact"/>
            </w:pPr>
            <w:r>
              <w:rPr>
                <w:rStyle w:val="VerbatimChar"/>
                <w:sz w:val="17"/>
              </w:rPr>
              <w:t xml:space="preserve">POST /v1/entites/{id}/modules/rattachements</w:t>
            </w:r>
          </w:p>
        </w:tc>
        <w:tc>
          <w:tcPr/>
          <w:p>
            <w:pPr>
              <w:pStyle w:val="Compact"/>
            </w:pPr>
            <w:r>
              <w:rPr>
                <w:sz w:val="17"/>
              </w:rPr>
              <w:t xml:space="preserve">Administrateur de la plateforme</w:t>
            </w:r>
          </w:p>
        </w:tc>
        <w:tc>
          <w:tcPr/>
          <w:p>
            <w:pPr>
              <w:pStyle w:val="Compact"/>
            </w:pPr>
            <w:r>
              <w:rPr>
                <w:sz w:val="17"/>
              </w:rPr>
              <w:t xml:space="preserve">Seconde validation du comité, référence d’arrêté</w:t>
            </w:r>
          </w:p>
        </w:tc>
      </w:tr>
      <w:tr>
        <w:tc>
          <w:tcPr>
            <w:shd w:val="clear" w:color="auto" w:fill="F5F7FB"/>
          </w:tcPr>
          <w:p>
            <w:pPr>
              <w:pStyle w:val="Compact"/>
            </w:pPr>
            <w:r>
              <w:rPr>
                <w:rStyle w:val="VerbatimChar"/>
                <w:sz w:val="17"/>
              </w:rPr>
              <w:t xml:space="preserve">POST /v1/arbitrations</w:t>
            </w:r>
          </w:p>
        </w:tc>
        <w:tc>
          <w:tcPr>
            <w:shd w:val="clear" w:color="auto" w:fill="F5F7FB"/>
          </w:tcPr>
          <w:p>
            <w:pPr>
              <w:pStyle w:val="Compact"/>
            </w:pPr>
            <w:r>
              <w:rPr>
                <w:rStyle w:val="VerbatimChar"/>
                <w:sz w:val="17"/>
              </w:rPr>
              <w:t xml:space="preserve">POST /v1/arbitrages</w:t>
            </w:r>
          </w:p>
        </w:tc>
        <w:tc>
          <w:tcPr>
            <w:shd w:val="clear" w:color="auto" w:fill="F5F7FB"/>
          </w:tcPr>
          <w:p>
            <w:pPr>
              <w:pStyle w:val="Compact"/>
            </w:pPr>
            <w:r>
              <w:rPr>
                <w:sz w:val="17"/>
              </w:rPr>
              <w:t xml:space="preserve">Système, entité</w:t>
            </w:r>
          </w:p>
        </w:tc>
        <w:tc>
          <w:tcPr>
            <w:shd w:val="clear" w:color="auto" w:fill="F5F7FB"/>
          </w:tcPr>
          <w:p>
            <w:pPr>
              <w:pStyle w:val="Compact"/>
            </w:pPr>
            <w:r>
              <w:rPr>
                <w:sz w:val="17"/>
              </w:rPr>
              <w:t xml:space="preserve">Comité juridique et tarifaire</w:t>
            </w:r>
          </w:p>
        </w:tc>
      </w:tr>
      <w:tr>
        <w:tc>
          <w:tcPr/>
          <w:p>
            <w:pPr>
              <w:pStyle w:val="Compact"/>
            </w:pPr>
            <w:r>
              <w:rPr>
                <w:rStyle w:val="VerbatimChar"/>
                <w:sz w:val="17"/>
              </w:rPr>
              <w:t xml:space="preserve">POST /v1/invitations</w:t>
            </w:r>
          </w:p>
        </w:tc>
        <w:tc>
          <w:tcPr/>
          <w:p>
            <w:pPr>
              <w:pStyle w:val="Compact"/>
            </w:pPr>
            <w:r>
              <w:rPr>
                <w:sz w:val="17"/>
              </w:rPr>
              <w:t xml:space="preserve">idem</w:t>
            </w:r>
          </w:p>
        </w:tc>
        <w:tc>
          <w:tcPr/>
          <w:p>
            <w:pPr>
              <w:pStyle w:val="Compact"/>
            </w:pPr>
            <w:r>
              <w:rPr>
                <w:sz w:val="17"/>
              </w:rPr>
              <w:t xml:space="preserve">Tout compte avec droit d’inviter</w:t>
            </w:r>
          </w:p>
        </w:tc>
        <w:tc>
          <w:tcPr/>
          <w:p>
            <w:pPr>
              <w:pStyle w:val="Compact"/>
            </w:pPr>
            <w:r>
              <w:rPr>
                <w:sz w:val="17"/>
              </w:rPr>
              <w:t xml:space="preserve">Pas d’élévation, périmètre propre, nominative, durée limitée</w:t>
            </w:r>
          </w:p>
        </w:tc>
      </w:tr>
      <w:tr>
        <w:tc>
          <w:tcPr>
            <w:shd w:val="clear" w:color="auto" w:fill="F5F7FB"/>
          </w:tcPr>
          <w:p>
            <w:pPr>
              <w:pStyle w:val="Compact"/>
            </w:pPr>
            <w:r>
              <w:rPr>
                <w:rStyle w:val="VerbatimChar"/>
                <w:sz w:val="17"/>
              </w:rPr>
              <w:t xml:space="preserve">POST /v1/invitations/{code}:accept</w:t>
            </w:r>
          </w:p>
        </w:tc>
        <w:tc>
          <w:tcPr>
            <w:shd w:val="clear" w:color="auto" w:fill="F5F7FB"/>
          </w:tcPr>
          <w:p>
            <w:pPr>
              <w:pStyle w:val="Compact"/>
            </w:pPr>
            <w:r>
              <w:rPr>
                <w:rStyle w:val="VerbatimChar"/>
                <w:sz w:val="17"/>
              </w:rPr>
              <w:t xml:space="preserve">POST /v1/invitations/{code}/acceptation</w:t>
            </w:r>
          </w:p>
        </w:tc>
        <w:tc>
          <w:tcPr>
            <w:shd w:val="clear" w:color="auto" w:fill="F5F7FB"/>
          </w:tcPr>
          <w:p>
            <w:pPr>
              <w:pStyle w:val="Compact"/>
            </w:pPr>
            <w:r>
              <w:rPr>
                <w:sz w:val="17"/>
              </w:rPr>
              <w:t xml:space="preserve">Invité</w:t>
            </w:r>
          </w:p>
        </w:tc>
        <w:tc>
          <w:tcPr>
            <w:shd w:val="clear" w:color="auto" w:fill="F5F7FB"/>
          </w:tcPr>
          <w:p>
            <w:pPr>
              <w:pStyle w:val="Compact"/>
            </w:pPr>
            <w:r>
              <w:rPr>
                <w:sz w:val="17"/>
              </w:rPr>
              <w:t xml:space="preserve">Usage unique, lié au numéro, identité, MFA</w:t>
            </w:r>
          </w:p>
        </w:tc>
      </w:tr>
      <w:tr>
        <w:tc>
          <w:tcPr/>
          <w:p>
            <w:pPr>
              <w:pStyle w:val="Compact"/>
            </w:pPr>
            <w:r>
              <w:rPr>
                <w:rStyle w:val="VerbatimChar"/>
                <w:sz w:val="17"/>
              </w:rPr>
              <w:t xml:space="preserve">POST /v1/invitations/{id}:assisted-registration</w:t>
            </w:r>
          </w:p>
        </w:tc>
        <w:tc>
          <w:tcPr/>
          <w:p>
            <w:pPr>
              <w:pStyle w:val="Compact"/>
            </w:pPr>
            <w:r>
              <w:rPr>
                <w:rStyle w:val="VerbatimChar"/>
                <w:sz w:val="17"/>
              </w:rPr>
              <w:t xml:space="preserve">POST /v1/invitations/{id}/inscription-assistee</w:t>
            </w:r>
          </w:p>
        </w:tc>
        <w:tc>
          <w:tcPr/>
          <w:p>
            <w:pPr>
              <w:pStyle w:val="Compact"/>
            </w:pPr>
            <w:r>
              <w:rPr>
                <w:sz w:val="17"/>
              </w:rPr>
              <w:t xml:space="preserve">Opérateur d’accès désigné</w:t>
            </w:r>
          </w:p>
        </w:tc>
        <w:tc>
          <w:tcPr/>
          <w:p>
            <w:pPr>
              <w:pStyle w:val="Compact"/>
            </w:pPr>
            <w:r>
              <w:rPr>
                <w:sz w:val="17"/>
              </w:rPr>
              <w:t xml:space="preserve">Même entité ; niveau et périmètre inchangés ; secrets définis par la personne</w:t>
            </w:r>
          </w:p>
        </w:tc>
      </w:tr>
      <w:tr>
        <w:tc>
          <w:tcPr>
            <w:shd w:val="clear" w:color="auto" w:fill="F5F7FB"/>
          </w:tcPr>
          <w:p>
            <w:pPr>
              <w:pStyle w:val="Compact"/>
            </w:pPr>
            <w:r>
              <w:rPr>
                <w:rStyle w:val="VerbatimChar"/>
                <w:sz w:val="17"/>
              </w:rPr>
              <w:t xml:space="preserve">POST /v1/accounts/{id}/validations</w:t>
            </w:r>
          </w:p>
        </w:tc>
        <w:tc>
          <w:tcPr>
            <w:shd w:val="clear" w:color="auto" w:fill="F5F7FB"/>
          </w:tcPr>
          <w:p>
            <w:pPr>
              <w:pStyle w:val="Compact"/>
            </w:pPr>
            <w:r>
              <w:rPr>
                <w:rStyle w:val="VerbatimChar"/>
                <w:sz w:val="17"/>
              </w:rPr>
              <w:t xml:space="preserve">POST /v1/comptes/{id}/validations</w:t>
            </w:r>
          </w:p>
        </w:tc>
        <w:tc>
          <w:tcPr>
            <w:shd w:val="clear" w:color="auto" w:fill="F5F7FB"/>
          </w:tcPr>
          <w:p>
            <w:pPr>
              <w:pStyle w:val="Compact"/>
            </w:pPr>
            <w:r>
              <w:rPr>
                <w:sz w:val="17"/>
              </w:rPr>
              <w:t xml:space="preserve">Validateur désigné</w:t>
            </w:r>
          </w:p>
        </w:tc>
        <w:tc>
          <w:tcPr>
            <w:shd w:val="clear" w:color="auto" w:fill="F5F7FB"/>
          </w:tcPr>
          <w:p>
            <w:pPr>
              <w:pStyle w:val="Compact"/>
            </w:pPr>
            <w:r>
              <w:rPr>
                <w:b/>
                <w:bCs/>
                <w:sz w:val="17"/>
              </w:rPr>
              <w:t xml:space="preserve">Distinct de l’invitant</w:t>
            </w:r>
          </w:p>
        </w:tc>
      </w:tr>
      <w:tr>
        <w:tc>
          <w:tcPr/>
          <w:p>
            <w:pPr>
              <w:pStyle w:val="Compact"/>
            </w:pPr>
            <w:r>
              <w:rPr>
                <w:rStyle w:val="VerbatimChar"/>
                <w:sz w:val="17"/>
              </w:rPr>
              <w:t xml:space="preserve">POST /v1/accounts/{id}:revoke</w:t>
            </w:r>
            <w:r>
              <w:rPr>
                <w:sz w:val="17"/>
              </w:rPr>
              <w:t xml:space="preserve"> </w:t>
            </w:r>
            <w:r>
              <w:rPr>
                <w:sz w:val="17"/>
              </w:rPr>
              <w:t xml:space="preserve">·</w:t>
            </w:r>
            <w:r>
              <w:rPr>
                <w:sz w:val="17"/>
              </w:rPr>
              <w:t xml:space="preserve"> </w:t>
            </w:r>
            <w:r>
              <w:rPr>
                <w:rStyle w:val="VerbatimChar"/>
                <w:sz w:val="17"/>
              </w:rPr>
              <w:t xml:space="preserve">POST /v1/entities/{id}:revoke-accounts</w:t>
            </w:r>
          </w:p>
        </w:tc>
        <w:tc>
          <w:tcPr/>
          <w:p>
            <w:pPr>
              <w:pStyle w:val="Compact"/>
            </w:pPr>
            <w:r>
              <w:rPr>
                <w:rStyle w:val="VerbatimChar"/>
                <w:sz w:val="17"/>
              </w:rPr>
              <w:t xml:space="preserve">POST /v1/comptes/{id}/revocations</w:t>
            </w:r>
          </w:p>
        </w:tc>
        <w:tc>
          <w:tcPr/>
          <w:p>
            <w:pPr>
              <w:pStyle w:val="Compact"/>
            </w:pPr>
            <w:r>
              <w:rPr>
                <w:sz w:val="17"/>
              </w:rPr>
              <w:t xml:space="preserve">Administrateur d’entité ou de plateforme</w:t>
            </w:r>
          </w:p>
        </w:tc>
        <w:tc>
          <w:tcPr/>
          <w:p>
            <w:pPr>
              <w:pStyle w:val="Compact"/>
            </w:pPr>
            <w:r>
              <w:rPr>
                <w:sz w:val="17"/>
              </w:rPr>
              <w:t xml:space="preserve">Effet immédiat sur les terminaux</w:t>
            </w:r>
          </w:p>
        </w:tc>
      </w:tr>
      <w:tr>
        <w:tc>
          <w:tcPr>
            <w:shd w:val="clear" w:color="auto" w:fill="F5F7FB"/>
          </w:tcPr>
          <w:p>
            <w:pPr>
              <w:pStyle w:val="Compact"/>
            </w:pPr>
            <w:r>
              <w:rPr>
                <w:rStyle w:val="VerbatimChar"/>
                <w:sz w:val="17"/>
              </w:rPr>
              <w:t xml:space="preserve">GET /v1/allocation-rules</w:t>
            </w:r>
            <w:r>
              <w:rPr>
                <w:sz w:val="17"/>
              </w:rPr>
              <w:t xml:space="preserve"> </w:t>
            </w:r>
            <w:r>
              <w:rPr>
                <w:sz w:val="17"/>
              </w:rPr>
              <w:t xml:space="preserve">·</w:t>
            </w:r>
            <w:r>
              <w:rPr>
                <w:sz w:val="17"/>
              </w:rPr>
              <w:t xml:space="preserve"> </w:t>
            </w:r>
            <w:r>
              <w:rPr>
                <w:rStyle w:val="VerbatimChar"/>
                <w:sz w:val="17"/>
              </w:rPr>
              <w:t xml:space="preserve">POST /v1/allocation-rules</w:t>
            </w:r>
          </w:p>
        </w:tc>
        <w:tc>
          <w:tcPr>
            <w:shd w:val="clear" w:color="auto" w:fill="F5F7FB"/>
          </w:tcPr>
          <w:p>
            <w:pPr>
              <w:pStyle w:val="Compact"/>
            </w:pPr>
            <w:r>
              <w:rPr>
                <w:rStyle w:val="VerbatimChar"/>
                <w:sz w:val="17"/>
              </w:rPr>
              <w:t xml:space="preserve">GET/POST /v1/repartition/cles</w:t>
            </w:r>
          </w:p>
        </w:tc>
        <w:tc>
          <w:tcPr>
            <w:shd w:val="clear" w:color="auto" w:fill="F5F7FB"/>
          </w:tcPr>
          <w:p>
            <w:pPr>
              <w:pStyle w:val="Compact"/>
            </w:pPr>
            <w:r>
              <w:rPr>
                <w:sz w:val="17"/>
              </w:rPr>
              <w:t xml:space="preserve">Finances, audit (lecture) ; juridique (proposition)</w:t>
            </w:r>
          </w:p>
        </w:tc>
        <w:tc>
          <w:tcPr>
            <w:shd w:val="clear" w:color="auto" w:fill="F5F7FB"/>
          </w:tcPr>
          <w:p>
            <w:pPr>
              <w:pStyle w:val="Compact"/>
            </w:pPr>
            <w:r>
              <w:rPr>
                <w:sz w:val="17"/>
              </w:rPr>
              <w:t xml:space="preserve">Clés</w:t>
            </w:r>
            <w:r>
              <w:rPr>
                <w:sz w:val="17"/>
              </w:rPr>
              <w:t xml:space="preserve"> </w:t>
            </w:r>
            <w:r>
              <w:rPr>
                <w:b/>
                <w:bCs/>
                <w:sz w:val="17"/>
              </w:rPr>
              <w:t xml:space="preserve">légales</w:t>
            </w:r>
            <w:r>
              <w:rPr>
                <w:sz w:val="17"/>
              </w:rPr>
              <w:t xml:space="preserve"> </w:t>
            </w:r>
            <w:r>
              <w:rPr>
                <w:sz w:val="17"/>
              </w:rPr>
              <w:t xml:space="preserve">; brouillon ; référence d’acte ; quorum</w:t>
            </w:r>
          </w:p>
        </w:tc>
      </w:tr>
      <w:tr>
        <w:tc>
          <w:tcPr/>
          <w:p>
            <w:pPr>
              <w:pStyle w:val="Compact"/>
            </w:pPr>
            <w:r>
              <w:rPr>
                <w:rStyle w:val="VerbatimChar"/>
                <w:sz w:val="17"/>
              </w:rPr>
              <w:t xml:space="preserve">POST /v1/legal-shares:calculate</w:t>
            </w:r>
          </w:p>
        </w:tc>
        <w:tc>
          <w:tcPr/>
          <w:p>
            <w:pPr>
              <w:pStyle w:val="Compact"/>
            </w:pPr>
            <w:r>
              <w:rPr>
                <w:rStyle w:val="VerbatimChar"/>
                <w:sz w:val="17"/>
              </w:rPr>
              <w:t xml:space="preserve">POST /v1/repartition/calculs</w:t>
            </w:r>
          </w:p>
        </w:tc>
        <w:tc>
          <w:tcPr/>
          <w:p>
            <w:pPr>
              <w:pStyle w:val="Compact"/>
            </w:pPr>
            <w:r>
              <w:rPr>
                <w:sz w:val="17"/>
              </w:rPr>
              <w:t xml:space="preserve">Système</w:t>
            </w:r>
          </w:p>
        </w:tc>
        <w:tc>
          <w:tcPr/>
          <w:p>
            <w:pPr>
              <w:pStyle w:val="Compact"/>
            </w:pPr>
            <w:r>
              <w:rPr>
                <w:sz w:val="17"/>
              </w:rPr>
              <w:t xml:space="preserve">Somme des parts = 100 % du rapproché ; idempotence ;</w:t>
            </w:r>
            <w:r>
              <w:rPr>
                <w:sz w:val="17"/>
              </w:rPr>
              <w:t xml:space="preserve"> </w:t>
            </w:r>
            <w:r>
              <w:rPr>
                <w:b/>
                <w:bCs/>
                <w:sz w:val="17"/>
              </w:rPr>
              <w:t xml:space="preserve">aucune instruction de virement</w:t>
            </w:r>
          </w:p>
        </w:tc>
      </w:tr>
      <w:tr>
        <w:tc>
          <w:tcPr>
            <w:shd w:val="clear" w:color="auto" w:fill="F5F7FB"/>
          </w:tcPr>
          <w:p>
            <w:pPr>
              <w:pStyle w:val="Compact"/>
            </w:pPr>
            <w:r>
              <w:rPr>
                <w:sz w:val="17"/>
              </w:rPr>
              <w:t xml:space="preserve">—</w:t>
            </w:r>
          </w:p>
        </w:tc>
        <w:tc>
          <w:tcPr>
            <w:shd w:val="clear" w:color="auto" w:fill="F5F7FB"/>
          </w:tcPr>
          <w:p>
            <w:pPr>
              <w:pStyle w:val="Compact"/>
            </w:pPr>
            <w:r>
              <w:rPr>
                <w:rStyle w:val="VerbatimChar"/>
                <w:sz w:val="17"/>
              </w:rPr>
              <w:t xml:space="preserve">POST /v1/repartition/ordres</w:t>
            </w:r>
            <w:r>
              <w:rPr>
                <w:sz w:val="17"/>
              </w:rPr>
              <w:t xml:space="preserve"> </w:t>
            </w:r>
            <w:r>
              <w:rPr>
                <w:sz w:val="17"/>
              </w:rPr>
              <w:t xml:space="preserve">;</w:t>
            </w:r>
            <w:r>
              <w:rPr>
                <w:sz w:val="17"/>
              </w:rPr>
              <w:t xml:space="preserve"> </w:t>
            </w:r>
            <w:r>
              <w:rPr>
                <w:rStyle w:val="VerbatimChar"/>
                <w:sz w:val="17"/>
              </w:rPr>
              <w:t xml:space="preserve">GET /v1/repartition/reserve-agents/{module}</w:t>
            </w:r>
          </w:p>
        </w:tc>
        <w:tc>
          <w:tcPr>
            <w:shd w:val="clear" w:color="auto" w:fill="F5F7FB"/>
          </w:tcPr>
          <w:p>
            <w:pPr>
              <w:pStyle w:val="Compact"/>
            </w:pPr>
            <w:r>
              <w:rPr>
                <w:sz w:val="17"/>
              </w:rPr>
              <w:t xml:space="preserve">—</w:t>
            </w:r>
          </w:p>
        </w:tc>
        <w:tc>
          <w:tcPr>
            <w:shd w:val="clear" w:color="auto" w:fill="F5F7FB"/>
          </w:tcPr>
          <w:p>
            <w:pPr>
              <w:pStyle w:val="Compact"/>
            </w:pPr>
            <w:r>
              <w:rPr>
                <w:b/>
                <w:bCs/>
                <w:sz w:val="17"/>
              </w:rPr>
              <w:t xml:space="preserve">Non retenues</w:t>
            </w:r>
            <w:r>
              <w:rPr>
                <w:sz w:val="17"/>
              </w:rPr>
              <w:t xml:space="preserve"> </w:t>
            </w:r>
            <w:r>
              <w:rPr>
                <w:sz w:val="17"/>
              </w:rPr>
              <w:t xml:space="preserve">(ARB-74)</w:t>
            </w:r>
          </w:p>
        </w:tc>
      </w:tr>
    </w:tbl>
    <w:p>
      <w:pPr>
        <w:pStyle w:val="BodyText"/>
      </w:pPr>
      <w:r>
        <w:t xml:space="preserve">Les routes des verticales (stationnement, billetterie, publicité, AVIA, NFIU, CALCU, wewa) suivent la même convention :</w:t>
      </w:r>
      <w:r>
        <w:t xml:space="preserve"> </w:t>
      </w:r>
      <w:r>
        <w:rPr>
          <w:rStyle w:val="VerbatimChar"/>
        </w:rPr>
        <w:t xml:space="preserve">/v1/parking-zones</w:t>
      </w:r>
      <w:r>
        <w:t xml:space="preserve">,</w:t>
      </w:r>
      <w:r>
        <w:t xml:space="preserve"> </w:t>
      </w:r>
      <w:r>
        <w:rPr>
          <w:rStyle w:val="VerbatimChar"/>
        </w:rPr>
        <w:t xml:space="preserve">/v1/parking-sessions</w:t>
      </w:r>
      <w:r>
        <w:t xml:space="preserve">,</w:t>
      </w:r>
      <w:r>
        <w:t xml:space="preserve"> </w:t>
      </w:r>
      <w:r>
        <w:rPr>
          <w:rStyle w:val="VerbatimChar"/>
        </w:rPr>
        <w:t xml:space="preserve">/v1/reservations</w:t>
      </w:r>
      <w:r>
        <w:t xml:space="preserve">,</w:t>
      </w:r>
      <w:r>
        <w:t xml:space="preserve"> </w:t>
      </w:r>
      <w:r>
        <w:rPr>
          <w:rStyle w:val="VerbatimChar"/>
        </w:rPr>
        <w:t xml:space="preserve">/v1/merchants</w:t>
      </w:r>
      <w:r>
        <w:t xml:space="preserve">,</w:t>
      </w:r>
      <w:r>
        <w:t xml:space="preserve"> </w:t>
      </w:r>
      <w:r>
        <w:rPr>
          <w:rStyle w:val="VerbatimChar"/>
        </w:rPr>
        <w:t xml:space="preserve">/v1/tickets</w:t>
      </w:r>
      <w:r>
        <w:t xml:space="preserve">,</w:t>
      </w:r>
      <w:r>
        <w:t xml:space="preserve"> </w:t>
      </w:r>
      <w:r>
        <w:rPr>
          <w:rStyle w:val="VerbatimChar"/>
        </w:rPr>
        <w:t xml:space="preserve">/v1/advertising-panels</w:t>
      </w:r>
      <w:r>
        <w:t xml:space="preserve">,</w:t>
      </w:r>
      <w:r>
        <w:t xml:space="preserve"> </w:t>
      </w:r>
      <w:r>
        <w:rPr>
          <w:rStyle w:val="VerbatimChar"/>
        </w:rPr>
        <w:t xml:space="preserve">/v1/inspection-cases</w:t>
      </w:r>
      <w:r>
        <w:t xml:space="preserve">,</w:t>
      </w:r>
      <w:r>
        <w:t xml:space="preserve"> </w:t>
      </w:r>
      <w:r>
        <w:rPr>
          <w:rStyle w:val="VerbatimChar"/>
        </w:rPr>
        <w:t xml:space="preserve">/v1/air/flights</w:t>
      </w:r>
      <w:r>
        <w:t xml:space="preserve">,</w:t>
      </w:r>
      <w:r>
        <w:t xml:space="preserve"> </w:t>
      </w:r>
      <w:r>
        <w:rPr>
          <w:rStyle w:val="VerbatimChar"/>
        </w:rPr>
        <w:t xml:space="preserve">/v1/air/reconciliations</w:t>
      </w:r>
      <w:r>
        <w:t xml:space="preserve">,</w:t>
      </w:r>
      <w:r>
        <w:t xml:space="preserve"> </w:t>
      </w:r>
      <w:r>
        <w:rPr>
          <w:rStyle w:val="VerbatimChar"/>
        </w:rPr>
        <w:t xml:space="preserve">/v1/property-plates</w:t>
      </w:r>
      <w:r>
        <w:t xml:space="preserve">,</w:t>
      </w:r>
      <w:r>
        <w:t xml:space="preserve"> </w:t>
      </w:r>
      <w:r>
        <w:rPr>
          <w:rStyle w:val="VerbatimChar"/>
        </w:rPr>
        <w:t xml:space="preserve">/v1/public-accounts</w:t>
      </w:r>
      <w:r>
        <w:t xml:space="preserve">,</w:t>
      </w:r>
      <w:r>
        <w:t xml:space="preserve"> </w:t>
      </w:r>
      <w:r>
        <w:rPr>
          <w:rStyle w:val="VerbatimChar"/>
        </w:rPr>
        <w:t xml:space="preserve">/v1/bank-transactions</w:t>
      </w:r>
      <w:r>
        <w:t xml:space="preserve">,</w:t>
      </w:r>
      <w:r>
        <w:t xml:space="preserve"> </w:t>
      </w:r>
      <w:r>
        <w:rPr>
          <w:rStyle w:val="VerbatimChar"/>
        </w:rPr>
        <w:t xml:space="preserve">/v1/supporting-documents</w:t>
      </w:r>
      <w:r>
        <w:t xml:space="preserve">,</w:t>
      </w:r>
      <w:r>
        <w:t xml:space="preserve"> </w:t>
      </w:r>
      <w:r>
        <w:rPr>
          <w:rStyle w:val="VerbatimChar"/>
        </w:rPr>
        <w:t xml:space="preserve">/v1/spending-alerts</w:t>
      </w:r>
      <w:r>
        <w:t xml:space="preserve">,</w:t>
      </w:r>
      <w:r>
        <w:t xml:space="preserve"> </w:t>
      </w:r>
      <w:r>
        <w:rPr>
          <w:rStyle w:val="VerbatimChar"/>
        </w:rPr>
        <w:t xml:space="preserve">/v1/motorbikes</w:t>
      </w:r>
      <w:r>
        <w:t xml:space="preserve">,</w:t>
      </w:r>
      <w:r>
        <w:t xml:space="preserve"> </w:t>
      </w:r>
      <w:r>
        <w:rPr>
          <w:rStyle w:val="VerbatimChar"/>
        </w:rPr>
        <w:t xml:space="preserve">/v1/drivers</w:t>
      </w:r>
      <w:r>
        <w:t xml:space="preserve">,</w:t>
      </w:r>
      <w:r>
        <w:t xml:space="preserve"> </w:t>
      </w:r>
      <w:r>
        <w:rPr>
          <w:rStyle w:val="VerbatimChar"/>
        </w:rPr>
        <w:t xml:space="preserve">/v1/cooperatives</w:t>
      </w:r>
      <w:r>
        <w:t xml:space="preserve">,</w:t>
      </w:r>
      <w:r>
        <w:t xml:space="preserve"> </w:t>
      </w:r>
      <w:r>
        <w:rPr>
          <w:rStyle w:val="VerbatimChar"/>
        </w:rPr>
        <w:t xml:space="preserve">/v1/cooperatives/{id}/group-payments</w:t>
      </w:r>
      <w:r>
        <w:t xml:space="preserve">,</w:t>
      </w:r>
      <w:r>
        <w:t xml:space="preserve"> </w:t>
      </w:r>
      <w:r>
        <w:rPr>
          <w:rStyle w:val="VerbatimChar"/>
        </w:rPr>
        <w:t xml:space="preserve">/v1/stations</w:t>
      </w:r>
      <w:r>
        <w:t xml:space="preserve">. Elles sont spécifiées dans</w:t>
      </w:r>
      <w:r>
        <w:t xml:space="preserve"> </w:t>
      </w:r>
      <w:r>
        <w:rPr>
          <w:rStyle w:val="VerbatimChar"/>
        </w:rPr>
        <w:t xml:space="preserve">specs/openapi.yaml</w:t>
      </w:r>
      <w:r>
        <w:t xml:space="preserve"> </w:t>
      </w:r>
      <w:r>
        <w:rPr>
          <w:b/>
          <w:bCs/>
        </w:rPr>
        <w:t xml:space="preserve">au plus tard à la release de leur module</w:t>
      </w:r>
      <w:r>
        <w:t xml:space="preserve"> </w:t>
      </w:r>
      <w:r>
        <w:t xml:space="preserve">(§ H.28).</w:t>
      </w:r>
    </w:p>
    <w:bookmarkEnd w:id="512"/>
    <w:bookmarkStart w:id="513" w:name="h.16.5-pile-technique"/>
    <w:p>
      <w:pPr>
        <w:pStyle w:val="Heading3"/>
      </w:pPr>
      <w:r>
        <w:t xml:space="preserve">H.16.5 Pile technique</w:t>
      </w:r>
    </w:p>
    <w:p>
      <w:pPr>
        <w:pStyle w:val="FirstParagraph"/>
      </w:pPr>
      <w:r>
        <w:t xml:space="preserve">Le Cahier recommandait Next.js, NestJS, PostgreSQL/PostGIS et Kafka avec outbox transactionnelle. La v3.0 retient TypeScript sur Node.js (Fastify) et React (§ 28.2) — même écosystème, cadres différents (ARB-60). Sont</w:t>
      </w:r>
      <w:r>
        <w:t xml:space="preserve"> </w:t>
      </w:r>
      <w:r>
        <w:rPr>
          <w:b/>
          <w:bCs/>
        </w:rPr>
        <w:t xml:space="preserve">conservés</w:t>
      </w:r>
      <w:r>
        <w:t xml:space="preserve"> </w:t>
      </w:r>
      <w:r>
        <w:t xml:space="preserve">de la source :</w:t>
      </w:r>
      <w:r>
        <w:t xml:space="preserve"> </w:t>
      </w:r>
      <w:r>
        <w:rPr>
          <w:b/>
          <w:bCs/>
        </w:rPr>
        <w:t xml:space="preserve">outbox transactionnelle et files de reprise</w:t>
      </w:r>
      <w:r>
        <w:t xml:space="preserve"> </w:t>
      </w:r>
      <w:r>
        <w:t xml:space="preserve">pour la publication fiable des événements sur le bus ; journal d’audit comme système de référence en event sourcing ; moteur fiscal fonctionnant</w:t>
      </w:r>
      <w:r>
        <w:t xml:space="preserve"> </w:t>
      </w:r>
      <w:r>
        <w:rPr>
          <w:b/>
          <w:bCs/>
        </w:rPr>
        <w:t xml:space="preserve">sans IA</w:t>
      </w:r>
      <w:r>
        <w:t xml:space="preserve">.</w:t>
      </w:r>
    </w:p>
    <w:bookmarkEnd w:id="513"/>
    <w:bookmarkEnd w:id="514"/>
    <w:bookmarkStart w:id="520" w:name="Xebeb21aabcf78838708d101207150b53a91f7cc"/>
    <w:p>
      <w:pPr>
        <w:pStyle w:val="Heading2"/>
      </w:pPr>
      <w:r>
        <w:t xml:space="preserve">H.17 Chapitres 34 à 36 — Feuille de route, modèle opérationnel, gouvernance</w:t>
      </w:r>
    </w:p>
    <w:bookmarkStart w:id="515" w:name="h.17.1-phases-sources-et-v3.0"/>
    <w:p>
      <w:pPr>
        <w:pStyle w:val="Heading3"/>
      </w:pPr>
      <w:r>
        <w:t xml:space="preserve">H.17.1 Phases : sources et v3.0</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Phase</w:t>
            </w:r>
          </w:p>
        </w:tc>
        <w:tc>
          <w:tcPr>
            <w:shd w:val="clear" w:color="auto" w:fill="232C6B"/>
          </w:tcPr>
          <w:p>
            <w:pPr>
              <w:pStyle w:val="Compact"/>
            </w:pPr>
            <w:r>
              <w:rPr>
                <w:b/>
                <w:color w:val="FFFFFF"/>
                <w:sz w:val="17"/>
              </w:rPr>
              <w:t xml:space="preserve">Durée source (C § 34.1)</w:t>
            </w:r>
          </w:p>
        </w:tc>
        <w:tc>
          <w:tcPr>
            <w:shd w:val="clear" w:color="auto" w:fill="232C6B"/>
          </w:tcPr>
          <w:p>
            <w:pPr>
              <w:pStyle w:val="Compact"/>
            </w:pPr>
            <w:r>
              <w:rPr>
                <w:b/>
                <w:color w:val="FFFFFF"/>
                <w:sz w:val="17"/>
              </w:rPr>
              <w:t xml:space="preserve">Découpage KIN-RECETTES</w:t>
            </w:r>
          </w:p>
        </w:tc>
        <w:tc>
          <w:tcPr>
            <w:shd w:val="clear" w:color="auto" w:fill="232C6B"/>
          </w:tcPr>
          <w:p>
            <w:pPr>
              <w:pStyle w:val="Compact"/>
            </w:pPr>
            <w:r>
              <w:rPr>
                <w:b/>
                <w:color w:val="FFFFFF"/>
                <w:sz w:val="17"/>
              </w:rPr>
              <w:t xml:space="preserve">v3.0 (§ 34.2)</w:t>
            </w:r>
          </w:p>
        </w:tc>
      </w:tr>
      <w:tr>
        <w:tc>
          <w:tcPr/>
          <w:p>
            <w:pPr>
              <w:pStyle w:val="Compact"/>
            </w:pPr>
            <w:r>
              <w:rPr>
                <w:sz w:val="17"/>
              </w:rPr>
              <w:t xml:space="preserve">0 — Mandat et mobilisation juridique</w:t>
            </w:r>
          </w:p>
        </w:tc>
        <w:tc>
          <w:tcPr/>
          <w:p>
            <w:pPr>
              <w:pStyle w:val="Compact"/>
            </w:pPr>
            <w:r>
              <w:rPr>
                <w:sz w:val="17"/>
              </w:rPr>
              <w:t xml:space="preserve">4 à 6 semaines</w:t>
            </w:r>
          </w:p>
        </w:tc>
        <w:tc>
          <w:tcPr/>
          <w:p>
            <w:pPr>
              <w:pStyle w:val="Compact"/>
            </w:pPr>
            <w:r>
              <w:rPr>
                <w:sz w:val="17"/>
              </w:rPr>
              <w:t xml:space="preserve">J0–30 : sponsor, gouvernance, revue juridique, cartographie des comptes, gel des risques critiques</w:t>
            </w:r>
          </w:p>
        </w:tc>
        <w:tc>
          <w:tcPr/>
          <w:p>
            <w:pPr>
              <w:pStyle w:val="Compact"/>
            </w:pPr>
            <w:r>
              <w:rPr>
                <w:sz w:val="17"/>
              </w:rPr>
              <w:t xml:space="preserve">Oct.–nov. 2026</w:t>
            </w:r>
          </w:p>
        </w:tc>
      </w:tr>
      <w:tr>
        <w:tc>
          <w:tcPr>
            <w:shd w:val="clear" w:color="auto" w:fill="F5F7FB"/>
          </w:tcPr>
          <w:p>
            <w:pPr>
              <w:pStyle w:val="Compact"/>
            </w:pPr>
            <w:r>
              <w:rPr>
                <w:sz w:val="17"/>
              </w:rPr>
              <w:t xml:space="preserve">1 — Cadrage et architecture</w:t>
            </w:r>
          </w:p>
        </w:tc>
        <w:tc>
          <w:tcPr>
            <w:shd w:val="clear" w:color="auto" w:fill="F5F7FB"/>
          </w:tcPr>
          <w:p>
            <w:pPr>
              <w:pStyle w:val="Compact"/>
            </w:pPr>
            <w:r>
              <w:rPr>
                <w:sz w:val="17"/>
              </w:rPr>
              <w:t xml:space="preserve">6 à 8 semaines</w:t>
            </w:r>
          </w:p>
        </w:tc>
        <w:tc>
          <w:tcPr>
            <w:shd w:val="clear" w:color="auto" w:fill="F5F7FB"/>
          </w:tcPr>
          <w:p>
            <w:pPr>
              <w:pStyle w:val="Compact"/>
            </w:pPr>
            <w:r>
              <w:rPr>
                <w:sz w:val="17"/>
              </w:rPr>
              <w:t xml:space="preserve">J31–90</w:t>
            </w:r>
          </w:p>
        </w:tc>
        <w:tc>
          <w:tcPr>
            <w:shd w:val="clear" w:color="auto" w:fill="F5F7FB"/>
          </w:tcPr>
          <w:p>
            <w:pPr>
              <w:pStyle w:val="Compact"/>
            </w:pPr>
            <w:r>
              <w:rPr>
                <w:sz w:val="17"/>
              </w:rPr>
              <w:t xml:space="preserve">Nov. 2026–janv. 2027</w:t>
            </w:r>
          </w:p>
        </w:tc>
      </w:tr>
      <w:tr>
        <w:tc>
          <w:tcPr/>
          <w:p>
            <w:pPr>
              <w:pStyle w:val="Compact"/>
            </w:pPr>
            <w:r>
              <w:rPr>
                <w:sz w:val="17"/>
              </w:rPr>
              <w:t xml:space="preserve">2 — Socle</w:t>
            </w:r>
          </w:p>
        </w:tc>
        <w:tc>
          <w:tcPr/>
          <w:p>
            <w:pPr>
              <w:pStyle w:val="Compact"/>
            </w:pPr>
            <w:r>
              <w:rPr>
                <w:sz w:val="17"/>
              </w:rPr>
              <w:t xml:space="preserve">10 à 14 semaines</w:t>
            </w:r>
          </w:p>
        </w:tc>
        <w:tc>
          <w:tcPr/>
          <w:p>
            <w:pPr>
              <w:pStyle w:val="Compact"/>
            </w:pPr>
            <w:r>
              <w:rPr>
                <w:sz w:val="17"/>
              </w:rPr>
              <w:t xml:space="preserve">J91–180</w:t>
            </w:r>
          </w:p>
        </w:tc>
        <w:tc>
          <w:tcPr/>
          <w:p>
            <w:pPr>
              <w:pStyle w:val="Compact"/>
            </w:pPr>
            <w:r>
              <w:rPr>
                <w:sz w:val="17"/>
              </w:rPr>
              <w:t xml:space="preserve">Déc. 2026–mai 2027 (R0 déc. 2026, R1 avril 2027)</w:t>
            </w:r>
          </w:p>
        </w:tc>
      </w:tr>
      <w:tr>
        <w:tc>
          <w:tcPr>
            <w:shd w:val="clear" w:color="auto" w:fill="F5F7FB"/>
          </w:tcPr>
          <w:p>
            <w:pPr>
              <w:pStyle w:val="Compact"/>
            </w:pPr>
            <w:r>
              <w:rPr>
                <w:sz w:val="17"/>
              </w:rPr>
              <w:t xml:space="preserve">3 — Pilote</w:t>
            </w:r>
          </w:p>
        </w:tc>
        <w:tc>
          <w:tcPr>
            <w:shd w:val="clear" w:color="auto" w:fill="F5F7FB"/>
          </w:tcPr>
          <w:p>
            <w:pPr>
              <w:pStyle w:val="Compact"/>
            </w:pPr>
            <w:r>
              <w:rPr>
                <w:sz w:val="17"/>
              </w:rPr>
              <w:t xml:space="preserve">180 jours</w:t>
            </w:r>
          </w:p>
        </w:tc>
        <w:tc>
          <w:tcPr>
            <w:shd w:val="clear" w:color="auto" w:fill="F5F7FB"/>
          </w:tcPr>
          <w:p>
            <w:pPr>
              <w:pStyle w:val="Compact"/>
            </w:pPr>
            <w:r>
              <w:rPr>
                <w:sz w:val="17"/>
              </w:rPr>
              <w:t xml:space="preserve">J181–270 (90 jours)</w:t>
            </w:r>
          </w:p>
        </w:tc>
        <w:tc>
          <w:tcPr>
            <w:shd w:val="clear" w:color="auto" w:fill="F5F7FB"/>
          </w:tcPr>
          <w:p>
            <w:pPr>
              <w:pStyle w:val="Compact"/>
            </w:pPr>
            <w:r>
              <w:rPr>
                <w:sz w:val="17"/>
              </w:rPr>
              <w:t xml:space="preserve">Févr.–juil. 2027 (180 jours)</w:t>
            </w:r>
          </w:p>
        </w:tc>
      </w:tr>
      <w:tr>
        <w:tc>
          <w:tcPr/>
          <w:p>
            <w:pPr>
              <w:pStyle w:val="Compact"/>
            </w:pPr>
            <w:r>
              <w:rPr>
                <w:sz w:val="17"/>
              </w:rPr>
              <w:t xml:space="preserve">4 — Extension</w:t>
            </w:r>
          </w:p>
        </w:tc>
        <w:tc>
          <w:tcPr/>
          <w:p>
            <w:pPr>
              <w:pStyle w:val="Compact"/>
            </w:pPr>
            <w:r>
              <w:rPr>
                <w:sz w:val="17"/>
              </w:rPr>
              <w:t xml:space="preserve">9 à 12 mois</w:t>
            </w:r>
          </w:p>
        </w:tc>
        <w:tc>
          <w:tcPr/>
          <w:p>
            <w:pPr>
              <w:pStyle w:val="Compact"/>
            </w:pPr>
            <w:r>
              <w:rPr>
                <w:sz w:val="17"/>
              </w:rPr>
              <w:t xml:space="preserve">9–18 mois</w:t>
            </w:r>
          </w:p>
        </w:tc>
        <w:tc>
          <w:tcPr/>
          <w:p>
            <w:pPr>
              <w:pStyle w:val="Compact"/>
            </w:pPr>
            <w:r>
              <w:rPr>
                <w:sz w:val="17"/>
              </w:rPr>
              <w:t xml:space="preserve">Août 2027–mars 2028</w:t>
            </w:r>
          </w:p>
        </w:tc>
      </w:tr>
      <w:tr>
        <w:tc>
          <w:tcPr>
            <w:shd w:val="clear" w:color="auto" w:fill="F5F7FB"/>
          </w:tcPr>
          <w:p>
            <w:pPr>
              <w:pStyle w:val="Compact"/>
            </w:pPr>
            <w:r>
              <w:rPr>
                <w:sz w:val="17"/>
              </w:rPr>
              <w:t xml:space="preserve">5 — Généralisation</w:t>
            </w:r>
          </w:p>
        </w:tc>
        <w:tc>
          <w:tcPr>
            <w:shd w:val="clear" w:color="auto" w:fill="F5F7FB"/>
          </w:tcPr>
          <w:p>
            <w:pPr>
              <w:pStyle w:val="Compact"/>
            </w:pPr>
            <w:r>
              <w:rPr>
                <w:sz w:val="17"/>
              </w:rPr>
              <w:t xml:space="preserve">6 à 9 mois (24 communes)</w:t>
            </w:r>
          </w:p>
        </w:tc>
        <w:tc>
          <w:tcPr>
            <w:shd w:val="clear" w:color="auto" w:fill="F5F7FB"/>
          </w:tcPr>
          <w:p>
            <w:pPr>
              <w:pStyle w:val="Compact"/>
            </w:pPr>
            <w:r>
              <w:rPr>
                <w:sz w:val="17"/>
              </w:rPr>
              <w:t xml:space="preserve">18–24 mois</w:t>
            </w:r>
          </w:p>
        </w:tc>
        <w:tc>
          <w:tcPr>
            <w:shd w:val="clear" w:color="auto" w:fill="F5F7FB"/>
          </w:tcPr>
          <w:p>
            <w:pPr>
              <w:pStyle w:val="Compact"/>
            </w:pPr>
            <w:r>
              <w:rPr>
                <w:sz w:val="17"/>
              </w:rPr>
              <w:t xml:space="preserve">Janv.–déc. 2028</w:t>
            </w:r>
          </w:p>
        </w:tc>
      </w:tr>
      <w:tr>
        <w:tc>
          <w:tcPr/>
          <w:p>
            <w:pPr>
              <w:pStyle w:val="Compact"/>
            </w:pPr>
            <w:r>
              <w:rPr>
                <w:sz w:val="17"/>
              </w:rPr>
              <w:t xml:space="preserve">6 — Optimisation</w:t>
            </w:r>
          </w:p>
        </w:tc>
        <w:tc>
          <w:tcPr/>
          <w:p>
            <w:pPr>
              <w:pStyle w:val="Compact"/>
            </w:pPr>
            <w:r>
              <w:rPr>
                <w:sz w:val="17"/>
              </w:rPr>
              <w:t xml:space="preserve">Continu</w:t>
            </w:r>
          </w:p>
        </w:tc>
        <w:tc>
          <w:tcPr/>
          <w:p>
            <w:pPr>
              <w:pStyle w:val="Compact"/>
            </w:pPr>
            <w:r>
              <w:rPr>
                <w:sz w:val="17"/>
              </w:rPr>
              <w:t xml:space="preserve">—</w:t>
            </w:r>
          </w:p>
        </w:tc>
        <w:tc>
          <w:tcPr/>
          <w:p>
            <w:pPr>
              <w:pStyle w:val="Compact"/>
            </w:pPr>
            <w:r>
              <w:rPr>
                <w:sz w:val="17"/>
              </w:rPr>
              <w:t xml:space="preserve">À partir d’oct. 2028</w:t>
            </w:r>
          </w:p>
        </w:tc>
      </w:tr>
    </w:tbl>
    <w:p>
      <w:pPr>
        <w:pStyle w:val="BodyText"/>
      </w:pPr>
      <w:r>
        <w:t xml:space="preserve">Le calendrier v3.0 prévaut (ARB-38, ARB-39).</w:t>
      </w:r>
      <w:r>
        <w:t xml:space="preserve"> </w:t>
      </w:r>
      <w:r>
        <w:rPr>
          <w:b/>
          <w:bCs/>
        </w:rPr>
        <w:t xml:space="preserve">Conditions de passage à l’échelle</w:t>
      </w:r>
      <w:r>
        <w:t xml:space="preserve"> </w:t>
      </w:r>
      <w:r>
        <w:t xml:space="preserve">reprises de la source et ajoutées aux critères de la porte G3 : rapprochement au-dessus du seuil et écarts résolus ;</w:t>
      </w:r>
      <w:r>
        <w:t xml:space="preserve"> </w:t>
      </w:r>
      <w:r>
        <w:rPr>
          <w:b/>
          <w:bCs/>
        </w:rPr>
        <w:t xml:space="preserve">aucune vulnérabilité critique ouverte</w:t>
      </w:r>
      <w:r>
        <w:t xml:space="preserve"> </w:t>
      </w:r>
      <w:r>
        <w:t xml:space="preserve">; doublons et erreurs sous contrôle ; recours traités dans les délais ; agents formés, équipés et revus ; gain net démontré par rapport à une base de référence vérifiée ; PCA testé et restauration réussie.</w:t>
      </w:r>
    </w:p>
    <w:bookmarkEnd w:id="515"/>
    <w:bookmarkStart w:id="516" w:name="X914dc9e5c46f30d7ec440ba3f1bc4054519aa53"/>
    <w:p>
      <w:pPr>
        <w:pStyle w:val="Heading3"/>
      </w:pPr>
      <w:r>
        <w:t xml:space="preserve">H.17.2 Lots fonctionnels (vue produit) et épopées v3.0</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584"/>
        <w:gridCol w:w="1584"/>
        <w:gridCol w:w="1584"/>
        <w:gridCol w:w="1584"/>
        <w:gridCol w:w="1584"/>
      </w:tblGrid>
      <w:tr>
        <w:trPr>
          <w:tblHeader w:val="on"/>
        </w:trPr>
        <w:tc>
          <w:tcPr>
            <w:shd w:val="clear" w:color="auto" w:fill="232C6B"/>
          </w:tcPr>
          <w:p>
            <w:pPr>
              <w:pStyle w:val="Compact"/>
            </w:pPr>
            <w:r>
              <w:rPr>
                <w:b/>
                <w:color w:val="FFFFFF"/>
                <w:sz w:val="17"/>
              </w:rPr>
              <w:t xml:space="preserve">Lot source</w:t>
            </w:r>
          </w:p>
        </w:tc>
        <w:tc>
          <w:tcPr>
            <w:shd w:val="clear" w:color="auto" w:fill="232C6B"/>
          </w:tcPr>
          <w:p>
            <w:pPr>
              <w:pStyle w:val="Compact"/>
            </w:pPr>
            <w:r>
              <w:rPr>
                <w:b/>
                <w:color w:val="FFFFFF"/>
                <w:sz w:val="17"/>
              </w:rPr>
              <w:t xml:space="preserve">Contenu</w:t>
            </w:r>
          </w:p>
        </w:tc>
        <w:tc>
          <w:tcPr>
            <w:shd w:val="clear" w:color="auto" w:fill="232C6B"/>
          </w:tcPr>
          <w:p>
            <w:pPr>
              <w:pStyle w:val="Compact"/>
            </w:pPr>
            <w:r>
              <w:rPr>
                <w:b/>
                <w:color w:val="FFFFFF"/>
                <w:sz w:val="17"/>
              </w:rPr>
              <w:t xml:space="preserve">Phases</w:t>
            </w:r>
          </w:p>
        </w:tc>
        <w:tc>
          <w:tcPr>
            <w:shd w:val="clear" w:color="auto" w:fill="232C6B"/>
          </w:tcPr>
          <w:p>
            <w:pPr>
              <w:pStyle w:val="Compact"/>
            </w:pPr>
            <w:r>
              <w:rPr>
                <w:b/>
                <w:color w:val="FFFFFF"/>
                <w:sz w:val="17"/>
              </w:rPr>
              <w:t xml:space="preserve">Release source</w:t>
            </w:r>
          </w:p>
        </w:tc>
        <w:tc>
          <w:tcPr>
            <w:shd w:val="clear" w:color="auto" w:fill="232C6B"/>
          </w:tcPr>
          <w:p>
            <w:pPr>
              <w:pStyle w:val="Compact"/>
            </w:pPr>
            <w:r>
              <w:rPr>
                <w:b/>
                <w:color w:val="FFFFFF"/>
                <w:sz w:val="17"/>
              </w:rPr>
              <w:t xml:space="preserve">Épopées et release v3.0</w:t>
            </w:r>
          </w:p>
        </w:tc>
      </w:tr>
      <w:tr>
        <w:tc>
          <w:tcPr/>
          <w:p>
            <w:pPr>
              <w:pStyle w:val="Compact"/>
            </w:pPr>
            <w:r>
              <w:rPr>
                <w:sz w:val="17"/>
              </w:rPr>
              <w:t xml:space="preserve">Lot 0 — Cadrage et droit</w:t>
            </w:r>
          </w:p>
        </w:tc>
        <w:tc>
          <w:tcPr/>
          <w:p>
            <w:pPr>
              <w:pStyle w:val="Compact"/>
            </w:pPr>
            <w:r>
              <w:rPr>
                <w:sz w:val="17"/>
              </w:rPr>
              <w:t xml:space="preserve">Registre juridique, relevé certifié</w:t>
            </w:r>
          </w:p>
        </w:tc>
        <w:tc>
          <w:tcPr/>
          <w:p>
            <w:pPr>
              <w:pStyle w:val="Compact"/>
            </w:pPr>
            <w:r>
              <w:rPr>
                <w:sz w:val="17"/>
              </w:rPr>
              <w:t xml:space="preserve">0–1</w:t>
            </w:r>
          </w:p>
        </w:tc>
        <w:tc>
          <w:tcPr/>
          <w:p>
            <w:pPr>
              <w:pStyle w:val="Compact"/>
            </w:pPr>
            <w:r>
              <w:rPr>
                <w:sz w:val="17"/>
              </w:rPr>
              <w:t xml:space="preserve">—</w:t>
            </w:r>
          </w:p>
        </w:tc>
        <w:tc>
          <w:tcPr/>
          <w:p>
            <w:pPr>
              <w:pStyle w:val="Compact"/>
            </w:pPr>
            <w:r>
              <w:rPr>
                <w:sz w:val="17"/>
              </w:rPr>
              <w:t xml:space="preserve">Phase 0–1 ; E04 (R1)</w:t>
            </w:r>
          </w:p>
        </w:tc>
      </w:tr>
      <w:tr>
        <w:tc>
          <w:tcPr>
            <w:shd w:val="clear" w:color="auto" w:fill="F5F7FB"/>
          </w:tcPr>
          <w:p>
            <w:pPr>
              <w:pStyle w:val="Compact"/>
            </w:pPr>
            <w:r>
              <w:rPr>
                <w:sz w:val="17"/>
              </w:rPr>
              <w:t xml:space="preserve">Lot 1 — Socle identité et SIG</w:t>
            </w:r>
          </w:p>
        </w:tc>
        <w:tc>
          <w:tcPr>
            <w:shd w:val="clear" w:color="auto" w:fill="F5F7FB"/>
          </w:tcPr>
          <w:p>
            <w:pPr>
              <w:pStyle w:val="Compact"/>
            </w:pPr>
            <w:r>
              <w:rPr>
                <w:sz w:val="17"/>
              </w:rPr>
              <w:t xml:space="preserve">Comptes, objets, cartes</w:t>
            </w:r>
          </w:p>
        </w:tc>
        <w:tc>
          <w:tcPr>
            <w:shd w:val="clear" w:color="auto" w:fill="F5F7FB"/>
          </w:tcPr>
          <w:p>
            <w:pPr>
              <w:pStyle w:val="Compact"/>
            </w:pPr>
            <w:r>
              <w:rPr>
                <w:sz w:val="17"/>
              </w:rPr>
              <w:t xml:space="preserve">2</w:t>
            </w:r>
          </w:p>
        </w:tc>
        <w:tc>
          <w:tcPr>
            <w:shd w:val="clear" w:color="auto" w:fill="F5F7FB"/>
          </w:tcPr>
          <w:p>
            <w:pPr>
              <w:pStyle w:val="Compact"/>
            </w:pPr>
            <w:r>
              <w:rPr>
                <w:sz w:val="17"/>
              </w:rPr>
              <w:t xml:space="preserve">R1</w:t>
            </w:r>
          </w:p>
        </w:tc>
        <w:tc>
          <w:tcPr>
            <w:shd w:val="clear" w:color="auto" w:fill="F5F7FB"/>
          </w:tcPr>
          <w:p>
            <w:pPr>
              <w:pStyle w:val="Compact"/>
            </w:pPr>
            <w:r>
              <w:rPr>
                <w:sz w:val="17"/>
              </w:rPr>
              <w:t xml:space="preserve">E01, E02, E03 (R0/R1)</w:t>
            </w:r>
          </w:p>
        </w:tc>
      </w:tr>
      <w:tr>
        <w:tc>
          <w:tcPr/>
          <w:p>
            <w:pPr>
              <w:pStyle w:val="Compact"/>
            </w:pPr>
            <w:r>
              <w:rPr>
                <w:sz w:val="17"/>
              </w:rPr>
              <w:t xml:space="preserve">Lot 2 — Obligations et paiements</w:t>
            </w:r>
          </w:p>
        </w:tc>
        <w:tc>
          <w:tcPr/>
          <w:p>
            <w:pPr>
              <w:pStyle w:val="Compact"/>
            </w:pPr>
            <w:r>
              <w:rPr>
                <w:sz w:val="17"/>
              </w:rPr>
              <w:t xml:space="preserve">Règles, liquidation, paiement, grand livre</w:t>
            </w:r>
          </w:p>
        </w:tc>
        <w:tc>
          <w:tcPr/>
          <w:p>
            <w:pPr>
              <w:pStyle w:val="Compact"/>
            </w:pPr>
            <w:r>
              <w:rPr>
                <w:sz w:val="17"/>
              </w:rPr>
              <w:t xml:space="preserve">2</w:t>
            </w:r>
          </w:p>
        </w:tc>
        <w:tc>
          <w:tcPr/>
          <w:p>
            <w:pPr>
              <w:pStyle w:val="Compact"/>
            </w:pPr>
            <w:r>
              <w:rPr>
                <w:sz w:val="17"/>
              </w:rPr>
              <w:t xml:space="preserve">R1</w:t>
            </w:r>
          </w:p>
        </w:tc>
        <w:tc>
          <w:tcPr/>
          <w:p>
            <w:pPr>
              <w:pStyle w:val="Compact"/>
            </w:pPr>
            <w:r>
              <w:rPr>
                <w:sz w:val="17"/>
              </w:rPr>
              <w:t xml:space="preserve">E04–E08 (R1)</w:t>
            </w:r>
          </w:p>
        </w:tc>
      </w:tr>
      <w:tr>
        <w:tc>
          <w:tcPr>
            <w:shd w:val="clear" w:color="auto" w:fill="F5F7FB"/>
          </w:tcPr>
          <w:p>
            <w:pPr>
              <w:pStyle w:val="Compact"/>
            </w:pPr>
            <w:r>
              <w:rPr>
                <w:sz w:val="17"/>
              </w:rPr>
              <w:t xml:space="preserve">Lot 3 — Terrain, contrôle, recouvrement</w:t>
            </w:r>
          </w:p>
        </w:tc>
        <w:tc>
          <w:tcPr>
            <w:shd w:val="clear" w:color="auto" w:fill="F5F7FB"/>
          </w:tcPr>
          <w:p>
            <w:pPr>
              <w:pStyle w:val="Compact"/>
            </w:pPr>
            <w:r>
              <w:rPr>
                <w:sz w:val="17"/>
              </w:rPr>
              <w:t xml:space="preserve">Missions, constats, recouvrement</w:t>
            </w:r>
          </w:p>
        </w:tc>
        <w:tc>
          <w:tcPr>
            <w:shd w:val="clear" w:color="auto" w:fill="F5F7FB"/>
          </w:tcPr>
          <w:p>
            <w:pPr>
              <w:pStyle w:val="Compact"/>
            </w:pPr>
            <w:r>
              <w:rPr>
                <w:sz w:val="17"/>
              </w:rPr>
              <w:t xml:space="preserve">2–3</w:t>
            </w:r>
          </w:p>
        </w:tc>
        <w:tc>
          <w:tcPr>
            <w:shd w:val="clear" w:color="auto" w:fill="F5F7FB"/>
          </w:tcPr>
          <w:p>
            <w:pPr>
              <w:pStyle w:val="Compact"/>
            </w:pPr>
            <w:r>
              <w:rPr>
                <w:sz w:val="17"/>
              </w:rPr>
              <w:t xml:space="preserve">R1, R2</w:t>
            </w:r>
          </w:p>
        </w:tc>
        <w:tc>
          <w:tcPr>
            <w:shd w:val="clear" w:color="auto" w:fill="F5F7FB"/>
          </w:tcPr>
          <w:p>
            <w:pPr>
              <w:pStyle w:val="Compact"/>
            </w:pPr>
            <w:r>
              <w:rPr>
                <w:sz w:val="17"/>
              </w:rPr>
              <w:t xml:space="preserve">E03 (R0), E13 (R1), E14 (R2)</w:t>
            </w:r>
          </w:p>
        </w:tc>
      </w:tr>
      <w:tr>
        <w:tc>
          <w:tcPr/>
          <w:p>
            <w:pPr>
              <w:pStyle w:val="Compact"/>
            </w:pPr>
            <w:r>
              <w:rPr>
                <w:sz w:val="17"/>
              </w:rPr>
              <w:t xml:space="preserve">Lot 4 — Intelligence et IA</w:t>
            </w:r>
          </w:p>
        </w:tc>
        <w:tc>
          <w:tcPr/>
          <w:p>
            <w:pPr>
              <w:pStyle w:val="Compact"/>
            </w:pPr>
            <w:r>
              <w:rPr>
                <w:sz w:val="17"/>
              </w:rPr>
              <w:t xml:space="preserve">Agents, prévision, fraude</w:t>
            </w:r>
          </w:p>
        </w:tc>
        <w:tc>
          <w:tcPr/>
          <w:p>
            <w:pPr>
              <w:pStyle w:val="Compact"/>
            </w:pPr>
            <w:r>
              <w:rPr>
                <w:sz w:val="17"/>
              </w:rPr>
              <w:t xml:space="preserve">3–4</w:t>
            </w:r>
          </w:p>
        </w:tc>
        <w:tc>
          <w:tcPr/>
          <w:p>
            <w:pPr>
              <w:pStyle w:val="Compact"/>
            </w:pPr>
            <w:r>
              <w:rPr>
                <w:sz w:val="17"/>
              </w:rPr>
              <w:t xml:space="preserve">R3</w:t>
            </w:r>
          </w:p>
        </w:tc>
        <w:tc>
          <w:tcPr/>
          <w:p>
            <w:pPr>
              <w:pStyle w:val="Compact"/>
            </w:pPr>
            <w:r>
              <w:rPr>
                <w:sz w:val="17"/>
              </w:rPr>
              <w:t xml:space="preserve">E15, E16 (R2)</w:t>
            </w:r>
          </w:p>
        </w:tc>
      </w:tr>
      <w:tr>
        <w:tc>
          <w:tcPr>
            <w:shd w:val="clear" w:color="auto" w:fill="F5F7FB"/>
          </w:tcPr>
          <w:p>
            <w:pPr>
              <w:pStyle w:val="Compact"/>
            </w:pPr>
            <w:r>
              <w:rPr>
                <w:sz w:val="17"/>
              </w:rPr>
              <w:t xml:space="preserve">Lot 5 — Verticales et intégrations</w:t>
            </w:r>
          </w:p>
        </w:tc>
        <w:tc>
          <w:tcPr>
            <w:shd w:val="clear" w:color="auto" w:fill="F5F7FB"/>
          </w:tcPr>
          <w:p>
            <w:pPr>
              <w:pStyle w:val="Compact"/>
            </w:pPr>
            <w:r>
              <w:rPr>
                <w:sz w:val="17"/>
              </w:rPr>
              <w:t xml:space="preserve">Mobility, Parking, Markets, Ports, AVIA…</w:t>
            </w:r>
          </w:p>
        </w:tc>
        <w:tc>
          <w:tcPr>
            <w:shd w:val="clear" w:color="auto" w:fill="F5F7FB"/>
          </w:tcPr>
          <w:p>
            <w:pPr>
              <w:pStyle w:val="Compact"/>
            </w:pPr>
            <w:r>
              <w:rPr>
                <w:sz w:val="17"/>
              </w:rPr>
              <w:t xml:space="preserve">4–5</w:t>
            </w:r>
          </w:p>
        </w:tc>
        <w:tc>
          <w:tcPr>
            <w:shd w:val="clear" w:color="auto" w:fill="F5F7FB"/>
          </w:tcPr>
          <w:p>
            <w:pPr>
              <w:pStyle w:val="Compact"/>
            </w:pPr>
            <w:r>
              <w:rPr>
                <w:sz w:val="17"/>
              </w:rPr>
              <w:t xml:space="preserve">R2–R4</w:t>
            </w:r>
          </w:p>
        </w:tc>
        <w:tc>
          <w:tcPr>
            <w:shd w:val="clear" w:color="auto" w:fill="F5F7FB"/>
          </w:tcPr>
          <w:p>
            <w:pPr>
              <w:pStyle w:val="Compact"/>
            </w:pPr>
            <w:r>
              <w:rPr>
                <w:sz w:val="17"/>
              </w:rPr>
              <w:t xml:space="preserve">E17 (R2), E30–E36 (R2–R4, § H.22)</w:t>
            </w:r>
          </w:p>
        </w:tc>
      </w:tr>
      <w:tr>
        <w:tc>
          <w:tcPr/>
          <w:p>
            <w:pPr>
              <w:pStyle w:val="Compact"/>
            </w:pPr>
            <w:r>
              <w:rPr>
                <w:sz w:val="17"/>
              </w:rPr>
              <w:t xml:space="preserve">Lot 6 — Extension et industrialisation</w:t>
            </w:r>
          </w:p>
        </w:tc>
        <w:tc>
          <w:tcPr/>
          <w:p>
            <w:pPr>
              <w:pStyle w:val="Compact"/>
            </w:pPr>
            <w:r>
              <w:rPr>
                <w:sz w:val="17"/>
              </w:rPr>
              <w:t xml:space="preserve">24 communes, transfert</w:t>
            </w:r>
          </w:p>
        </w:tc>
        <w:tc>
          <w:tcPr/>
          <w:p>
            <w:pPr>
              <w:pStyle w:val="Compact"/>
            </w:pPr>
            <w:r>
              <w:rPr>
                <w:sz w:val="17"/>
              </w:rPr>
              <w:t xml:space="preserve">5–6</w:t>
            </w:r>
          </w:p>
        </w:tc>
        <w:tc>
          <w:tcPr/>
          <w:p>
            <w:pPr>
              <w:pStyle w:val="Compact"/>
            </w:pPr>
            <w:r>
              <w:rPr>
                <w:sz w:val="17"/>
              </w:rPr>
              <w:t xml:space="preserve">R4</w:t>
            </w:r>
          </w:p>
        </w:tc>
        <w:tc>
          <w:tcPr/>
          <w:p>
            <w:pPr>
              <w:pStyle w:val="Compact"/>
            </w:pPr>
            <w:r>
              <w:rPr>
                <w:sz w:val="17"/>
              </w:rPr>
              <w:t xml:space="preserve">R4</w:t>
            </w:r>
          </w:p>
        </w:tc>
      </w:tr>
    </w:tbl>
    <w:bookmarkEnd w:id="516"/>
    <w:bookmarkStart w:id="517" w:name="h.17.3-plans-datés-compléments"/>
    <w:p>
      <w:pPr>
        <w:pStyle w:val="Heading3"/>
      </w:pPr>
      <w:r>
        <w:t xml:space="preserve">H.17.3 Plans datés : compléments</w:t>
      </w:r>
    </w:p>
    <w:p>
      <w:pPr>
        <w:pStyle w:val="FirstParagraph"/>
      </w:pPr>
      <w:r>
        <w:t xml:space="preserve">Éléments des plans à 30, 90, 180 jours, 12 et 24 mois du Cahier non repris au § 34.3, et intégrés :</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Horizon</w:t>
            </w:r>
          </w:p>
        </w:tc>
        <w:tc>
          <w:tcPr>
            <w:shd w:val="clear" w:color="auto" w:fill="232C6B"/>
          </w:tcPr>
          <w:p>
            <w:pPr>
              <w:pStyle w:val="Compact"/>
            </w:pPr>
            <w:r>
              <w:rPr>
                <w:b/>
                <w:color w:val="FFFFFF"/>
                <w:sz w:val="17"/>
              </w:rPr>
              <w:t xml:space="preserve">Complément intégré</w:t>
            </w:r>
          </w:p>
        </w:tc>
      </w:tr>
      <w:tr>
        <w:tc>
          <w:tcPr/>
          <w:p>
            <w:pPr>
              <w:pStyle w:val="Compact"/>
            </w:pPr>
            <w:r>
              <w:rPr>
                <w:sz w:val="17"/>
              </w:rPr>
              <w:t xml:space="preserve">30 jours</w:t>
            </w:r>
          </w:p>
        </w:tc>
        <w:tc>
          <w:tcPr/>
          <w:p>
            <w:pPr>
              <w:pStyle w:val="Compact"/>
            </w:pPr>
            <w:r>
              <w:rPr>
                <w:b/>
                <w:bCs/>
                <w:sz w:val="17"/>
              </w:rPr>
              <w:t xml:space="preserve">Lettres d’intention des partenaires de données</w:t>
            </w:r>
            <w:r>
              <w:rPr>
                <w:sz w:val="17"/>
              </w:rPr>
              <w:t xml:space="preserve"> </w:t>
            </w:r>
            <w:r>
              <w:rPr>
                <w:sz w:val="17"/>
              </w:rPr>
              <w:t xml:space="preserve">(énergie, eau, immatriculations, télécoms, brasseries)</w:t>
            </w:r>
          </w:p>
        </w:tc>
      </w:tr>
      <w:tr>
        <w:tc>
          <w:tcPr>
            <w:shd w:val="clear" w:color="auto" w:fill="F5F7FB"/>
          </w:tcPr>
          <w:p>
            <w:pPr>
              <w:pStyle w:val="Compact"/>
            </w:pPr>
            <w:r>
              <w:rPr>
                <w:sz w:val="17"/>
              </w:rPr>
              <w:t xml:space="preserve">90 jours</w:t>
            </w:r>
          </w:p>
        </w:tc>
        <w:tc>
          <w:tcPr>
            <w:shd w:val="clear" w:color="auto" w:fill="F5F7FB"/>
          </w:tcPr>
          <w:p>
            <w:pPr>
              <w:pStyle w:val="Compact"/>
            </w:pPr>
            <w:r>
              <w:rPr>
                <w:sz w:val="17"/>
              </w:rPr>
              <w:t xml:space="preserve">Protocoles de données signés pour au moins une source par commune pilote ;</w:t>
            </w:r>
            <w:r>
              <w:rPr>
                <w:sz w:val="17"/>
              </w:rPr>
              <w:t xml:space="preserve"> </w:t>
            </w:r>
            <w:r>
              <w:rPr>
                <w:b/>
                <w:bCs/>
                <w:sz w:val="17"/>
              </w:rPr>
              <w:t xml:space="preserve">équipes formées</w:t>
            </w:r>
          </w:p>
        </w:tc>
      </w:tr>
      <w:tr>
        <w:tc>
          <w:tcPr/>
          <w:p>
            <w:pPr>
              <w:pStyle w:val="Compact"/>
            </w:pPr>
            <w:r>
              <w:rPr>
                <w:sz w:val="17"/>
              </w:rPr>
              <w:t xml:space="preserve">180 jours</w:t>
            </w:r>
          </w:p>
        </w:tc>
        <w:tc>
          <w:tcPr/>
          <w:p>
            <w:pPr>
              <w:pStyle w:val="Compact"/>
            </w:pPr>
            <w:r>
              <w:rPr>
                <w:sz w:val="17"/>
              </w:rPr>
              <w:t xml:space="preserve">Recensement locatif</w:t>
            </w:r>
            <w:r>
              <w:rPr>
                <w:sz w:val="17"/>
              </w:rPr>
              <w:t xml:space="preserve"> </w:t>
            </w:r>
            <w:r>
              <w:rPr>
                <w:b/>
                <w:bCs/>
                <w:sz w:val="17"/>
              </w:rPr>
              <w:t xml:space="preserve">et commercial</w:t>
            </w:r>
            <w:r>
              <w:rPr>
                <w:sz w:val="17"/>
              </w:rPr>
              <w:t xml:space="preserve"> </w:t>
            </w:r>
            <w:r>
              <w:rPr>
                <w:sz w:val="17"/>
              </w:rPr>
              <w:t xml:space="preserve">des quartiers pilotes ; plaques QR posées sur commerces et panneaux des zones échantillons</w:t>
            </w:r>
          </w:p>
        </w:tc>
      </w:tr>
      <w:tr>
        <w:tc>
          <w:tcPr>
            <w:shd w:val="clear" w:color="auto" w:fill="F5F7FB"/>
          </w:tcPr>
          <w:p>
            <w:pPr>
              <w:pStyle w:val="Compact"/>
            </w:pPr>
            <w:r>
              <w:rPr>
                <w:sz w:val="17"/>
              </w:rPr>
              <w:t xml:space="preserve">12 mois</w:t>
            </w:r>
          </w:p>
        </w:tc>
        <w:tc>
          <w:tcPr>
            <w:shd w:val="clear" w:color="auto" w:fill="F5F7FB"/>
          </w:tcPr>
          <w:p>
            <w:pPr>
              <w:pStyle w:val="Compact"/>
            </w:pPr>
            <w:r>
              <w:rPr>
                <w:b/>
                <w:bCs/>
                <w:sz w:val="17"/>
              </w:rPr>
              <w:t xml:space="preserve">Cellule grands redevables</w:t>
            </w:r>
            <w:r>
              <w:rPr>
                <w:sz w:val="17"/>
              </w:rPr>
              <w:t xml:space="preserve"> </w:t>
            </w:r>
            <w:r>
              <w:rPr>
                <w:sz w:val="17"/>
              </w:rPr>
              <w:t xml:space="preserve">opérationnelle ;</w:t>
            </w:r>
            <w:r>
              <w:rPr>
                <w:sz w:val="17"/>
              </w:rPr>
              <w:t xml:space="preserve"> </w:t>
            </w:r>
            <w:r>
              <w:rPr>
                <w:b/>
                <w:bCs/>
                <w:sz w:val="17"/>
              </w:rPr>
              <w:t xml:space="preserve">audit du premier exercice</w:t>
            </w:r>
            <w:r>
              <w:rPr>
                <w:sz w:val="17"/>
              </w:rPr>
              <w:t xml:space="preserve"> </w:t>
            </w:r>
            <w:r>
              <w:rPr>
                <w:sz w:val="17"/>
              </w:rPr>
              <w:t xml:space="preserve">couvert par MOSOLO</w:t>
            </w:r>
          </w:p>
        </w:tc>
      </w:tr>
      <w:tr>
        <w:tc>
          <w:tcPr/>
          <w:p>
            <w:pPr>
              <w:pStyle w:val="Compact"/>
            </w:pPr>
            <w:r>
              <w:rPr>
                <w:sz w:val="17"/>
              </w:rPr>
              <w:t xml:space="preserve">24 mois</w:t>
            </w:r>
          </w:p>
        </w:tc>
        <w:tc>
          <w:tcPr/>
          <w:p>
            <w:pPr>
              <w:pStyle w:val="Compact"/>
            </w:pPr>
            <w:r>
              <w:rPr>
                <w:b/>
                <w:bCs/>
                <w:sz w:val="17"/>
              </w:rPr>
              <w:t xml:space="preserve">Transfert de compétences</w:t>
            </w:r>
            <w:r>
              <w:rPr>
                <w:sz w:val="17"/>
              </w:rPr>
              <w:t xml:space="preserve"> </w:t>
            </w:r>
            <w:r>
              <w:rPr>
                <w:sz w:val="17"/>
              </w:rPr>
              <w:t xml:space="preserve">mesuré (indicateur d’autonomie ≥ 50 %, § 39) ; affectation et transparence publiées</w:t>
            </w:r>
          </w:p>
        </w:tc>
      </w:tr>
    </w:tbl>
    <w:bookmarkEnd w:id="517"/>
    <w:bookmarkStart w:id="518" w:name="h.17.4-effectifs-indicatifs-du-pilote"/>
    <w:p>
      <w:pPr>
        <w:pStyle w:val="Heading3"/>
      </w:pPr>
      <w:r>
        <w:t xml:space="preserve">H.17.4 Effectifs indicatifs du pilote</w:t>
      </w:r>
    </w:p>
    <w:p>
      <w:pPr>
        <w:pStyle w:val="FirstParagraph"/>
      </w:pPr>
      <w:r>
        <w:t xml:space="preserve">[EXEMPLE — dimensionnement indicatif issu du Cahier, à confirmer par le plan de charge de la phase 1] :</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Fonction</w:t>
            </w:r>
          </w:p>
        </w:tc>
        <w:tc>
          <w:tcPr>
            <w:shd w:val="clear" w:color="auto" w:fill="232C6B"/>
          </w:tcPr>
          <w:p>
            <w:pPr>
              <w:pStyle w:val="Compact"/>
            </w:pPr>
            <w:r>
              <w:rPr>
                <w:b/>
                <w:color w:val="FFFFFF"/>
                <w:sz w:val="17"/>
              </w:rPr>
              <w:t xml:space="preserve">Effectif indicatif</w:t>
            </w:r>
          </w:p>
        </w:tc>
        <w:tc>
          <w:tcPr>
            <w:shd w:val="clear" w:color="auto" w:fill="232C6B"/>
          </w:tcPr>
          <w:p>
            <w:pPr>
              <w:pStyle w:val="Compact"/>
            </w:pPr>
            <w:r>
              <w:rPr>
                <w:b/>
                <w:color w:val="FFFFFF"/>
                <w:sz w:val="17"/>
              </w:rPr>
              <w:t xml:space="preserve">Rattachement</w:t>
            </w:r>
          </w:p>
        </w:tc>
      </w:tr>
      <w:tr>
        <w:tc>
          <w:tcPr/>
          <w:p>
            <w:pPr>
              <w:pStyle w:val="Compact"/>
            </w:pPr>
            <w:r>
              <w:rPr>
                <w:sz w:val="17"/>
              </w:rPr>
              <w:t xml:space="preserve">Direction de programme</w:t>
            </w:r>
          </w:p>
        </w:tc>
        <w:tc>
          <w:tcPr/>
          <w:p>
            <w:pPr>
              <w:pStyle w:val="Compact"/>
            </w:pPr>
            <w:r>
              <w:rPr>
                <w:sz w:val="17"/>
              </w:rPr>
              <w:t xml:space="preserve">1 directeur, 1 adjoint</w:t>
            </w:r>
          </w:p>
        </w:tc>
        <w:tc>
          <w:tcPr/>
          <w:p>
            <w:pPr>
              <w:pStyle w:val="Compact"/>
            </w:pPr>
            <w:r>
              <w:rPr>
                <w:sz w:val="17"/>
              </w:rPr>
              <w:t xml:space="preserve">Ministère provincial des Finances</w:t>
            </w:r>
          </w:p>
        </w:tc>
      </w:tr>
      <w:tr>
        <w:tc>
          <w:tcPr>
            <w:shd w:val="clear" w:color="auto" w:fill="F5F7FB"/>
          </w:tcPr>
          <w:p>
            <w:pPr>
              <w:pStyle w:val="Compact"/>
            </w:pPr>
            <w:r>
              <w:rPr>
                <w:sz w:val="17"/>
              </w:rPr>
              <w:t xml:space="preserve">Référentiel juridique</w:t>
            </w:r>
          </w:p>
        </w:tc>
        <w:tc>
          <w:tcPr>
            <w:shd w:val="clear" w:color="auto" w:fill="F5F7FB"/>
          </w:tcPr>
          <w:p>
            <w:pPr>
              <w:pStyle w:val="Compact"/>
            </w:pPr>
            <w:r>
              <w:rPr>
                <w:sz w:val="17"/>
              </w:rPr>
              <w:t xml:space="preserve">2 juristes, 1 tarificateur</w:t>
            </w:r>
          </w:p>
        </w:tc>
        <w:tc>
          <w:tcPr>
            <w:shd w:val="clear" w:color="auto" w:fill="F5F7FB"/>
          </w:tcPr>
          <w:p>
            <w:pPr>
              <w:pStyle w:val="Compact"/>
            </w:pPr>
            <w:r>
              <w:rPr>
                <w:sz w:val="17"/>
              </w:rPr>
              <w:t xml:space="preserve">Cellule juridique et tarifaire</w:t>
            </w:r>
          </w:p>
        </w:tc>
      </w:tr>
      <w:tr>
        <w:tc>
          <w:tcPr/>
          <w:p>
            <w:pPr>
              <w:pStyle w:val="Compact"/>
            </w:pPr>
            <w:r>
              <w:rPr>
                <w:sz w:val="17"/>
              </w:rPr>
              <w:t xml:space="preserve">Produit</w:t>
            </w:r>
          </w:p>
        </w:tc>
        <w:tc>
          <w:tcPr/>
          <w:p>
            <w:pPr>
              <w:pStyle w:val="Compact"/>
            </w:pPr>
            <w:r>
              <w:rPr>
                <w:sz w:val="17"/>
              </w:rPr>
              <w:t xml:space="preserve">1 responsable produit, 1 designer de service</w:t>
            </w:r>
          </w:p>
        </w:tc>
        <w:tc>
          <w:tcPr/>
          <w:p>
            <w:pPr>
              <w:pStyle w:val="Compact"/>
            </w:pPr>
            <w:r>
              <w:rPr>
                <w:sz w:val="17"/>
              </w:rPr>
              <w:t xml:space="preserve">Bureau du programme</w:t>
            </w:r>
          </w:p>
        </w:tc>
      </w:tr>
      <w:tr>
        <w:tc>
          <w:tcPr>
            <w:shd w:val="clear" w:color="auto" w:fill="F5F7FB"/>
          </w:tcPr>
          <w:p>
            <w:pPr>
              <w:pStyle w:val="Compact"/>
            </w:pPr>
            <w:r>
              <w:rPr>
                <w:sz w:val="17"/>
              </w:rPr>
              <w:t xml:space="preserve">Ingénierie</w:t>
            </w:r>
          </w:p>
        </w:tc>
        <w:tc>
          <w:tcPr>
            <w:shd w:val="clear" w:color="auto" w:fill="F5F7FB"/>
          </w:tcPr>
          <w:p>
            <w:pPr>
              <w:pStyle w:val="Compact"/>
            </w:pPr>
            <w:r>
              <w:rPr>
                <w:sz w:val="17"/>
              </w:rPr>
              <w:t xml:space="preserve">6 à 10 développeurs, 1 architecte, 1 spécialiste des données spatiales</w:t>
            </w:r>
          </w:p>
        </w:tc>
        <w:tc>
          <w:tcPr>
            <w:shd w:val="clear" w:color="auto" w:fill="F5F7FB"/>
          </w:tcPr>
          <w:p>
            <w:pPr>
              <w:pStyle w:val="Compact"/>
            </w:pPr>
            <w:r>
              <w:rPr>
                <w:sz w:val="17"/>
              </w:rPr>
              <w:t xml:space="preserve">Prestataire + transfert</w:t>
            </w:r>
          </w:p>
        </w:tc>
      </w:tr>
      <w:tr>
        <w:tc>
          <w:tcPr/>
          <w:p>
            <w:pPr>
              <w:pStyle w:val="Compact"/>
            </w:pPr>
            <w:r>
              <w:rPr>
                <w:sz w:val="17"/>
              </w:rPr>
              <w:t xml:space="preserve">Sécurité</w:t>
            </w:r>
          </w:p>
        </w:tc>
        <w:tc>
          <w:tcPr/>
          <w:p>
            <w:pPr>
              <w:pStyle w:val="Compact"/>
            </w:pPr>
            <w:r>
              <w:rPr>
                <w:sz w:val="17"/>
              </w:rPr>
              <w:t xml:space="preserve">1 responsable sécurité + audit externe périodique</w:t>
            </w:r>
          </w:p>
        </w:tc>
        <w:tc>
          <w:tcPr/>
          <w:p>
            <w:pPr>
              <w:pStyle w:val="Compact"/>
            </w:pPr>
            <w:r>
              <w:rPr>
                <w:sz w:val="17"/>
              </w:rPr>
              <w:t xml:space="preserve">RSSI</w:t>
            </w:r>
          </w:p>
        </w:tc>
      </w:tr>
      <w:tr>
        <w:tc>
          <w:tcPr>
            <w:shd w:val="clear" w:color="auto" w:fill="F5F7FB"/>
          </w:tcPr>
          <w:p>
            <w:pPr>
              <w:pStyle w:val="Compact"/>
            </w:pPr>
            <w:r>
              <w:rPr>
                <w:sz w:val="17"/>
              </w:rPr>
              <w:t xml:space="preserve">Terrain, par commune pilote</w:t>
            </w:r>
          </w:p>
        </w:tc>
        <w:tc>
          <w:tcPr>
            <w:shd w:val="clear" w:color="auto" w:fill="F5F7FB"/>
          </w:tcPr>
          <w:p>
            <w:pPr>
              <w:pStyle w:val="Compact"/>
            </w:pPr>
            <w:r>
              <w:rPr>
                <w:sz w:val="17"/>
              </w:rPr>
              <w:t xml:space="preserve">1 chef de centre, 10 à 20 recenseurs, 4 à 8 contrôleurs</w:t>
            </w:r>
          </w:p>
        </w:tc>
        <w:tc>
          <w:tcPr>
            <w:shd w:val="clear" w:color="auto" w:fill="F5F7FB"/>
          </w:tcPr>
          <w:p>
            <w:pPr>
              <w:pStyle w:val="Compact"/>
            </w:pPr>
            <w:r>
              <w:rPr>
                <w:sz w:val="17"/>
              </w:rPr>
              <w:t xml:space="preserve">Régies</w:t>
            </w:r>
          </w:p>
        </w:tc>
      </w:tr>
      <w:tr>
        <w:tc>
          <w:tcPr/>
          <w:p>
            <w:pPr>
              <w:pStyle w:val="Compact"/>
            </w:pPr>
            <w:r>
              <w:rPr>
                <w:sz w:val="17"/>
              </w:rPr>
              <w:t xml:space="preserve">Assistance</w:t>
            </w:r>
          </w:p>
        </w:tc>
        <w:tc>
          <w:tcPr/>
          <w:p>
            <w:pPr>
              <w:pStyle w:val="Compact"/>
            </w:pPr>
            <w:r>
              <w:rPr>
                <w:sz w:val="17"/>
              </w:rPr>
              <w:t xml:space="preserve">1 centre d’appui ; formateurs par commune</w:t>
            </w:r>
          </w:p>
        </w:tc>
        <w:tc>
          <w:tcPr/>
          <w:p>
            <w:pPr>
              <w:pStyle w:val="Compact"/>
            </w:pPr>
            <w:r>
              <w:rPr>
                <w:sz w:val="17"/>
              </w:rPr>
              <w:t xml:space="preserve">Centre de services contribuables</w:t>
            </w:r>
          </w:p>
        </w:tc>
      </w:tr>
      <w:tr>
        <w:tc>
          <w:tcPr>
            <w:shd w:val="clear" w:color="auto" w:fill="F5F7FB"/>
          </w:tcPr>
          <w:p>
            <w:pPr>
              <w:pStyle w:val="Compact"/>
            </w:pPr>
            <w:r>
              <w:rPr>
                <w:sz w:val="17"/>
              </w:rPr>
              <w:t xml:space="preserve">Trésorerie</w:t>
            </w:r>
          </w:p>
        </w:tc>
        <w:tc>
          <w:tcPr>
            <w:shd w:val="clear" w:color="auto" w:fill="F5F7FB"/>
          </w:tcPr>
          <w:p>
            <w:pPr>
              <w:pStyle w:val="Compact"/>
            </w:pPr>
            <w:r>
              <w:rPr>
                <w:sz w:val="17"/>
              </w:rPr>
              <w:t xml:space="preserve">2 comptables publics dédiés</w:t>
            </w:r>
          </w:p>
        </w:tc>
        <w:tc>
          <w:tcPr>
            <w:shd w:val="clear" w:color="auto" w:fill="F5F7FB"/>
          </w:tcPr>
          <w:p>
            <w:pPr>
              <w:pStyle w:val="Compact"/>
            </w:pPr>
            <w:r>
              <w:rPr>
                <w:sz w:val="17"/>
              </w:rPr>
              <w:t xml:space="preserve">Trésor provincial</w:t>
            </w:r>
          </w:p>
        </w:tc>
      </w:tr>
    </w:tbl>
    <w:p>
      <w:pPr>
        <w:pStyle w:val="BodyText"/>
      </w:pPr>
      <w:r>
        <w:rPr>
          <w:b/>
          <w:bCs/>
        </w:rPr>
        <w:t xml:space="preserve">Règle de transfert</w:t>
      </w:r>
      <w:r>
        <w:t xml:space="preserve"> </w:t>
      </w:r>
      <w:r>
        <w:t xml:space="preserve">: chaque poste externe est doublé d’un agent provincial ; le calendrier de transfert est vérifié à chaque porte d’approbation.</w:t>
      </w:r>
    </w:p>
    <w:bookmarkEnd w:id="518"/>
    <w:bookmarkStart w:id="519" w:name="h.17.5-instances-complémentaires"/>
    <w:p>
      <w:pPr>
        <w:pStyle w:val="Heading3"/>
      </w:pPr>
      <w:r>
        <w:t xml:space="preserve">H.17.5 Instances complémentaires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Instance source</w:t>
            </w:r>
          </w:p>
        </w:tc>
        <w:tc>
          <w:tcPr>
            <w:shd w:val="clear" w:color="auto" w:fill="232C6B"/>
          </w:tcPr>
          <w:p>
            <w:pPr>
              <w:pStyle w:val="Compact"/>
            </w:pPr>
            <w:r>
              <w:rPr>
                <w:b/>
                <w:color w:val="FFFFFF"/>
                <w:sz w:val="17"/>
              </w:rPr>
              <w:t xml:space="preserve">Rythme</w:t>
            </w:r>
          </w:p>
        </w:tc>
        <w:tc>
          <w:tcPr>
            <w:shd w:val="clear" w:color="auto" w:fill="232C6B"/>
          </w:tcPr>
          <w:p>
            <w:pPr>
              <w:pStyle w:val="Compact"/>
            </w:pPr>
            <w:r>
              <w:rPr>
                <w:b/>
                <w:color w:val="FFFFFF"/>
                <w:sz w:val="17"/>
              </w:rPr>
              <w:t xml:space="preserve">Traitement v3.0</w:t>
            </w:r>
          </w:p>
        </w:tc>
      </w:tr>
      <w:tr>
        <w:tc>
          <w:tcPr/>
          <w:p>
            <w:pPr>
              <w:pStyle w:val="Compact"/>
            </w:pPr>
            <w:r>
              <w:rPr>
                <w:sz w:val="17"/>
              </w:rPr>
              <w:t xml:space="preserve">Comité technique</w:t>
            </w:r>
          </w:p>
        </w:tc>
        <w:tc>
          <w:tcPr/>
          <w:p>
            <w:pPr>
              <w:pStyle w:val="Compact"/>
            </w:pPr>
            <w:r>
              <w:rPr>
                <w:sz w:val="17"/>
              </w:rPr>
              <w:t xml:space="preserve">Hebdomadaire</w:t>
            </w:r>
          </w:p>
        </w:tc>
        <w:tc>
          <w:tcPr/>
          <w:p>
            <w:pPr>
              <w:pStyle w:val="Compact"/>
            </w:pPr>
            <w:r>
              <w:rPr>
                <w:b/>
                <w:bCs/>
                <w:sz w:val="17"/>
              </w:rPr>
              <w:t xml:space="preserve">Intégré</w:t>
            </w:r>
            <w:r>
              <w:rPr>
                <w:sz w:val="17"/>
              </w:rPr>
              <w:t xml:space="preserve"> </w:t>
            </w:r>
            <w:r>
              <w:rPr>
                <w:sz w:val="17"/>
              </w:rPr>
              <w:t xml:space="preserve">sous le Bureau du programme (architecture, intégrations, dette technique)</w:t>
            </w:r>
          </w:p>
        </w:tc>
      </w:tr>
      <w:tr>
        <w:tc>
          <w:tcPr>
            <w:shd w:val="clear" w:color="auto" w:fill="F5F7FB"/>
          </w:tcPr>
          <w:p>
            <w:pPr>
              <w:pStyle w:val="Compact"/>
            </w:pPr>
            <w:r>
              <w:rPr>
                <w:sz w:val="17"/>
              </w:rPr>
              <w:t xml:space="preserve">Comité des données (Data Governance Council)</w:t>
            </w:r>
          </w:p>
        </w:tc>
        <w:tc>
          <w:tcPr>
            <w:shd w:val="clear" w:color="auto" w:fill="F5F7FB"/>
          </w:tcPr>
          <w:p>
            <w:pPr>
              <w:pStyle w:val="Compact"/>
            </w:pPr>
            <w:r>
              <w:rPr>
                <w:sz w:val="17"/>
              </w:rPr>
              <w:t xml:space="preserve">Mensuel</w:t>
            </w:r>
          </w:p>
        </w:tc>
        <w:tc>
          <w:tcPr>
            <w:shd w:val="clear" w:color="auto" w:fill="F5F7FB"/>
          </w:tcPr>
          <w:p>
            <w:pPr>
              <w:pStyle w:val="Compact"/>
            </w:pPr>
            <w:r>
              <w:rPr>
                <w:sz w:val="17"/>
              </w:rPr>
              <w:t xml:space="preserve">Fusionné dans le Comité de sécurité et protection des données, avec un</w:t>
            </w:r>
            <w:r>
              <w:rPr>
                <w:sz w:val="17"/>
              </w:rPr>
              <w:t xml:space="preserve"> </w:t>
            </w:r>
            <w:r>
              <w:rPr>
                <w:b/>
                <w:bCs/>
                <w:sz w:val="17"/>
              </w:rPr>
              <w:t xml:space="preserve">ordre du jour « données » mensuel</w:t>
            </w:r>
            <w:r>
              <w:rPr>
                <w:sz w:val="17"/>
              </w:rPr>
              <w:t xml:space="preserve"> </w:t>
            </w:r>
            <w:r>
              <w:rPr>
                <w:sz w:val="17"/>
              </w:rPr>
              <w:t xml:space="preserve">(qualité, partages, conservation)</w:t>
            </w:r>
          </w:p>
        </w:tc>
      </w:tr>
      <w:tr>
        <w:tc>
          <w:tcPr/>
          <w:p>
            <w:pPr>
              <w:pStyle w:val="Compact"/>
            </w:pPr>
            <w:r>
              <w:rPr>
                <w:sz w:val="17"/>
              </w:rPr>
              <w:t xml:space="preserve">Product / Programme Office</w:t>
            </w:r>
          </w:p>
        </w:tc>
        <w:tc>
          <w:tcPr/>
          <w:p>
            <w:pPr>
              <w:pStyle w:val="Compact"/>
            </w:pPr>
            <w:r>
              <w:rPr>
                <w:sz w:val="17"/>
              </w:rPr>
              <w:t xml:space="preserve">Hebdomadaire</w:t>
            </w:r>
          </w:p>
        </w:tc>
        <w:tc>
          <w:tcPr/>
          <w:p>
            <w:pPr>
              <w:pStyle w:val="Compact"/>
            </w:pPr>
            <w:r>
              <w:rPr>
                <w:sz w:val="17"/>
              </w:rPr>
              <w:t xml:space="preserve">= Bureau du programme (backlog, matrice RACI)</w:t>
            </w:r>
          </w:p>
        </w:tc>
      </w:tr>
      <w:tr>
        <w:tc>
          <w:tcPr>
            <w:shd w:val="clear" w:color="auto" w:fill="F5F7FB"/>
          </w:tcPr>
          <w:p>
            <w:pPr>
              <w:pStyle w:val="Compact"/>
            </w:pPr>
            <w:r>
              <w:rPr>
                <w:sz w:val="17"/>
              </w:rPr>
              <w:t xml:space="preserve">Comité finances et rapprochement</w:t>
            </w:r>
          </w:p>
        </w:tc>
        <w:tc>
          <w:tcPr>
            <w:shd w:val="clear" w:color="auto" w:fill="F5F7FB"/>
          </w:tcPr>
          <w:p>
            <w:pPr>
              <w:pStyle w:val="Compact"/>
            </w:pPr>
            <w:r>
              <w:rPr>
                <w:sz w:val="17"/>
              </w:rPr>
              <w:t xml:space="preserve">Hebdomadaire ; quotidien en période critique</w:t>
            </w:r>
          </w:p>
        </w:tc>
        <w:tc>
          <w:tcPr>
            <w:shd w:val="clear" w:color="auto" w:fill="F5F7FB"/>
          </w:tcPr>
          <w:p>
            <w:pPr>
              <w:pStyle w:val="Compact"/>
            </w:pPr>
            <w:r>
              <w:rPr>
                <w:b/>
                <w:bCs/>
                <w:sz w:val="17"/>
              </w:rPr>
              <w:t xml:space="preserve">Intégré</w:t>
            </w:r>
            <w:r>
              <w:rPr>
                <w:sz w:val="17"/>
              </w:rPr>
              <w:t xml:space="preserve"> </w:t>
            </w:r>
            <w:r>
              <w:rPr>
                <w:sz w:val="17"/>
              </w:rPr>
              <w:t xml:space="preserve">: point quotidien de la salle de contrôle (§ 35) + revue hebdomadaire présidée par le Trésor</w:t>
            </w:r>
          </w:p>
        </w:tc>
      </w:tr>
      <w:tr>
        <w:tc>
          <w:tcPr/>
          <w:p>
            <w:pPr>
              <w:pStyle w:val="Compact"/>
            </w:pPr>
            <w:r>
              <w:rPr>
                <w:sz w:val="17"/>
              </w:rPr>
              <w:t xml:space="preserve">Comité produit</w:t>
            </w:r>
          </w:p>
        </w:tc>
        <w:tc>
          <w:tcPr/>
          <w:p>
            <w:pPr>
              <w:pStyle w:val="Compact"/>
            </w:pPr>
            <w:r>
              <w:rPr>
                <w:sz w:val="17"/>
              </w:rPr>
              <w:t xml:space="preserve">Toutes les 2 semaines</w:t>
            </w:r>
          </w:p>
        </w:tc>
        <w:tc>
          <w:tcPr/>
          <w:p>
            <w:pPr>
              <w:pStyle w:val="Compact"/>
            </w:pPr>
            <w:r>
              <w:rPr>
                <w:sz w:val="17"/>
              </w:rPr>
              <w:t xml:space="preserve">Revue de produit du Bureau du programme</w:t>
            </w:r>
          </w:p>
        </w:tc>
      </w:tr>
      <w:tr>
        <w:tc>
          <w:tcPr>
            <w:shd w:val="clear" w:color="auto" w:fill="F5F7FB"/>
          </w:tcPr>
          <w:p>
            <w:pPr>
              <w:pStyle w:val="Compact"/>
            </w:pPr>
            <w:r>
              <w:rPr>
                <w:sz w:val="17"/>
              </w:rPr>
              <w:t xml:space="preserve">Comité de suivi de la répartition</w:t>
            </w:r>
          </w:p>
        </w:tc>
        <w:tc>
          <w:tcPr>
            <w:shd w:val="clear" w:color="auto" w:fill="F5F7FB"/>
          </w:tcPr>
          <w:p>
            <w:pPr>
              <w:pStyle w:val="Compact"/>
            </w:pPr>
            <w:r>
              <w:rPr>
                <w:sz w:val="17"/>
              </w:rPr>
              <w:t xml:space="preserve">Trimestriel</w:t>
            </w:r>
          </w:p>
        </w:tc>
        <w:tc>
          <w:tcPr>
            <w:shd w:val="clear" w:color="auto" w:fill="F5F7FB"/>
          </w:tcPr>
          <w:p>
            <w:pPr>
              <w:pStyle w:val="Compact"/>
            </w:pPr>
            <w:r>
              <w:rPr>
                <w:sz w:val="17"/>
              </w:rPr>
              <w:t xml:space="preserve">Remplacé par le</w:t>
            </w:r>
            <w:r>
              <w:rPr>
                <w:sz w:val="17"/>
              </w:rPr>
              <w:t xml:space="preserve"> </w:t>
            </w:r>
            <w:r>
              <w:rPr>
                <w:b/>
                <w:bCs/>
                <w:sz w:val="17"/>
              </w:rPr>
              <w:t xml:space="preserve">comité de suivi du contrat et de la prime</w:t>
            </w:r>
            <w:r>
              <w:rPr>
                <w:sz w:val="17"/>
              </w:rPr>
              <w:t xml:space="preserve"> </w:t>
            </w:r>
            <w:r>
              <w:rPr>
                <w:sz w:val="17"/>
              </w:rPr>
              <w:t xml:space="preserve">(Finances, Trésor, audit interne, observateur indépendant ; prestataire sans voix délibérative) (ARB-71)</w:t>
            </w:r>
          </w:p>
        </w:tc>
      </w:tr>
      <w:tr>
        <w:tc>
          <w:tcPr/>
          <w:p>
            <w:pPr>
              <w:pStyle w:val="Compact"/>
            </w:pPr>
            <w:r>
              <w:rPr>
                <w:sz w:val="17"/>
              </w:rPr>
              <w:t xml:space="preserve">Matrice RACI par domaine</w:t>
            </w:r>
          </w:p>
        </w:tc>
        <w:tc>
          <w:tcPr/>
          <w:p>
            <w:pPr>
              <w:pStyle w:val="Compact"/>
            </w:pPr>
            <w:r>
              <w:rPr>
                <w:sz w:val="17"/>
              </w:rPr>
              <w:t xml:space="preserve">—</w:t>
            </w:r>
          </w:p>
        </w:tc>
        <w:tc>
          <w:tcPr/>
          <w:p>
            <w:pPr>
              <w:pStyle w:val="Compact"/>
            </w:pPr>
            <w:r>
              <w:rPr>
                <w:sz w:val="17"/>
              </w:rPr>
              <w:t xml:space="preserve">Livrable de la phase 1</w:t>
            </w:r>
          </w:p>
        </w:tc>
      </w:tr>
    </w:tbl>
    <w:p>
      <w:pPr>
        <w:pStyle w:val="BodyText"/>
      </w:pPr>
      <w:r>
        <w:rPr>
          <w:b/>
          <w:bCs/>
        </w:rPr>
        <w:t xml:space="preserve">Définition de « terminé » — compléments</w:t>
      </w:r>
      <w:r>
        <w:t xml:space="preserve"> </w:t>
      </w:r>
      <w:r>
        <w:t xml:space="preserve">: tests de</w:t>
      </w:r>
      <w:r>
        <w:t xml:space="preserve"> </w:t>
      </w:r>
      <w:r>
        <w:rPr>
          <w:b/>
          <w:bCs/>
        </w:rPr>
        <w:t xml:space="preserve">cas négatifs</w:t>
      </w:r>
      <w:r>
        <w:t xml:space="preserve"> </w:t>
      </w:r>
      <w:r>
        <w:t xml:space="preserve">et de</w:t>
      </w:r>
      <w:r>
        <w:t xml:space="preserve"> </w:t>
      </w:r>
      <w:r>
        <w:rPr>
          <w:b/>
          <w:bCs/>
        </w:rPr>
        <w:t xml:space="preserve">retour arrière</w:t>
      </w:r>
      <w:r>
        <w:t xml:space="preserve"> </w:t>
      </w:r>
      <w:r>
        <w:t xml:space="preserve">obligatoires ; responsable métier + responsable produit + contrôle indépendant co-signataires ; aucune mise en production sans critères mesurables et preuves de test.</w:t>
      </w:r>
    </w:p>
    <w:bookmarkEnd w:id="519"/>
    <w:bookmarkEnd w:id="520"/>
    <w:bookmarkStart w:id="524" w:name="Xc592b716881543ef5fbdcfe2ea5aa0845f3479c"/>
    <w:p>
      <w:pPr>
        <w:pStyle w:val="Heading2"/>
      </w:pPr>
      <w:r>
        <w:t xml:space="preserve">H.18 Chapitres 37 et 38 — Passation et modèle financier</w:t>
      </w:r>
    </w:p>
    <w:bookmarkStart w:id="521" w:name="X8eec81d99448b635dfa09ae72e5cc9a839ab10e"/>
    <w:p>
      <w:pPr>
        <w:pStyle w:val="Heading3"/>
      </w:pPr>
      <w:r>
        <w:t xml:space="preserve">H.18.1 Ce qui est retenu de la proposition de financement du Cahier</w:t>
      </w:r>
    </w:p>
    <w:p>
      <w:pPr>
        <w:pStyle w:val="FirstParagraph"/>
      </w:pPr>
      <w:r>
        <w:t xml:space="preserve">La clé 10/10/10/70 et la durée de 30 ans sont écartées (§ 37.2 ; ARB-01 à ARB-11). Deux éléments de fond sont en revanche</w:t>
      </w:r>
      <w:r>
        <w:t xml:space="preserve"> </w:t>
      </w:r>
      <w:r>
        <w:rPr>
          <w:b/>
          <w:bCs/>
        </w:rPr>
        <w:t xml:space="preserve">conservés</w:t>
      </w:r>
      <w:r>
        <w:t xml:space="preserve">, car ils structurent le chiffrage et le plan de financement :</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Périmètre « système d’exploitation numérique » (logiciel)</w:t>
            </w:r>
          </w:p>
        </w:tc>
        <w:tc>
          <w:tcPr>
            <w:shd w:val="clear" w:color="auto" w:fill="232C6B"/>
          </w:tcPr>
          <w:p>
            <w:pPr>
              <w:pStyle w:val="Compact"/>
            </w:pPr>
            <w:r>
              <w:rPr>
                <w:b/>
                <w:color w:val="FFFFFF"/>
                <w:sz w:val="17"/>
              </w:rPr>
              <w:t xml:space="preserve">Périmètre « moyens physiques »</w:t>
            </w:r>
          </w:p>
        </w:tc>
      </w:tr>
      <w:tr>
        <w:tc>
          <w:tcPr/>
          <w:p>
            <w:pPr>
              <w:pStyle w:val="Compact"/>
            </w:pPr>
            <w:r>
              <w:rPr>
                <w:sz w:val="17"/>
              </w:rPr>
              <w:t xml:space="preserve">Conception, développement et évolutions de tous les modules</w:t>
            </w:r>
          </w:p>
        </w:tc>
        <w:tc>
          <w:tcPr/>
          <w:p>
            <w:pPr>
              <w:pStyle w:val="Compact"/>
            </w:pPr>
            <w:r>
              <w:rPr>
                <w:sz w:val="17"/>
              </w:rPr>
              <w:t xml:space="preserve">Terminaux Android, imprimantes portables, TPE</w:t>
            </w:r>
          </w:p>
        </w:tc>
      </w:tr>
      <w:tr>
        <w:tc>
          <w:tcPr>
            <w:shd w:val="clear" w:color="auto" w:fill="F5F7FB"/>
          </w:tcPr>
          <w:p>
            <w:pPr>
              <w:pStyle w:val="Compact"/>
            </w:pPr>
            <w:r>
              <w:rPr>
                <w:sz w:val="17"/>
              </w:rPr>
              <w:t xml:space="preserve">Applications citoyenne et terrain (logiciel), portail, tableaux de bord</w:t>
            </w:r>
          </w:p>
        </w:tc>
        <w:tc>
          <w:tcPr>
            <w:shd w:val="clear" w:color="auto" w:fill="F5F7FB"/>
          </w:tcPr>
          <w:p>
            <w:pPr>
              <w:pStyle w:val="Compact"/>
            </w:pPr>
            <w:r>
              <w:rPr>
                <w:sz w:val="17"/>
              </w:rPr>
              <w:t xml:space="preserve">Guichets (locaux, mobilier, électricité, connexion)</w:t>
            </w:r>
          </w:p>
        </w:tc>
      </w:tr>
      <w:tr>
        <w:tc>
          <w:tcPr/>
          <w:p>
            <w:pPr>
              <w:pStyle w:val="Compact"/>
            </w:pPr>
            <w:r>
              <w:rPr>
                <w:sz w:val="17"/>
              </w:rPr>
              <w:t xml:space="preserve">Logiciels USSD, SVI, SMS et intégration des opérateurs</w:t>
            </w:r>
          </w:p>
        </w:tc>
        <w:tc>
          <w:tcPr/>
          <w:p>
            <w:pPr>
              <w:pStyle w:val="Compact"/>
            </w:pPr>
            <w:r>
              <w:rPr>
                <w:sz w:val="17"/>
              </w:rPr>
              <w:t xml:space="preserve">Plaques et autocollants QR, badges, cartes physiques, avis imprimés</w:t>
            </w:r>
          </w:p>
        </w:tc>
      </w:tr>
      <w:tr>
        <w:tc>
          <w:tcPr>
            <w:shd w:val="clear" w:color="auto" w:fill="F5F7FB"/>
          </w:tcPr>
          <w:p>
            <w:pPr>
              <w:pStyle w:val="Compact"/>
            </w:pPr>
            <w:r>
              <w:rPr>
                <w:sz w:val="17"/>
              </w:rPr>
              <w:t xml:space="preserve">Hébergement, infrastructure, sauvegardes, reprise après sinistre</w:t>
            </w:r>
          </w:p>
        </w:tc>
        <w:tc>
          <w:tcPr>
            <w:shd w:val="clear" w:color="auto" w:fill="F5F7FB"/>
          </w:tcPr>
          <w:p>
            <w:pPr>
              <w:pStyle w:val="Compact"/>
            </w:pPr>
            <w:r>
              <w:rPr>
                <w:sz w:val="17"/>
              </w:rPr>
              <w:t xml:space="preserve">Rémunération et déplacements des agents</w:t>
            </w:r>
          </w:p>
        </w:tc>
      </w:tr>
      <w:tr>
        <w:tc>
          <w:tcPr/>
          <w:p>
            <w:pPr>
              <w:pStyle w:val="Compact"/>
            </w:pPr>
            <w:r>
              <w:rPr>
                <w:sz w:val="17"/>
              </w:rPr>
              <w:t xml:space="preserve">Cybersécurité (logiciels, supervision, tests d’intrusion, audits)</w:t>
            </w:r>
          </w:p>
        </w:tc>
        <w:tc>
          <w:tcPr/>
          <w:p>
            <w:pPr>
              <w:pStyle w:val="Compact"/>
            </w:pPr>
            <w:r>
              <w:rPr>
                <w:sz w:val="17"/>
              </w:rPr>
              <w:t xml:space="preserve">Véhicules, locaux, campagnes physiques</w:t>
            </w:r>
          </w:p>
        </w:tc>
      </w:tr>
      <w:tr>
        <w:tc>
          <w:tcPr>
            <w:shd w:val="clear" w:color="auto" w:fill="F5F7FB"/>
          </w:tcPr>
          <w:p>
            <w:pPr>
              <w:pStyle w:val="Compact"/>
            </w:pPr>
            <w:r>
              <w:rPr>
                <w:sz w:val="17"/>
              </w:rPr>
              <w:t xml:space="preserve">Moteurs (règles, liquidation, paiements, rapprochement, grand livre, titres, IA)</w:t>
            </w:r>
          </w:p>
        </w:tc>
        <w:tc>
          <w:tcPr>
            <w:shd w:val="clear" w:color="auto" w:fill="F5F7FB"/>
          </w:tcPr>
          <w:p>
            <w:pPr>
              <w:pStyle w:val="Compact"/>
            </w:pPr>
            <w:r>
              <w:rPr>
                <w:sz w:val="17"/>
              </w:rPr>
              <w:t xml:space="preserve">Frais de communication à l’usage (SMS, SVI, USSD) sauf convention</w:t>
            </w:r>
          </w:p>
        </w:tc>
      </w:tr>
      <w:tr>
        <w:tc>
          <w:tcPr/>
          <w:p>
            <w:pPr>
              <w:pStyle w:val="Compact"/>
            </w:pPr>
            <w:r>
              <w:rPr>
                <w:sz w:val="17"/>
              </w:rPr>
              <w:t xml:space="preserve">Intégrations (banques, monnaie mobile, partenaires) ; maintenance, support, documentation, contenus de formation numériques</w:t>
            </w:r>
          </w:p>
        </w:tc>
        <w:tc>
          <w:tcPr/>
          <w:p>
            <w:pPr>
              <w:pStyle w:val="Compact"/>
            </w:pPr>
            <w:r>
              <w:rPr>
                <w:sz w:val="17"/>
              </w:rPr>
              <w:t xml:space="preserve">—</w:t>
            </w:r>
          </w:p>
        </w:tc>
      </w:tr>
    </w:tbl>
    <w:p>
      <w:pPr>
        <w:pStyle w:val="Compact"/>
        <w:numPr>
          <w:ilvl w:val="0"/>
          <w:numId w:val="1034"/>
        </w:numPr>
      </w:pPr>
      <w:r>
        <w:rPr>
          <w:b/>
          <w:bCs/>
        </w:rPr>
        <w:t xml:space="preserve">Cette partition sert de structure aux lots de passation et aux postes de coût</w:t>
      </w:r>
      <w:r>
        <w:t xml:space="preserve"> </w:t>
      </w:r>
      <w:r>
        <w:t xml:space="preserve">(§ 37.4) : le périmètre logiciel relève des forfaits de réalisation et d’exploitation (§ 37.3) ; le périmètre physique relève de marchés distincts ou de conventions (opérateurs, banques, partenaires techniques et financiers).</w:t>
      </w:r>
    </w:p>
    <w:p>
      <w:pPr>
        <w:pStyle w:val="Compact"/>
        <w:numPr>
          <w:ilvl w:val="0"/>
          <w:numId w:val="1034"/>
        </w:numPr>
      </w:pPr>
      <w:r>
        <w:rPr>
          <w:b/>
          <w:bCs/>
        </w:rPr>
        <w:t xml:space="preserve">Sans financement arrêté des moyens physiques avant le pilote, l’enrôlement inclusif (§ H.7), la sous-traitance terrain (§ H.8) et le paiement assisté (§ H.10) ne peuvent pas être déployés</w:t>
      </w:r>
      <w:r>
        <w:t xml:space="preserve"> </w:t>
      </w:r>
      <w:r>
        <w:t xml:space="preserve">— d’où la décision n° 10 (ch. 47) et le risque R18.</w:t>
      </w:r>
    </w:p>
    <w:bookmarkEnd w:id="521"/>
    <w:bookmarkStart w:id="522" w:name="X725e7002cf13d79de7a2d17fec723dc92f2f854"/>
    <w:p>
      <w:pPr>
        <w:pStyle w:val="Heading3"/>
      </w:pPr>
      <w:r>
        <w:t xml:space="preserve">H.18.2 Clauses contractuelles complémentaires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Partenaire</w:t>
            </w:r>
          </w:p>
        </w:tc>
        <w:tc>
          <w:tcPr>
            <w:shd w:val="clear" w:color="auto" w:fill="232C6B"/>
          </w:tcPr>
          <w:p>
            <w:pPr>
              <w:pStyle w:val="Compact"/>
            </w:pPr>
            <w:r>
              <w:rPr>
                <w:b/>
                <w:color w:val="FFFFFF"/>
                <w:sz w:val="17"/>
              </w:rPr>
              <w:t xml:space="preserve">Clauses obligatoires</w:t>
            </w:r>
          </w:p>
        </w:tc>
      </w:tr>
      <w:tr>
        <w:tc>
          <w:tcPr/>
          <w:p>
            <w:pPr>
              <w:pStyle w:val="Compact"/>
            </w:pPr>
            <w:r>
              <w:rPr>
                <w:sz w:val="17"/>
              </w:rPr>
              <w:t xml:space="preserve">Sous-traitants terrain</w:t>
            </w:r>
          </w:p>
        </w:tc>
        <w:tc>
          <w:tcPr/>
          <w:p>
            <w:pPr>
              <w:pStyle w:val="Compact"/>
            </w:pPr>
            <w:r>
              <w:rPr>
                <w:sz w:val="17"/>
              </w:rPr>
              <w:t xml:space="preserve">Accréditation par module et par durée ; paiement sur livrables vérifiés ;</w:t>
            </w:r>
            <w:r>
              <w:rPr>
                <w:sz w:val="17"/>
              </w:rPr>
              <w:t xml:space="preserve"> </w:t>
            </w:r>
            <w:r>
              <w:rPr>
                <w:b/>
                <w:bCs/>
                <w:sz w:val="17"/>
              </w:rPr>
              <w:t xml:space="preserve">interdiction d’encaisser</w:t>
            </w:r>
            <w:r>
              <w:rPr>
                <w:sz w:val="17"/>
              </w:rPr>
              <w:t xml:space="preserve"> </w:t>
            </w:r>
            <w:r>
              <w:rPr>
                <w:sz w:val="17"/>
              </w:rPr>
              <w:t xml:space="preserve">; clauses de sous-traitant de données ; récupération des sommes indûment versées ; audit sur place ;</w:t>
            </w:r>
            <w:r>
              <w:rPr>
                <w:sz w:val="17"/>
              </w:rPr>
              <w:t xml:space="preserve"> </w:t>
            </w:r>
            <w:r>
              <w:rPr>
                <w:b/>
                <w:bCs/>
                <w:sz w:val="17"/>
              </w:rPr>
              <w:t xml:space="preserve">résiliation immédiate en cas de fraude</w:t>
            </w:r>
          </w:p>
        </w:tc>
      </w:tr>
      <w:tr>
        <w:tc>
          <w:tcPr>
            <w:shd w:val="clear" w:color="auto" w:fill="F5F7FB"/>
          </w:tcPr>
          <w:p>
            <w:pPr>
              <w:pStyle w:val="Compact"/>
            </w:pPr>
            <w:r>
              <w:rPr>
                <w:sz w:val="17"/>
              </w:rPr>
              <w:t xml:space="preserve">Points de paiement</w:t>
            </w:r>
          </w:p>
        </w:tc>
        <w:tc>
          <w:tcPr>
            <w:shd w:val="clear" w:color="auto" w:fill="F5F7FB"/>
          </w:tcPr>
          <w:p>
            <w:pPr>
              <w:pStyle w:val="Compact"/>
            </w:pPr>
            <w:r>
              <w:rPr>
                <w:sz w:val="17"/>
              </w:rPr>
              <w:t xml:space="preserve">Agrément et référencement ; commission contractuelle distincte,</w:t>
            </w:r>
            <w:r>
              <w:rPr>
                <w:sz w:val="17"/>
              </w:rPr>
              <w:t xml:space="preserve"> </w:t>
            </w:r>
            <w:r>
              <w:rPr>
                <w:b/>
                <w:bCs/>
                <w:sz w:val="17"/>
              </w:rPr>
              <w:t xml:space="preserve">jamais prélevée sur le montant dû sans base légale</w:t>
            </w:r>
            <w:r>
              <w:rPr>
                <w:sz w:val="17"/>
              </w:rPr>
              <w:t xml:space="preserve"> </w:t>
            </w:r>
            <w:r>
              <w:rPr>
                <w:sz w:val="17"/>
              </w:rPr>
              <w:t xml:space="preserve">; délai maximal de règlement ; pénalités de retard ;</w:t>
            </w:r>
            <w:r>
              <w:rPr>
                <w:sz w:val="17"/>
              </w:rPr>
              <w:t xml:space="preserve"> </w:t>
            </w:r>
            <w:r>
              <w:rPr>
                <w:b/>
                <w:bCs/>
                <w:sz w:val="17"/>
              </w:rPr>
              <w:t xml:space="preserve">suspension du point décidée par le Trésor</w:t>
            </w:r>
            <w:r>
              <w:rPr>
                <w:sz w:val="17"/>
              </w:rPr>
              <w:t xml:space="preserve"> </w:t>
            </w:r>
            <w:r>
              <w:rPr>
                <w:sz w:val="17"/>
              </w:rPr>
              <w:t xml:space="preserve">sur alerte d’écart non justifié (proposition automatique, décision humaine rapide — ARB-12)</w:t>
            </w:r>
          </w:p>
        </w:tc>
      </w:tr>
      <w:tr>
        <w:tc>
          <w:tcPr/>
          <w:p>
            <w:pPr>
              <w:pStyle w:val="Compact"/>
            </w:pPr>
            <w:r>
              <w:rPr>
                <w:sz w:val="17"/>
              </w:rPr>
              <w:t xml:space="preserve">Opérateurs délégués et opérateurs de billetterie</w:t>
            </w:r>
          </w:p>
        </w:tc>
        <w:tc>
          <w:tcPr/>
          <w:p>
            <w:pPr>
              <w:pStyle w:val="Compact"/>
            </w:pPr>
            <w:r>
              <w:rPr>
                <w:sz w:val="17"/>
              </w:rPr>
              <w:t xml:space="preserve">Émission des titres exclusivement via MOSOLO ; encaissement uniquement par points agréés ; séparation comptable des ventes privées (§ H.27.16)</w:t>
            </w:r>
          </w:p>
        </w:tc>
      </w:tr>
      <w:tr>
        <w:tc>
          <w:tcPr>
            <w:shd w:val="clear" w:color="auto" w:fill="F5F7FB"/>
          </w:tcPr>
          <w:p>
            <w:pPr>
              <w:pStyle w:val="Compact"/>
            </w:pPr>
            <w:r>
              <w:rPr>
                <w:sz w:val="17"/>
              </w:rPr>
              <w:t xml:space="preserve">Tous</w:t>
            </w:r>
          </w:p>
        </w:tc>
        <w:tc>
          <w:tcPr>
            <w:shd w:val="clear" w:color="auto" w:fill="F5F7FB"/>
          </w:tcPr>
          <w:p>
            <w:pPr>
              <w:pStyle w:val="Compact"/>
            </w:pPr>
            <w:r>
              <w:rPr>
                <w:sz w:val="17"/>
              </w:rPr>
              <w:t xml:space="preserve">Aucun droit du fournisseur sur les comptes publics ni sur les fonds en transit ; prix séparés (construction, licences, hébergement, support, appareils, SMS, paiements, évolutions) ; transfert de compétences, documentation et code à chaque version ; tests d’acceptation, pénalités de service, audit de sécurité, réversibilité</w:t>
            </w:r>
          </w:p>
        </w:tc>
      </w:tr>
    </w:tbl>
    <w:bookmarkEnd w:id="522"/>
    <w:bookmarkStart w:id="523" w:name="X891cdf04aa7f550a754a2c1caa124bff3c4be98"/>
    <w:p>
      <w:pPr>
        <w:pStyle w:val="Heading3"/>
      </w:pPr>
      <w:r>
        <w:t xml:space="preserve">H.18.3 Exemple financier du Cahier (reproduit à titre d’illustration)</w:t>
      </w:r>
    </w:p>
    <w:p>
      <w:pPr>
        <w:pStyle w:val="FirstParagraph"/>
      </w:pPr>
      <w:r>
        <w:t xml:space="preserve">[EXEMPLE — hypothèses de travail du Cahier,</w:t>
      </w:r>
      <w:r>
        <w:t xml:space="preserve"> </w:t>
      </w:r>
      <w:r>
        <w:rPr>
          <w:b/>
          <w:bCs/>
        </w:rPr>
        <w:t xml:space="preserve">non opposables</w:t>
      </w:r>
      <w:r>
        <w:t xml:space="preserve"> </w:t>
      </w:r>
      <w:r>
        <w:t xml:space="preserve">; l’exemple de référence est celui du § 38.3]. Le calcul source appliquait un taux IRL unique de 22 % ; la colonne « IRL corrigé » applique le taux de 17 % hors 1er rang (§ 6.4) pour montrer la sensibilité au taux.</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320"/>
        <w:gridCol w:w="1320"/>
        <w:gridCol w:w="1320"/>
        <w:gridCol w:w="1320"/>
        <w:gridCol w:w="1320"/>
        <w:gridCol w:w="1320"/>
      </w:tblGrid>
      <w:tr>
        <w:trPr>
          <w:tblHeader w:val="on"/>
        </w:trPr>
        <w:tc>
          <w:tcPr>
            <w:shd w:val="clear" w:color="auto" w:fill="232C6B"/>
          </w:tcPr>
          <w:p>
            <w:pPr>
              <w:pStyle w:val="Compact"/>
            </w:pPr>
            <w:r>
              <w:rPr>
                <w:b/>
                <w:color w:val="FFFFFF"/>
                <w:sz w:val="17"/>
              </w:rPr>
              <w:t xml:space="preserve">Recette</w:t>
            </w:r>
          </w:p>
        </w:tc>
        <w:tc>
          <w:tcPr>
            <w:shd w:val="clear" w:color="auto" w:fill="232C6B"/>
          </w:tcPr>
          <w:p>
            <w:pPr>
              <w:pStyle w:val="Compact"/>
            </w:pPr>
            <w:r>
              <w:rPr>
                <w:b/>
                <w:color w:val="FFFFFF"/>
                <w:sz w:val="17"/>
              </w:rPr>
              <w:t xml:space="preserve">Objets</w:t>
            </w:r>
          </w:p>
        </w:tc>
        <w:tc>
          <w:tcPr>
            <w:shd w:val="clear" w:color="auto" w:fill="232C6B"/>
          </w:tcPr>
          <w:p>
            <w:pPr>
              <w:pStyle w:val="Compact"/>
            </w:pPr>
            <w:r>
              <w:rPr>
                <w:b/>
                <w:color w:val="FFFFFF"/>
                <w:sz w:val="17"/>
              </w:rPr>
              <w:t xml:space="preserve">Montant moyen dû</w:t>
            </w:r>
          </w:p>
        </w:tc>
        <w:tc>
          <w:tcPr>
            <w:shd w:val="clear" w:color="auto" w:fill="232C6B"/>
          </w:tcPr>
          <w:p>
            <w:pPr>
              <w:pStyle w:val="Compact"/>
            </w:pPr>
            <w:r>
              <w:rPr>
                <w:b/>
                <w:color w:val="FFFFFF"/>
                <w:sz w:val="17"/>
              </w:rPr>
              <w:t xml:space="preserve">Conformité actuelle → cible</w:t>
            </w:r>
          </w:p>
        </w:tc>
        <w:tc>
          <w:tcPr>
            <w:shd w:val="clear" w:color="auto" w:fill="232C6B"/>
          </w:tcPr>
          <w:p>
            <w:pPr>
              <w:pStyle w:val="Compact"/>
            </w:pPr>
            <w:r>
              <w:rPr>
                <w:b/>
                <w:color w:val="FFFFFF"/>
                <w:sz w:val="17"/>
              </w:rPr>
              <w:t xml:space="preserve">Recette additionnelle source</w:t>
            </w:r>
          </w:p>
        </w:tc>
        <w:tc>
          <w:tcPr>
            <w:shd w:val="clear" w:color="auto" w:fill="232C6B"/>
          </w:tcPr>
          <w:p>
            <w:pPr>
              <w:pStyle w:val="Compact"/>
            </w:pPr>
            <w:r>
              <w:rPr>
                <w:b/>
                <w:color w:val="FFFFFF"/>
                <w:sz w:val="17"/>
              </w:rPr>
              <w:t xml:space="preserve">Remarque</w:t>
            </w:r>
          </w:p>
        </w:tc>
      </w:tr>
      <w:tr>
        <w:tc>
          <w:tcPr/>
          <w:p>
            <w:pPr>
              <w:pStyle w:val="Compact"/>
            </w:pPr>
            <w:r>
              <w:rPr>
                <w:sz w:val="17"/>
              </w:rPr>
              <w:t xml:space="preserve">IRL</w:t>
            </w:r>
          </w:p>
        </w:tc>
        <w:tc>
          <w:tcPr/>
          <w:p>
            <w:pPr>
              <w:pStyle w:val="Compact"/>
            </w:pPr>
            <w:r>
              <w:rPr>
                <w:sz w:val="17"/>
              </w:rPr>
              <w:t xml:space="preserve">2 000 000 unités</w:t>
            </w:r>
          </w:p>
        </w:tc>
        <w:tc>
          <w:tcPr/>
          <w:p>
            <w:pPr>
              <w:pStyle w:val="Compact"/>
            </w:pPr>
            <w:r>
              <w:rPr>
                <w:sz w:val="17"/>
              </w:rPr>
              <w:t xml:space="preserve">158 USD (22 % de 60 USD × 12)</w:t>
            </w:r>
          </w:p>
        </w:tc>
        <w:tc>
          <w:tcPr/>
          <w:p>
            <w:pPr>
              <w:pStyle w:val="Compact"/>
            </w:pPr>
            <w:r>
              <w:rPr>
                <w:sz w:val="17"/>
              </w:rPr>
              <w:t xml:space="preserve">8 % → 35 %</w:t>
            </w:r>
          </w:p>
        </w:tc>
        <w:tc>
          <w:tcPr/>
          <w:p>
            <w:pPr>
              <w:pStyle w:val="Compact"/>
            </w:pPr>
            <w:r>
              <w:rPr>
                <w:sz w:val="17"/>
              </w:rPr>
              <w:t xml:space="preserve">≈ 85 M USD</w:t>
            </w:r>
          </w:p>
        </w:tc>
        <w:tc>
          <w:tcPr/>
          <w:p>
            <w:pPr>
              <w:pStyle w:val="Compact"/>
            </w:pPr>
            <w:r>
              <w:rPr>
                <w:sz w:val="17"/>
              </w:rPr>
              <w:t xml:space="preserve">À 17 % : ≈ 122 USD dû, ≈ 66 M USD</w:t>
            </w:r>
          </w:p>
        </w:tc>
      </w:tr>
      <w:tr>
        <w:tc>
          <w:tcPr>
            <w:shd w:val="clear" w:color="auto" w:fill="F5F7FB"/>
          </w:tcPr>
          <w:p>
            <w:pPr>
              <w:pStyle w:val="Compact"/>
            </w:pPr>
            <w:r>
              <w:rPr>
                <w:sz w:val="17"/>
              </w:rPr>
              <w:t xml:space="preserve">Impôt foncier</w:t>
            </w:r>
          </w:p>
        </w:tc>
        <w:tc>
          <w:tcPr>
            <w:shd w:val="clear" w:color="auto" w:fill="F5F7FB"/>
          </w:tcPr>
          <w:p>
            <w:pPr>
              <w:pStyle w:val="Compact"/>
            </w:pPr>
            <w:r>
              <w:rPr>
                <w:sz w:val="17"/>
              </w:rPr>
              <w:t xml:space="preserve">1 200 000 parcelles</w:t>
            </w:r>
          </w:p>
        </w:tc>
        <w:tc>
          <w:tcPr>
            <w:shd w:val="clear" w:color="auto" w:fill="F5F7FB"/>
          </w:tcPr>
          <w:p>
            <w:pPr>
              <w:pStyle w:val="Compact"/>
            </w:pPr>
            <w:r>
              <w:rPr>
                <w:sz w:val="17"/>
              </w:rPr>
              <w:t xml:space="preserve">40 USD</w:t>
            </w:r>
          </w:p>
        </w:tc>
        <w:tc>
          <w:tcPr>
            <w:shd w:val="clear" w:color="auto" w:fill="F5F7FB"/>
          </w:tcPr>
          <w:p>
            <w:pPr>
              <w:pStyle w:val="Compact"/>
            </w:pPr>
            <w:r>
              <w:rPr>
                <w:sz w:val="17"/>
              </w:rPr>
              <w:t xml:space="preserve">15 % → 50 %</w:t>
            </w:r>
          </w:p>
        </w:tc>
        <w:tc>
          <w:tcPr>
            <w:shd w:val="clear" w:color="auto" w:fill="F5F7FB"/>
          </w:tcPr>
          <w:p>
            <w:pPr>
              <w:pStyle w:val="Compact"/>
            </w:pPr>
            <w:r>
              <w:rPr>
                <w:sz w:val="17"/>
              </w:rPr>
              <w:t xml:space="preserve">≈ 17 M USD</w:t>
            </w:r>
          </w:p>
        </w:tc>
        <w:tc>
          <w:tcPr>
            <w:shd w:val="clear" w:color="auto" w:fill="F5F7FB"/>
          </w:tcPr>
          <w:p>
            <w:pPr>
              <w:pStyle w:val="Compact"/>
            </w:pPr>
            <w:r>
              <w:rPr>
                <w:sz w:val="17"/>
              </w:rPr>
              <w:t xml:space="preserve">Barèmes 2026 [À VÉRIFIER]</w:t>
            </w:r>
          </w:p>
        </w:tc>
      </w:tr>
      <w:tr>
        <w:tc>
          <w:tcPr/>
          <w:p>
            <w:pPr>
              <w:pStyle w:val="Compact"/>
            </w:pPr>
            <w:r>
              <w:rPr>
                <w:sz w:val="17"/>
              </w:rPr>
              <w:t xml:space="preserve">Véhicules</w:t>
            </w:r>
          </w:p>
        </w:tc>
        <w:tc>
          <w:tcPr/>
          <w:p>
            <w:pPr>
              <w:pStyle w:val="Compact"/>
            </w:pPr>
            <w:r>
              <w:rPr>
                <w:sz w:val="17"/>
              </w:rPr>
              <w:t xml:space="preserve">600 000</w:t>
            </w:r>
          </w:p>
        </w:tc>
        <w:tc>
          <w:tcPr/>
          <w:p>
            <w:pPr>
              <w:pStyle w:val="Compact"/>
            </w:pPr>
            <w:r>
              <w:rPr>
                <w:sz w:val="17"/>
              </w:rPr>
              <w:t xml:space="preserve">60 USD</w:t>
            </w:r>
          </w:p>
        </w:tc>
        <w:tc>
          <w:tcPr/>
          <w:p>
            <w:pPr>
              <w:pStyle w:val="Compact"/>
            </w:pPr>
            <w:r>
              <w:rPr>
                <w:sz w:val="17"/>
              </w:rPr>
              <w:t xml:space="preserve">35 % → 70 %</w:t>
            </w:r>
          </w:p>
        </w:tc>
        <w:tc>
          <w:tcPr/>
          <w:p>
            <w:pPr>
              <w:pStyle w:val="Compact"/>
            </w:pPr>
            <w:r>
              <w:rPr>
                <w:sz w:val="17"/>
              </w:rPr>
              <w:t xml:space="preserve">≈ 13 M USD</w:t>
            </w:r>
          </w:p>
        </w:tc>
        <w:tc>
          <w:tcPr/>
          <w:p>
            <w:pPr>
              <w:pStyle w:val="Compact"/>
            </w:pPr>
            <w:r>
              <w:rPr>
                <w:sz w:val="17"/>
              </w:rPr>
              <w:t xml:space="preserve">Barèmes non retrouvés</w:t>
            </w:r>
          </w:p>
        </w:tc>
      </w:tr>
      <w:tr>
        <w:tc>
          <w:tcPr>
            <w:shd w:val="clear" w:color="auto" w:fill="F5F7FB"/>
          </w:tcPr>
          <w:p>
            <w:pPr>
              <w:pStyle w:val="Compact"/>
            </w:pPr>
            <w:r>
              <w:rPr>
                <w:sz w:val="17"/>
              </w:rPr>
              <w:t xml:space="preserve">Patente, débits de boissons</w:t>
            </w:r>
          </w:p>
        </w:tc>
        <w:tc>
          <w:tcPr>
            <w:shd w:val="clear" w:color="auto" w:fill="F5F7FB"/>
          </w:tcPr>
          <w:p>
            <w:pPr>
              <w:pStyle w:val="Compact"/>
            </w:pPr>
            <w:r>
              <w:rPr>
                <w:sz w:val="17"/>
              </w:rPr>
              <w:t xml:space="preserve">400 000</w:t>
            </w:r>
          </w:p>
        </w:tc>
        <w:tc>
          <w:tcPr>
            <w:shd w:val="clear" w:color="auto" w:fill="F5F7FB"/>
          </w:tcPr>
          <w:p>
            <w:pPr>
              <w:pStyle w:val="Compact"/>
            </w:pPr>
            <w:r>
              <w:rPr>
                <w:sz w:val="17"/>
              </w:rPr>
              <w:t xml:space="preserve">50 USD</w:t>
            </w:r>
          </w:p>
        </w:tc>
        <w:tc>
          <w:tcPr>
            <w:shd w:val="clear" w:color="auto" w:fill="F5F7FB"/>
          </w:tcPr>
          <w:p>
            <w:pPr>
              <w:pStyle w:val="Compact"/>
            </w:pPr>
            <w:r>
              <w:rPr>
                <w:sz w:val="17"/>
              </w:rPr>
              <w:t xml:space="preserve">10 % → 40 %</w:t>
            </w:r>
          </w:p>
        </w:tc>
        <w:tc>
          <w:tcPr>
            <w:shd w:val="clear" w:color="auto" w:fill="F5F7FB"/>
          </w:tcPr>
          <w:p>
            <w:pPr>
              <w:pStyle w:val="Compact"/>
            </w:pPr>
            <w:r>
              <w:rPr>
                <w:sz w:val="17"/>
              </w:rPr>
              <w:t xml:space="preserve">≈ 6 M USD</w:t>
            </w:r>
          </w:p>
        </w:tc>
        <w:tc>
          <w:tcPr>
            <w:shd w:val="clear" w:color="auto" w:fill="F5F7FB"/>
          </w:tcPr>
          <w:p>
            <w:pPr>
              <w:pStyle w:val="Compact"/>
            </w:pPr>
            <w:r>
              <w:rPr>
                <w:sz w:val="17"/>
              </w:rPr>
              <w:t xml:space="preserve">Seuils d’assujettissement</w:t>
            </w:r>
          </w:p>
        </w:tc>
      </w:tr>
      <w:tr>
        <w:tc>
          <w:tcPr/>
          <w:p>
            <w:pPr>
              <w:pStyle w:val="Compact"/>
            </w:pPr>
            <w:r>
              <w:rPr>
                <w:sz w:val="17"/>
              </w:rPr>
              <w:t xml:space="preserve">Publicité, antennes</w:t>
            </w:r>
          </w:p>
        </w:tc>
        <w:tc>
          <w:tcPr/>
          <w:p>
            <w:pPr>
              <w:pStyle w:val="Compact"/>
            </w:pPr>
            <w:r>
              <w:rPr>
                <w:sz w:val="17"/>
              </w:rPr>
              <w:t xml:space="preserve">15 000</w:t>
            </w:r>
          </w:p>
        </w:tc>
        <w:tc>
          <w:tcPr/>
          <w:p>
            <w:pPr>
              <w:pStyle w:val="Compact"/>
            </w:pPr>
            <w:r>
              <w:rPr>
                <w:sz w:val="17"/>
              </w:rPr>
              <w:t xml:space="preserve">900 USD</w:t>
            </w:r>
          </w:p>
        </w:tc>
        <w:tc>
          <w:tcPr/>
          <w:p>
            <w:pPr>
              <w:pStyle w:val="Compact"/>
            </w:pPr>
            <w:r>
              <w:rPr>
                <w:sz w:val="17"/>
              </w:rPr>
              <w:t xml:space="preserve">30 % → 80 %</w:t>
            </w:r>
          </w:p>
        </w:tc>
        <w:tc>
          <w:tcPr/>
          <w:p>
            <w:pPr>
              <w:pStyle w:val="Compact"/>
            </w:pPr>
            <w:r>
              <w:rPr>
                <w:sz w:val="17"/>
              </w:rPr>
              <w:t xml:space="preserve">≈ 7 M USD</w:t>
            </w:r>
          </w:p>
        </w:tc>
        <w:tc>
          <w:tcPr/>
          <w:p>
            <w:pPr>
              <w:pStyle w:val="Compact"/>
            </w:pPr>
            <w:r>
              <w:rPr>
                <w:sz w:val="17"/>
              </w:rPr>
              <w:t xml:space="preserve">Contentieux possibles</w:t>
            </w:r>
          </w:p>
        </w:tc>
      </w:tr>
    </w:tbl>
    <w:p>
      <w:pPr>
        <w:pStyle w:val="BodyText"/>
      </w:pPr>
      <w:r>
        <w:t xml:space="preserve">Sensibilité obligatoire de tout scénario sur trois variables : taux de conformité,</w:t>
      </w:r>
      <w:r>
        <w:t xml:space="preserve"> </w:t>
      </w:r>
      <w:r>
        <w:rPr>
          <w:b/>
          <w:bCs/>
        </w:rPr>
        <w:t xml:space="preserve">taux de change</w:t>
      </w:r>
      <w:r>
        <w:t xml:space="preserve">, délai d’obtention des protocoles de données (§ 38.3). Correspondance des noms de scénarios : prudent =</w:t>
      </w:r>
      <w:r>
        <w:t xml:space="preserve"> </w:t>
      </w:r>
      <w:r>
        <w:rPr>
          <w:b/>
          <w:bCs/>
        </w:rPr>
        <w:t xml:space="preserve">conservateur</w:t>
      </w:r>
      <w:r>
        <w:t xml:space="preserve"> </w:t>
      </w:r>
      <w:r>
        <w:t xml:space="preserve">; attendu = attendu ; transformationnel =</w:t>
      </w:r>
      <w:r>
        <w:t xml:space="preserve"> </w:t>
      </w:r>
      <w:r>
        <w:rPr>
          <w:b/>
          <w:bCs/>
        </w:rPr>
        <w:t xml:space="preserve">ambitieux</w:t>
      </w:r>
      <w:r>
        <w:t xml:space="preserve"> </w:t>
      </w:r>
      <w:r>
        <w:t xml:space="preserve">(ARB-75).</w:t>
      </w:r>
    </w:p>
    <w:bookmarkEnd w:id="523"/>
    <w:bookmarkEnd w:id="524"/>
    <w:bookmarkStart w:id="525" w:name="Xab156df2d26b7aef983a9190ab7490c048914f7"/>
    <w:p>
      <w:pPr>
        <w:pStyle w:val="Heading2"/>
      </w:pPr>
      <w:r>
        <w:t xml:space="preserve">H.19 Chapitre 39 — Indicateurs complémentaires</w:t>
      </w:r>
    </w:p>
    <w:p>
      <w:pPr>
        <w:pStyle w:val="FirstParagraph"/>
      </w:pPr>
      <w:r>
        <w:t xml:space="preserve">Les indicateurs ci-dessous complètent le tableau du § 39 ; leurs cibles sont fixées après mesure de la base de référence, sauf mention.</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Domaine</w:t>
            </w:r>
          </w:p>
        </w:tc>
        <w:tc>
          <w:tcPr>
            <w:shd w:val="clear" w:color="auto" w:fill="232C6B"/>
          </w:tcPr>
          <w:p>
            <w:pPr>
              <w:pStyle w:val="Compact"/>
            </w:pPr>
            <w:r>
              <w:rPr>
                <w:b/>
                <w:color w:val="FFFFFF"/>
                <w:sz w:val="17"/>
              </w:rPr>
              <w:t xml:space="preserve">Indicateur</w:t>
            </w:r>
          </w:p>
        </w:tc>
        <w:tc>
          <w:tcPr>
            <w:shd w:val="clear" w:color="auto" w:fill="232C6B"/>
          </w:tcPr>
          <w:p>
            <w:pPr>
              <w:pStyle w:val="Compact"/>
            </w:pPr>
            <w:r>
              <w:rPr>
                <w:b/>
                <w:color w:val="FFFFFF"/>
                <w:sz w:val="17"/>
              </w:rPr>
              <w:t xml:space="preserve">Formule</w:t>
            </w:r>
          </w:p>
        </w:tc>
        <w:tc>
          <w:tcPr>
            <w:shd w:val="clear" w:color="auto" w:fill="232C6B"/>
          </w:tcPr>
          <w:p>
            <w:pPr>
              <w:pStyle w:val="Compact"/>
            </w:pPr>
            <w:r>
              <w:rPr>
                <w:b/>
                <w:color w:val="FFFFFF"/>
                <w:sz w:val="17"/>
              </w:rPr>
              <w:t xml:space="preserve">Cible</w:t>
            </w:r>
          </w:p>
        </w:tc>
      </w:tr>
      <w:tr>
        <w:tc>
          <w:tcPr/>
          <w:p>
            <w:pPr>
              <w:pStyle w:val="Compact"/>
            </w:pPr>
            <w:r>
              <w:rPr>
                <w:sz w:val="17"/>
              </w:rPr>
              <w:t xml:space="preserve">Recouvrement</w:t>
            </w:r>
          </w:p>
        </w:tc>
        <w:tc>
          <w:tcPr/>
          <w:p>
            <w:pPr>
              <w:pStyle w:val="Compact"/>
            </w:pPr>
            <w:r>
              <w:rPr>
                <w:sz w:val="17"/>
              </w:rPr>
              <w:t xml:space="preserve">Régularisation après notification</w:t>
            </w:r>
          </w:p>
        </w:tc>
        <w:tc>
          <w:tcPr/>
          <w:p>
            <w:pPr>
              <w:pStyle w:val="Compact"/>
            </w:pPr>
            <w:r>
              <w:rPr>
                <w:sz w:val="17"/>
              </w:rPr>
              <w:t xml:space="preserve">Obligations régularisées / notifiées (période)</w:t>
            </w:r>
          </w:p>
        </w:tc>
        <w:tc>
          <w:tcPr/>
          <w:p>
            <w:pPr>
              <w:pStyle w:val="Compact"/>
            </w:pPr>
            <w:r>
              <w:rPr>
                <w:sz w:val="17"/>
              </w:rPr>
              <w:t xml:space="preserve">&gt; 50 % (cible source, à confirmer)</w:t>
            </w:r>
          </w:p>
        </w:tc>
      </w:tr>
      <w:tr>
        <w:tc>
          <w:tcPr>
            <w:shd w:val="clear" w:color="auto" w:fill="F5F7FB"/>
          </w:tcPr>
          <w:p>
            <w:pPr>
              <w:pStyle w:val="Compact"/>
            </w:pPr>
            <w:r>
              <w:rPr>
                <w:sz w:val="17"/>
              </w:rPr>
              <w:t xml:space="preserve">Rapprochement</w:t>
            </w:r>
          </w:p>
        </w:tc>
        <w:tc>
          <w:tcPr>
            <w:shd w:val="clear" w:color="auto" w:fill="F5F7FB"/>
          </w:tcPr>
          <w:p>
            <w:pPr>
              <w:pStyle w:val="Compact"/>
            </w:pPr>
            <w:r>
              <w:rPr>
                <w:sz w:val="17"/>
              </w:rPr>
              <w:t xml:space="preserve">Écart à J+2</w:t>
            </w:r>
          </w:p>
        </w:tc>
        <w:tc>
          <w:tcPr>
            <w:shd w:val="clear" w:color="auto" w:fill="F5F7FB"/>
          </w:tcPr>
          <w:p>
            <w:pPr>
              <w:pStyle w:val="Compact"/>
            </w:pPr>
            <w:r>
              <w:rPr>
                <w:sz w:val="17"/>
              </w:rPr>
              <w:t xml:space="preserve">Paiements confirmés non appariés à J+2 / confirmés</w:t>
            </w:r>
          </w:p>
        </w:tc>
        <w:tc>
          <w:tcPr>
            <w:shd w:val="clear" w:color="auto" w:fill="F5F7FB"/>
          </w:tcPr>
          <w:p>
            <w:pPr>
              <w:pStyle w:val="Compact"/>
            </w:pPr>
            <w:r>
              <w:rPr>
                <w:sz w:val="17"/>
              </w:rPr>
              <w:t xml:space="preserve">&lt; 1 % (suivi ; cible opposable v3.0 : J+3)</w:t>
            </w:r>
          </w:p>
        </w:tc>
      </w:tr>
      <w:tr>
        <w:tc>
          <w:tcPr/>
          <w:p>
            <w:pPr>
              <w:pStyle w:val="Compact"/>
            </w:pPr>
            <w:r>
              <w:rPr>
                <w:sz w:val="17"/>
              </w:rPr>
              <w:t xml:space="preserve">Locatif</w:t>
            </w:r>
          </w:p>
        </w:tc>
        <w:tc>
          <w:tcPr/>
          <w:p>
            <w:pPr>
              <w:pStyle w:val="Compact"/>
            </w:pPr>
            <w:r>
              <w:rPr>
                <w:sz w:val="17"/>
              </w:rPr>
              <w:t xml:space="preserve">Baux enregistrés</w:t>
            </w:r>
          </w:p>
        </w:tc>
        <w:tc>
          <w:tcPr/>
          <w:p>
            <w:pPr>
              <w:pStyle w:val="Compact"/>
            </w:pPr>
            <w:r>
              <w:rPr>
                <w:sz w:val="17"/>
              </w:rPr>
              <w:t xml:space="preserve">Nombre, croissance mensuelle publiée</w:t>
            </w:r>
          </w:p>
        </w:tc>
        <w:tc>
          <w:tcPr/>
          <w:p>
            <w:pPr>
              <w:pStyle w:val="Compact"/>
            </w:pPr>
            <w:r>
              <w:rPr>
                <w:sz w:val="17"/>
              </w:rPr>
              <w:t xml:space="preserve">Croissance continue</w:t>
            </w:r>
          </w:p>
        </w:tc>
      </w:tr>
      <w:tr>
        <w:tc>
          <w:tcPr>
            <w:shd w:val="clear" w:color="auto" w:fill="F5F7FB"/>
          </w:tcPr>
          <w:p>
            <w:pPr>
              <w:pStyle w:val="Compact"/>
            </w:pPr>
            <w:r>
              <w:rPr>
                <w:sz w:val="17"/>
              </w:rPr>
              <w:t xml:space="preserve">Locatif</w:t>
            </w:r>
          </w:p>
        </w:tc>
        <w:tc>
          <w:tcPr>
            <w:shd w:val="clear" w:color="auto" w:fill="F5F7FB"/>
          </w:tcPr>
          <w:p>
            <w:pPr>
              <w:pStyle w:val="Compact"/>
            </w:pPr>
            <w:r>
              <w:rPr>
                <w:sz w:val="17"/>
              </w:rPr>
              <w:t xml:space="preserve">Unités louables recensées</w:t>
            </w:r>
          </w:p>
        </w:tc>
        <w:tc>
          <w:tcPr>
            <w:shd w:val="clear" w:color="auto" w:fill="F5F7FB"/>
          </w:tcPr>
          <w:p>
            <w:pPr>
              <w:pStyle w:val="Compact"/>
            </w:pPr>
            <w:r>
              <w:rPr>
                <w:sz w:val="17"/>
              </w:rPr>
              <w:t xml:space="preserve">Unités recensées / unités estimées</w:t>
            </w:r>
          </w:p>
        </w:tc>
        <w:tc>
          <w:tcPr>
            <w:shd w:val="clear" w:color="auto" w:fill="F5F7FB"/>
          </w:tcPr>
          <w:p>
            <w:pPr>
              <w:pStyle w:val="Compact"/>
            </w:pPr>
            <w:r>
              <w:rPr>
                <w:sz w:val="17"/>
              </w:rPr>
              <w:t xml:space="preserve">Suivi par avenue, quartier, commune</w:t>
            </w:r>
          </w:p>
        </w:tc>
      </w:tr>
      <w:tr>
        <w:tc>
          <w:tcPr/>
          <w:p>
            <w:pPr>
              <w:pStyle w:val="Compact"/>
            </w:pPr>
            <w:r>
              <w:rPr>
                <w:sz w:val="17"/>
              </w:rPr>
              <w:t xml:space="preserve">Identification</w:t>
            </w:r>
          </w:p>
        </w:tc>
        <w:tc>
          <w:tcPr/>
          <w:p>
            <w:pPr>
              <w:pStyle w:val="Compact"/>
            </w:pPr>
            <w:r>
              <w:rPr>
                <w:sz w:val="17"/>
              </w:rPr>
              <w:t xml:space="preserve">Taux de rattachement NIF</w:t>
            </w:r>
          </w:p>
        </w:tc>
        <w:tc>
          <w:tcPr/>
          <w:p>
            <w:pPr>
              <w:pStyle w:val="Compact"/>
            </w:pPr>
            <w:r>
              <w:rPr>
                <w:sz w:val="17"/>
              </w:rPr>
              <w:t xml:space="preserve">Comptes avec NIF vérifié / comptes N1+</w:t>
            </w:r>
          </w:p>
        </w:tc>
        <w:tc>
          <w:tcPr/>
          <w:p>
            <w:pPr>
              <w:pStyle w:val="Compact"/>
            </w:pPr>
            <w:r>
              <w:rPr>
                <w:sz w:val="17"/>
              </w:rPr>
              <w:t xml:space="preserve">Suivi</w:t>
            </w:r>
          </w:p>
        </w:tc>
      </w:tr>
      <w:tr>
        <w:tc>
          <w:tcPr>
            <w:shd w:val="clear" w:color="auto" w:fill="F5F7FB"/>
          </w:tcPr>
          <w:p>
            <w:pPr>
              <w:pStyle w:val="Compact"/>
            </w:pPr>
            <w:r>
              <w:rPr>
                <w:sz w:val="17"/>
              </w:rPr>
              <w:t xml:space="preserve">Déclaration</w:t>
            </w:r>
          </w:p>
        </w:tc>
        <w:tc>
          <w:tcPr>
            <w:shd w:val="clear" w:color="auto" w:fill="F5F7FB"/>
          </w:tcPr>
          <w:p>
            <w:pPr>
              <w:pStyle w:val="Compact"/>
            </w:pPr>
            <w:r>
              <w:rPr>
                <w:sz w:val="17"/>
              </w:rPr>
              <w:t xml:space="preserve">Dépôt à temps</w:t>
            </w:r>
          </w:p>
        </w:tc>
        <w:tc>
          <w:tcPr>
            <w:shd w:val="clear" w:color="auto" w:fill="F5F7FB"/>
          </w:tcPr>
          <w:p>
            <w:pPr>
              <w:pStyle w:val="Compact"/>
            </w:pPr>
            <w:r>
              <w:rPr>
                <w:sz w:val="17"/>
              </w:rPr>
              <w:t xml:space="preserve">Déclarations déposées avant l’échéance / attendues</w:t>
            </w:r>
          </w:p>
        </w:tc>
        <w:tc>
          <w:tcPr>
            <w:shd w:val="clear" w:color="auto" w:fill="F5F7FB"/>
          </w:tcPr>
          <w:p>
            <w:pPr>
              <w:pStyle w:val="Compact"/>
            </w:pPr>
            <w:r>
              <w:rPr>
                <w:sz w:val="17"/>
              </w:rPr>
              <w:t xml:space="preserve">Base + x points</w:t>
            </w:r>
          </w:p>
        </w:tc>
      </w:tr>
      <w:tr>
        <w:tc>
          <w:tcPr/>
          <w:p>
            <w:pPr>
              <w:pStyle w:val="Compact"/>
            </w:pPr>
            <w:r>
              <w:rPr>
                <w:sz w:val="17"/>
              </w:rPr>
              <w:t xml:space="preserve">Contrôle</w:t>
            </w:r>
          </w:p>
        </w:tc>
        <w:tc>
          <w:tcPr/>
          <w:p>
            <w:pPr>
              <w:pStyle w:val="Compact"/>
            </w:pPr>
            <w:r>
              <w:rPr>
                <w:sz w:val="17"/>
              </w:rPr>
              <w:t xml:space="preserve">Rendement net du contrôle</w:t>
            </w:r>
          </w:p>
        </w:tc>
        <w:tc>
          <w:tcPr/>
          <w:p>
            <w:pPr>
              <w:pStyle w:val="Compact"/>
            </w:pPr>
            <w:r>
              <w:rPr>
                <w:sz w:val="17"/>
              </w:rPr>
              <w:t xml:space="preserve">(Montant récupéré − coût) / coût</w:t>
            </w:r>
          </w:p>
        </w:tc>
        <w:tc>
          <w:tcPr/>
          <w:p>
            <w:pPr>
              <w:pStyle w:val="Compact"/>
            </w:pPr>
            <w:r>
              <w:rPr>
                <w:sz w:val="17"/>
              </w:rPr>
              <w:t xml:space="preserve">Positif</w:t>
            </w:r>
          </w:p>
        </w:tc>
      </w:tr>
      <w:tr>
        <w:tc>
          <w:tcPr>
            <w:shd w:val="clear" w:color="auto" w:fill="F5F7FB"/>
          </w:tcPr>
          <w:p>
            <w:pPr>
              <w:pStyle w:val="Compact"/>
            </w:pPr>
            <w:r>
              <w:rPr>
                <w:sz w:val="17"/>
              </w:rPr>
              <w:t xml:space="preserve">Intégrité</w:t>
            </w:r>
          </w:p>
        </w:tc>
        <w:tc>
          <w:tcPr>
            <w:shd w:val="clear" w:color="auto" w:fill="F5F7FB"/>
          </w:tcPr>
          <w:p>
            <w:pPr>
              <w:pStyle w:val="Compact"/>
            </w:pPr>
            <w:r>
              <w:rPr>
                <w:sz w:val="17"/>
              </w:rPr>
              <w:t xml:space="preserve">Erreurs confirmées</w:t>
            </w:r>
          </w:p>
        </w:tc>
        <w:tc>
          <w:tcPr>
            <w:shd w:val="clear" w:color="auto" w:fill="F5F7FB"/>
          </w:tcPr>
          <w:p>
            <w:pPr>
              <w:pStyle w:val="Compact"/>
            </w:pPr>
            <w:r>
              <w:rPr>
                <w:sz w:val="17"/>
              </w:rPr>
              <w:t xml:space="preserve">Rectifications fondées / obligations</w:t>
            </w:r>
          </w:p>
        </w:tc>
        <w:tc>
          <w:tcPr>
            <w:shd w:val="clear" w:color="auto" w:fill="F5F7FB"/>
          </w:tcPr>
          <w:p>
            <w:pPr>
              <w:pStyle w:val="Compact"/>
            </w:pPr>
            <w:r>
              <w:rPr>
                <w:sz w:val="17"/>
              </w:rPr>
              <w:t xml:space="preserve">En baisse</w:t>
            </w:r>
          </w:p>
        </w:tc>
      </w:tr>
      <w:tr>
        <w:tc>
          <w:tcPr/>
          <w:p>
            <w:pPr>
              <w:pStyle w:val="Compact"/>
            </w:pPr>
            <w:r>
              <w:rPr>
                <w:sz w:val="17"/>
              </w:rPr>
              <w:t xml:space="preserve">Intégrité</w:t>
            </w:r>
          </w:p>
        </w:tc>
        <w:tc>
          <w:tcPr/>
          <w:p>
            <w:pPr>
              <w:pStyle w:val="Compact"/>
            </w:pPr>
            <w:r>
              <w:rPr>
                <w:sz w:val="17"/>
              </w:rPr>
              <w:t xml:space="preserve">Alertes critiques non résolues</w:t>
            </w:r>
          </w:p>
        </w:tc>
        <w:tc>
          <w:tcPr/>
          <w:p>
            <w:pPr>
              <w:pStyle w:val="Compact"/>
            </w:pPr>
            <w:r>
              <w:rPr>
                <w:sz w:val="17"/>
              </w:rPr>
              <w:t xml:space="preserve">Nombre, âge</w:t>
            </w:r>
          </w:p>
        </w:tc>
        <w:tc>
          <w:tcPr/>
          <w:p>
            <w:pPr>
              <w:pStyle w:val="Compact"/>
            </w:pPr>
            <w:r>
              <w:rPr>
                <w:sz w:val="17"/>
              </w:rPr>
              <w:t xml:space="preserve">0 au-delà du délai</w:t>
            </w:r>
          </w:p>
        </w:tc>
      </w:tr>
      <w:tr>
        <w:tc>
          <w:tcPr>
            <w:shd w:val="clear" w:color="auto" w:fill="F5F7FB"/>
          </w:tcPr>
          <w:p>
            <w:pPr>
              <w:pStyle w:val="Compact"/>
            </w:pPr>
            <w:r>
              <w:rPr>
                <w:sz w:val="17"/>
              </w:rPr>
              <w:t xml:space="preserve">Usage</w:t>
            </w:r>
          </w:p>
        </w:tc>
        <w:tc>
          <w:tcPr>
            <w:shd w:val="clear" w:color="auto" w:fill="F5F7FB"/>
          </w:tcPr>
          <w:p>
            <w:pPr>
              <w:pStyle w:val="Compact"/>
            </w:pPr>
            <w:r>
              <w:rPr>
                <w:sz w:val="17"/>
              </w:rPr>
              <w:t xml:space="preserve">Utilisateurs actifs</w:t>
            </w:r>
          </w:p>
        </w:tc>
        <w:tc>
          <w:tcPr>
            <w:shd w:val="clear" w:color="auto" w:fill="F5F7FB"/>
          </w:tcPr>
          <w:p>
            <w:pPr>
              <w:pStyle w:val="Compact"/>
            </w:pPr>
            <w:r>
              <w:rPr>
                <w:sz w:val="17"/>
              </w:rPr>
              <w:t xml:space="preserve">Comptes actifs par canal</w:t>
            </w:r>
          </w:p>
        </w:tc>
        <w:tc>
          <w:tcPr>
            <w:shd w:val="clear" w:color="auto" w:fill="F5F7FB"/>
          </w:tcPr>
          <w:p>
            <w:pPr>
              <w:pStyle w:val="Compact"/>
            </w:pPr>
            <w:r>
              <w:rPr>
                <w:sz w:val="17"/>
              </w:rPr>
              <w:t xml:space="preserve">Suivi</w:t>
            </w:r>
          </w:p>
        </w:tc>
      </w:tr>
      <w:tr>
        <w:tc>
          <w:tcPr/>
          <w:p>
            <w:pPr>
              <w:pStyle w:val="Compact"/>
            </w:pPr>
            <w:r>
              <w:rPr>
                <w:b/>
                <w:bCs/>
                <w:sz w:val="17"/>
              </w:rPr>
              <w:t xml:space="preserve">Inclusion</w:t>
            </w:r>
          </w:p>
        </w:tc>
        <w:tc>
          <w:tcPr/>
          <w:p>
            <w:pPr>
              <w:pStyle w:val="Compact"/>
            </w:pPr>
            <w:r>
              <w:rPr>
                <w:sz w:val="17"/>
              </w:rPr>
              <w:t xml:space="preserve">Part des enrôlements assistés</w:t>
            </w:r>
          </w:p>
        </w:tc>
        <w:tc>
          <w:tcPr/>
          <w:p>
            <w:pPr>
              <w:pStyle w:val="Compact"/>
            </w:pPr>
            <w:r>
              <w:rPr>
                <w:sz w:val="17"/>
              </w:rPr>
              <w:t xml:space="preserve">Enrôlements N0-A / total</w:t>
            </w:r>
          </w:p>
        </w:tc>
        <w:tc>
          <w:tcPr/>
          <w:p>
            <w:pPr>
              <w:pStyle w:val="Compact"/>
            </w:pPr>
            <w:r>
              <w:rPr>
                <w:sz w:val="17"/>
              </w:rPr>
              <w:t xml:space="preserve">Suivi par commune</w:t>
            </w:r>
          </w:p>
        </w:tc>
      </w:tr>
      <w:tr>
        <w:tc>
          <w:tcPr>
            <w:shd w:val="clear" w:color="auto" w:fill="F5F7FB"/>
          </w:tcPr>
          <w:p>
            <w:pPr>
              <w:pStyle w:val="Compact"/>
            </w:pPr>
            <w:r>
              <w:rPr>
                <w:sz w:val="17"/>
              </w:rPr>
              <w:t xml:space="preserve">Inclusion</w:t>
            </w:r>
          </w:p>
        </w:tc>
        <w:tc>
          <w:tcPr>
            <w:shd w:val="clear" w:color="auto" w:fill="F5F7FB"/>
          </w:tcPr>
          <w:p>
            <w:pPr>
              <w:pStyle w:val="Compact"/>
            </w:pPr>
            <w:r>
              <w:rPr>
                <w:sz w:val="17"/>
              </w:rPr>
              <w:t xml:space="preserve">Cartes MOSOLO actives</w:t>
            </w:r>
          </w:p>
        </w:tc>
        <w:tc>
          <w:tcPr>
            <w:shd w:val="clear" w:color="auto" w:fill="F5F7FB"/>
          </w:tcPr>
          <w:p>
            <w:pPr>
              <w:pStyle w:val="Compact"/>
            </w:pPr>
            <w:r>
              <w:rPr>
                <w:sz w:val="17"/>
              </w:rPr>
              <w:t xml:space="preserve">Nombre</w:t>
            </w:r>
          </w:p>
        </w:tc>
        <w:tc>
          <w:tcPr>
            <w:shd w:val="clear" w:color="auto" w:fill="F5F7FB"/>
          </w:tcPr>
          <w:p>
            <w:pPr>
              <w:pStyle w:val="Compact"/>
            </w:pPr>
            <w:r>
              <w:rPr>
                <w:sz w:val="17"/>
              </w:rPr>
              <w:t xml:space="preserve">Suivi</w:t>
            </w:r>
          </w:p>
        </w:tc>
      </w:tr>
      <w:tr>
        <w:tc>
          <w:tcPr/>
          <w:p>
            <w:pPr>
              <w:pStyle w:val="Compact"/>
            </w:pPr>
            <w:r>
              <w:rPr>
                <w:sz w:val="17"/>
              </w:rPr>
              <w:t xml:space="preserve">Inclusion</w:t>
            </w:r>
          </w:p>
        </w:tc>
        <w:tc>
          <w:tcPr/>
          <w:p>
            <w:pPr>
              <w:pStyle w:val="Compact"/>
            </w:pPr>
            <w:r>
              <w:rPr>
                <w:sz w:val="17"/>
              </w:rPr>
              <w:t xml:space="preserve">Usage USSD, SVI, SMS</w:t>
            </w:r>
          </w:p>
        </w:tc>
        <w:tc>
          <w:tcPr/>
          <w:p>
            <w:pPr>
              <w:pStyle w:val="Compact"/>
            </w:pPr>
            <w:r>
              <w:rPr>
                <w:sz w:val="17"/>
              </w:rPr>
              <w:t xml:space="preserve">Opérations par canal</w:t>
            </w:r>
          </w:p>
        </w:tc>
        <w:tc>
          <w:tcPr/>
          <w:p>
            <w:pPr>
              <w:pStyle w:val="Compact"/>
            </w:pPr>
            <w:r>
              <w:rPr>
                <w:sz w:val="17"/>
              </w:rPr>
              <w:t xml:space="preserve">Suivi</w:t>
            </w:r>
          </w:p>
        </w:tc>
      </w:tr>
      <w:tr>
        <w:tc>
          <w:tcPr>
            <w:shd w:val="clear" w:color="auto" w:fill="F5F7FB"/>
          </w:tcPr>
          <w:p>
            <w:pPr>
              <w:pStyle w:val="Compact"/>
            </w:pPr>
            <w:r>
              <w:rPr>
                <w:sz w:val="17"/>
              </w:rPr>
              <w:t xml:space="preserve">Inclusion</w:t>
            </w:r>
          </w:p>
        </w:tc>
        <w:tc>
          <w:tcPr>
            <w:shd w:val="clear" w:color="auto" w:fill="F5F7FB"/>
          </w:tcPr>
          <w:p>
            <w:pPr>
              <w:pStyle w:val="Compact"/>
            </w:pPr>
            <w:r>
              <w:rPr>
                <w:b/>
                <w:bCs/>
                <w:sz w:val="17"/>
              </w:rPr>
              <w:t xml:space="preserve">Accessibilité des points agréés</w:t>
            </w:r>
          </w:p>
        </w:tc>
        <w:tc>
          <w:tcPr>
            <w:shd w:val="clear" w:color="auto" w:fill="F5F7FB"/>
          </w:tcPr>
          <w:p>
            <w:pPr>
              <w:pStyle w:val="Compact"/>
            </w:pPr>
            <w:r>
              <w:rPr>
                <w:sz w:val="17"/>
              </w:rPr>
              <w:t xml:space="preserve">Population à &lt; 15 minutes de marche d’un point agréé</w:t>
            </w:r>
          </w:p>
        </w:tc>
        <w:tc>
          <w:tcPr>
            <w:shd w:val="clear" w:color="auto" w:fill="F5F7FB"/>
          </w:tcPr>
          <w:p>
            <w:pPr>
              <w:pStyle w:val="Compact"/>
            </w:pPr>
            <w:r>
              <w:rPr>
                <w:sz w:val="17"/>
              </w:rPr>
              <w:t xml:space="preserve">À fixer après cartographie</w:t>
            </w:r>
          </w:p>
        </w:tc>
      </w:tr>
      <w:tr>
        <w:tc>
          <w:tcPr/>
          <w:p>
            <w:pPr>
              <w:pStyle w:val="Compact"/>
            </w:pPr>
            <w:r>
              <w:rPr>
                <w:sz w:val="17"/>
              </w:rPr>
              <w:t xml:space="preserve">Paiement assisté</w:t>
            </w:r>
          </w:p>
        </w:tc>
        <w:tc>
          <w:tcPr/>
          <w:p>
            <w:pPr>
              <w:pStyle w:val="Compact"/>
            </w:pPr>
            <w:r>
              <w:rPr>
                <w:sz w:val="17"/>
              </w:rPr>
              <w:t xml:space="preserve">Délai de règlement des points</w:t>
            </w:r>
          </w:p>
        </w:tc>
        <w:tc>
          <w:tcPr/>
          <w:p>
            <w:pPr>
              <w:pStyle w:val="Compact"/>
            </w:pPr>
            <w:r>
              <w:rPr>
                <w:sz w:val="17"/>
              </w:rPr>
              <w:t xml:space="preserve">Médiane encaissement → crédit du compte public</w:t>
            </w:r>
          </w:p>
        </w:tc>
        <w:tc>
          <w:tcPr/>
          <w:p>
            <w:pPr>
              <w:pStyle w:val="Compact"/>
            </w:pPr>
            <w:r>
              <w:rPr>
                <w:sz w:val="17"/>
              </w:rPr>
              <w:t xml:space="preserve">≤ délai contractuel</w:t>
            </w:r>
          </w:p>
        </w:tc>
      </w:tr>
      <w:tr>
        <w:tc>
          <w:tcPr>
            <w:shd w:val="clear" w:color="auto" w:fill="F5F7FB"/>
          </w:tcPr>
          <w:p>
            <w:pPr>
              <w:pStyle w:val="Compact"/>
            </w:pPr>
            <w:r>
              <w:rPr>
                <w:sz w:val="17"/>
              </w:rPr>
              <w:t xml:space="preserve">Sous-traitance</w:t>
            </w:r>
          </w:p>
        </w:tc>
        <w:tc>
          <w:tcPr>
            <w:shd w:val="clear" w:color="auto" w:fill="F5F7FB"/>
          </w:tcPr>
          <w:p>
            <w:pPr>
              <w:pStyle w:val="Compact"/>
            </w:pPr>
            <w:r>
              <w:rPr>
                <w:sz w:val="17"/>
              </w:rPr>
              <w:t xml:space="preserve">Qualité des sous-traitants</w:t>
            </w:r>
          </w:p>
        </w:tc>
        <w:tc>
          <w:tcPr>
            <w:shd w:val="clear" w:color="auto" w:fill="F5F7FB"/>
          </w:tcPr>
          <w:p>
            <w:pPr>
              <w:pStyle w:val="Compact"/>
            </w:pPr>
            <w:r>
              <w:rPr>
                <w:sz w:val="17"/>
              </w:rPr>
              <w:t xml:space="preserve">Note de qualité (rejets, confirmations, contestations)</w:t>
            </w:r>
          </w:p>
        </w:tc>
        <w:tc>
          <w:tcPr>
            <w:shd w:val="clear" w:color="auto" w:fill="F5F7FB"/>
          </w:tcPr>
          <w:p>
            <w:pPr>
              <w:pStyle w:val="Compact"/>
            </w:pPr>
            <w:r>
              <w:rPr>
                <w:sz w:val="17"/>
              </w:rPr>
              <w:t xml:space="preserve">Seuil contractuel</w:t>
            </w:r>
          </w:p>
        </w:tc>
      </w:tr>
      <w:tr>
        <w:tc>
          <w:tcPr/>
          <w:p>
            <w:pPr>
              <w:pStyle w:val="Compact"/>
            </w:pPr>
            <w:r>
              <w:rPr>
                <w:sz w:val="17"/>
              </w:rPr>
              <w:t xml:space="preserve">Confiance</w:t>
            </w:r>
          </w:p>
        </w:tc>
        <w:tc>
          <w:tcPr/>
          <w:p>
            <w:pPr>
              <w:pStyle w:val="Compact"/>
            </w:pPr>
            <w:r>
              <w:rPr>
                <w:sz w:val="17"/>
              </w:rPr>
              <w:t xml:space="preserve">Signalements</w:t>
            </w:r>
          </w:p>
        </w:tc>
        <w:tc>
          <w:tcPr/>
          <w:p>
            <w:pPr>
              <w:pStyle w:val="Compact"/>
            </w:pPr>
            <w:r>
              <w:rPr>
                <w:sz w:val="17"/>
              </w:rPr>
              <w:t xml:space="preserve">Nombre, délai de traitement, part confirmée</w:t>
            </w:r>
          </w:p>
        </w:tc>
        <w:tc>
          <w:tcPr/>
          <w:p>
            <w:pPr>
              <w:pStyle w:val="Compact"/>
            </w:pPr>
            <w:r>
              <w:rPr>
                <w:sz w:val="17"/>
              </w:rPr>
              <w:t xml:space="preserve">Délai tenu</w:t>
            </w:r>
          </w:p>
        </w:tc>
      </w:tr>
      <w:tr>
        <w:tc>
          <w:tcPr>
            <w:shd w:val="clear" w:color="auto" w:fill="F5F7FB"/>
          </w:tcPr>
          <w:p>
            <w:pPr>
              <w:pStyle w:val="Compact"/>
            </w:pPr>
            <w:r>
              <w:rPr>
                <w:sz w:val="17"/>
              </w:rPr>
              <w:t xml:space="preserve">Confiance</w:t>
            </w:r>
          </w:p>
        </w:tc>
        <w:tc>
          <w:tcPr>
            <w:shd w:val="clear" w:color="auto" w:fill="F5F7FB"/>
          </w:tcPr>
          <w:p>
            <w:pPr>
              <w:pStyle w:val="Compact"/>
            </w:pPr>
            <w:r>
              <w:rPr>
                <w:sz w:val="17"/>
              </w:rPr>
              <w:t xml:space="preserve">Contrôles mystère</w:t>
            </w:r>
          </w:p>
        </w:tc>
        <w:tc>
          <w:tcPr>
            <w:shd w:val="clear" w:color="auto" w:fill="F5F7FB"/>
          </w:tcPr>
          <w:p>
            <w:pPr>
              <w:pStyle w:val="Compact"/>
            </w:pPr>
            <w:r>
              <w:rPr>
                <w:sz w:val="17"/>
              </w:rPr>
              <w:t xml:space="preserve">Réalisés, taux de conformité</w:t>
            </w:r>
          </w:p>
        </w:tc>
        <w:tc>
          <w:tcPr>
            <w:shd w:val="clear" w:color="auto" w:fill="F5F7FB"/>
          </w:tcPr>
          <w:p>
            <w:pPr>
              <w:pStyle w:val="Compact"/>
            </w:pPr>
            <w:r>
              <w:rPr>
                <w:sz w:val="17"/>
              </w:rPr>
              <w:t xml:space="preserve">Publication agrégée</w:t>
            </w:r>
          </w:p>
        </w:tc>
      </w:tr>
      <w:tr>
        <w:tc>
          <w:tcPr/>
          <w:p>
            <w:pPr>
              <w:pStyle w:val="Compact"/>
            </w:pPr>
            <w:r>
              <w:rPr>
                <w:b/>
                <w:bCs/>
                <w:sz w:val="17"/>
              </w:rPr>
              <w:t xml:space="preserve">Titres</w:t>
            </w:r>
          </w:p>
        </w:tc>
        <w:tc>
          <w:tcPr/>
          <w:p>
            <w:pPr>
              <w:pStyle w:val="Compact"/>
            </w:pPr>
            <w:r>
              <w:rPr>
                <w:sz w:val="17"/>
              </w:rPr>
              <w:t xml:space="preserve">Titres contrôlés / actifs</w:t>
            </w:r>
          </w:p>
        </w:tc>
        <w:tc>
          <w:tcPr/>
          <w:p>
            <w:pPr>
              <w:pStyle w:val="Compact"/>
            </w:pPr>
            <w:r>
              <w:rPr>
                <w:sz w:val="17"/>
              </w:rPr>
              <w:t xml:space="preserve">Contrôles / titres actifs</w:t>
            </w:r>
          </w:p>
        </w:tc>
        <w:tc>
          <w:tcPr/>
          <w:p>
            <w:pPr>
              <w:pStyle w:val="Compact"/>
            </w:pPr>
            <w:r>
              <w:rPr>
                <w:sz w:val="17"/>
              </w:rPr>
              <w:t xml:space="preserve">Suivi</w:t>
            </w:r>
          </w:p>
        </w:tc>
      </w:tr>
      <w:tr>
        <w:tc>
          <w:tcPr>
            <w:shd w:val="clear" w:color="auto" w:fill="F5F7FB"/>
          </w:tcPr>
          <w:p>
            <w:pPr>
              <w:pStyle w:val="Compact"/>
            </w:pPr>
            <w:r>
              <w:rPr>
                <w:sz w:val="17"/>
              </w:rPr>
              <w:t xml:space="preserve">Titres</w:t>
            </w:r>
          </w:p>
        </w:tc>
        <w:tc>
          <w:tcPr>
            <w:shd w:val="clear" w:color="auto" w:fill="F5F7FB"/>
          </w:tcPr>
          <w:p>
            <w:pPr>
              <w:pStyle w:val="Compact"/>
            </w:pPr>
            <w:r>
              <w:rPr>
                <w:sz w:val="17"/>
              </w:rPr>
              <w:t xml:space="preserve">Part des contrôles en rouge</w:t>
            </w:r>
          </w:p>
        </w:tc>
        <w:tc>
          <w:tcPr>
            <w:shd w:val="clear" w:color="auto" w:fill="F5F7FB"/>
          </w:tcPr>
          <w:p>
            <w:pPr>
              <w:pStyle w:val="Compact"/>
            </w:pPr>
            <w:r>
              <w:rPr>
                <w:sz w:val="17"/>
              </w:rPr>
              <w:t xml:space="preserve">Contrôles rouges / contrôles</w:t>
            </w:r>
          </w:p>
        </w:tc>
        <w:tc>
          <w:tcPr>
            <w:shd w:val="clear" w:color="auto" w:fill="F5F7FB"/>
          </w:tcPr>
          <w:p>
            <w:pPr>
              <w:pStyle w:val="Compact"/>
            </w:pPr>
            <w:r>
              <w:rPr>
                <w:sz w:val="17"/>
              </w:rPr>
              <w:t xml:space="preserve">En baisse</w:t>
            </w:r>
          </w:p>
        </w:tc>
      </w:tr>
      <w:tr>
        <w:tc>
          <w:tcPr/>
          <w:p>
            <w:pPr>
              <w:pStyle w:val="Compact"/>
            </w:pPr>
            <w:r>
              <w:rPr>
                <w:sz w:val="17"/>
              </w:rPr>
              <w:t xml:space="preserve">Titres</w:t>
            </w:r>
          </w:p>
        </w:tc>
        <w:tc>
          <w:tcPr/>
          <w:p>
            <w:pPr>
              <w:pStyle w:val="Compact"/>
            </w:pPr>
            <w:r>
              <w:rPr>
                <w:sz w:val="17"/>
              </w:rPr>
              <w:t xml:space="preserve">Renouvellement en phase ambre</w:t>
            </w:r>
          </w:p>
        </w:tc>
        <w:tc>
          <w:tcPr/>
          <w:p>
            <w:pPr>
              <w:pStyle w:val="Compact"/>
            </w:pPr>
            <w:r>
              <w:rPr>
                <w:sz w:val="17"/>
              </w:rPr>
              <w:t xml:space="preserve">Renouvellements avant expiration / titres arrivant à terme</w:t>
            </w:r>
          </w:p>
        </w:tc>
        <w:tc>
          <w:tcPr/>
          <w:p>
            <w:pPr>
              <w:pStyle w:val="Compact"/>
            </w:pPr>
            <w:r>
              <w:rPr>
                <w:sz w:val="17"/>
              </w:rPr>
              <w:t xml:space="preserve">En hausse</w:t>
            </w:r>
          </w:p>
        </w:tc>
      </w:tr>
      <w:tr>
        <w:tc>
          <w:tcPr>
            <w:shd w:val="clear" w:color="auto" w:fill="F5F7FB"/>
          </w:tcPr>
          <w:p>
            <w:pPr>
              <w:pStyle w:val="Compact"/>
            </w:pPr>
            <w:r>
              <w:rPr>
                <w:sz w:val="17"/>
              </w:rPr>
              <w:t xml:space="preserve">Titres</w:t>
            </w:r>
          </w:p>
        </w:tc>
        <w:tc>
          <w:tcPr>
            <w:shd w:val="clear" w:color="auto" w:fill="F5F7FB"/>
          </w:tcPr>
          <w:p>
            <w:pPr>
              <w:pStyle w:val="Compact"/>
            </w:pPr>
            <w:r>
              <w:rPr>
                <w:sz w:val="17"/>
              </w:rPr>
              <w:t xml:space="preserve">Tentatives de réutilisation</w:t>
            </w:r>
          </w:p>
        </w:tc>
        <w:tc>
          <w:tcPr>
            <w:shd w:val="clear" w:color="auto" w:fill="F5F7FB"/>
          </w:tcPr>
          <w:p>
            <w:pPr>
              <w:pStyle w:val="Compact"/>
            </w:pPr>
            <w:r>
              <w:rPr>
                <w:sz w:val="17"/>
              </w:rPr>
              <w:t xml:space="preserve">« DÉJÀ UTILISÉ » + QR copiés détectés</w:t>
            </w:r>
          </w:p>
        </w:tc>
        <w:tc>
          <w:tcPr>
            <w:shd w:val="clear" w:color="auto" w:fill="F5F7FB"/>
          </w:tcPr>
          <w:p>
            <w:pPr>
              <w:pStyle w:val="Compact"/>
            </w:pPr>
            <w:r>
              <w:rPr>
                <w:sz w:val="17"/>
              </w:rPr>
              <w:t xml:space="preserve">Suivi</w:t>
            </w:r>
          </w:p>
        </w:tc>
      </w:tr>
      <w:tr>
        <w:tc>
          <w:tcPr/>
          <w:p>
            <w:pPr>
              <w:pStyle w:val="Compact"/>
            </w:pPr>
            <w:r>
              <w:rPr>
                <w:sz w:val="17"/>
              </w:rPr>
              <w:t xml:space="preserve">Titres</w:t>
            </w:r>
          </w:p>
        </w:tc>
        <w:tc>
          <w:tcPr/>
          <w:p>
            <w:pPr>
              <w:pStyle w:val="Compact"/>
            </w:pPr>
            <w:r>
              <w:rPr>
                <w:sz w:val="17"/>
              </w:rPr>
              <w:t xml:space="preserve">Contrôles hors ligne reconfirmés</w:t>
            </w:r>
          </w:p>
        </w:tc>
        <w:tc>
          <w:tcPr/>
          <w:p>
            <w:pPr>
              <w:pStyle w:val="Compact"/>
            </w:pPr>
            <w:r>
              <w:rPr>
                <w:sz w:val="17"/>
              </w:rPr>
              <w:t xml:space="preserve">Reconfirmés à la synchronisation / hors ligne</w:t>
            </w:r>
          </w:p>
        </w:tc>
        <w:tc>
          <w:tcPr/>
          <w:p>
            <w:pPr>
              <w:pStyle w:val="Compact"/>
            </w:pPr>
            <w:r>
              <w:rPr>
                <w:sz w:val="17"/>
              </w:rPr>
              <w:t xml:space="preserve">100 %</w:t>
            </w:r>
          </w:p>
        </w:tc>
      </w:tr>
      <w:tr>
        <w:tc>
          <w:tcPr>
            <w:shd w:val="clear" w:color="auto" w:fill="F5F7FB"/>
          </w:tcPr>
          <w:p>
            <w:pPr>
              <w:pStyle w:val="Compact"/>
            </w:pPr>
            <w:r>
              <w:rPr>
                <w:b/>
                <w:bCs/>
                <w:sz w:val="17"/>
              </w:rPr>
              <w:t xml:space="preserve">Entités</w:t>
            </w:r>
          </w:p>
        </w:tc>
        <w:tc>
          <w:tcPr>
            <w:shd w:val="clear" w:color="auto" w:fill="F5F7FB"/>
          </w:tcPr>
          <w:p>
            <w:pPr>
              <w:pStyle w:val="Compact"/>
            </w:pPr>
            <w:r>
              <w:rPr>
                <w:sz w:val="17"/>
              </w:rPr>
              <w:t xml:space="preserve">Arbitrages</w:t>
            </w:r>
          </w:p>
        </w:tc>
        <w:tc>
          <w:tcPr>
            <w:shd w:val="clear" w:color="auto" w:fill="F5F7FB"/>
          </w:tcPr>
          <w:p>
            <w:pPr>
              <w:pStyle w:val="Compact"/>
            </w:pPr>
            <w:r>
              <w:rPr>
                <w:sz w:val="17"/>
              </w:rPr>
              <w:t xml:space="preserve">Nombre, délai de décision</w:t>
            </w:r>
          </w:p>
        </w:tc>
        <w:tc>
          <w:tcPr>
            <w:shd w:val="clear" w:color="auto" w:fill="F5F7FB"/>
          </w:tcPr>
          <w:p>
            <w:pPr>
              <w:pStyle w:val="Compact"/>
            </w:pPr>
            <w:r>
              <w:rPr>
                <w:sz w:val="17"/>
              </w:rPr>
              <w:t xml:space="preserve">Délai du comité</w:t>
            </w:r>
          </w:p>
        </w:tc>
      </w:tr>
      <w:tr>
        <w:tc>
          <w:tcPr/>
          <w:p>
            <w:pPr>
              <w:pStyle w:val="Compact"/>
            </w:pPr>
            <w:r>
              <w:rPr>
                <w:sz w:val="17"/>
              </w:rPr>
              <w:t xml:space="preserve">Entités</w:t>
            </w:r>
          </w:p>
        </w:tc>
        <w:tc>
          <w:tcPr/>
          <w:p>
            <w:pPr>
              <w:pStyle w:val="Compact"/>
            </w:pPr>
            <w:r>
              <w:rPr>
                <w:sz w:val="17"/>
              </w:rPr>
              <w:t xml:space="preserve">Respect des accords de service inter-entités</w:t>
            </w:r>
          </w:p>
        </w:tc>
        <w:tc>
          <w:tcPr/>
          <w:p>
            <w:pPr>
              <w:pStyle w:val="Compact"/>
            </w:pPr>
            <w:r>
              <w:rPr>
                <w:sz w:val="17"/>
              </w:rPr>
              <w:t xml:space="preserve">Demandes traitées dans le délai / demandes</w:t>
            </w:r>
          </w:p>
        </w:tc>
        <w:tc>
          <w:tcPr/>
          <w:p>
            <w:pPr>
              <w:pStyle w:val="Compact"/>
            </w:pPr>
            <w:r>
              <w:rPr>
                <w:sz w:val="17"/>
              </w:rPr>
              <w:t xml:space="preserve">≥ 90 %</w:t>
            </w:r>
          </w:p>
        </w:tc>
      </w:tr>
      <w:tr>
        <w:tc>
          <w:tcPr>
            <w:shd w:val="clear" w:color="auto" w:fill="F5F7FB"/>
          </w:tcPr>
          <w:p>
            <w:pPr>
              <w:pStyle w:val="Compact"/>
            </w:pPr>
            <w:r>
              <w:rPr>
                <w:b/>
                <w:bCs/>
                <w:sz w:val="17"/>
              </w:rPr>
              <w:t xml:space="preserve">Répartition légale</w:t>
            </w:r>
          </w:p>
        </w:tc>
        <w:tc>
          <w:tcPr>
            <w:shd w:val="clear" w:color="auto" w:fill="F5F7FB"/>
          </w:tcPr>
          <w:p>
            <w:pPr>
              <w:pStyle w:val="Compact"/>
            </w:pPr>
            <w:r>
              <w:rPr>
                <w:sz w:val="17"/>
              </w:rPr>
              <w:t xml:space="preserve">Écart de répartition</w:t>
            </w:r>
          </w:p>
        </w:tc>
        <w:tc>
          <w:tcPr>
            <w:shd w:val="clear" w:color="auto" w:fill="F5F7FB"/>
          </w:tcPr>
          <w:p>
            <w:pPr>
              <w:pStyle w:val="Compact"/>
            </w:pPr>
            <w:r>
              <w:rPr>
                <w:sz w:val="17"/>
              </w:rPr>
              <w:t xml:space="preserve">Somme des parts légales − rapproché</w:t>
            </w:r>
          </w:p>
        </w:tc>
        <w:tc>
          <w:tcPr>
            <w:shd w:val="clear" w:color="auto" w:fill="F5F7FB"/>
          </w:tcPr>
          <w:p>
            <w:pPr>
              <w:pStyle w:val="Compact"/>
            </w:pPr>
            <w:r>
              <w:rPr>
                <w:sz w:val="17"/>
              </w:rPr>
              <w:t xml:space="preserve">0</w:t>
            </w:r>
          </w:p>
        </w:tc>
      </w:tr>
      <w:tr>
        <w:tc>
          <w:tcPr/>
          <w:p>
            <w:pPr>
              <w:pStyle w:val="Compact"/>
            </w:pPr>
            <w:r>
              <w:rPr>
                <w:sz w:val="17"/>
              </w:rPr>
              <w:t xml:space="preserve">Répartition légale</w:t>
            </w:r>
          </w:p>
        </w:tc>
        <w:tc>
          <w:tcPr/>
          <w:p>
            <w:pPr>
              <w:pStyle w:val="Compact"/>
            </w:pPr>
            <w:r>
              <w:rPr>
                <w:sz w:val="17"/>
              </w:rPr>
              <w:t xml:space="preserve">Délai de reversement des parts légales</w:t>
            </w:r>
          </w:p>
        </w:tc>
        <w:tc>
          <w:tcPr/>
          <w:p>
            <w:pPr>
              <w:pStyle w:val="Compact"/>
            </w:pPr>
            <w:r>
              <w:rPr>
                <w:sz w:val="17"/>
              </w:rPr>
              <w:t xml:space="preserve">Rapprochement → reversement</w:t>
            </w:r>
          </w:p>
        </w:tc>
        <w:tc>
          <w:tcPr/>
          <w:p>
            <w:pPr>
              <w:pStyle w:val="Compact"/>
            </w:pPr>
            <w:r>
              <w:rPr>
                <w:sz w:val="17"/>
              </w:rPr>
              <w:t xml:space="preserve">Délai du texte</w:t>
            </w:r>
          </w:p>
        </w:tc>
      </w:tr>
      <w:tr>
        <w:tc>
          <w:tcPr>
            <w:shd w:val="clear" w:color="auto" w:fill="F5F7FB"/>
          </w:tcPr>
          <w:p>
            <w:pPr>
              <w:pStyle w:val="Compact"/>
            </w:pPr>
            <w:r>
              <w:rPr>
                <w:b/>
                <w:bCs/>
                <w:sz w:val="17"/>
              </w:rPr>
              <w:t xml:space="preserve">Stationnement</w:t>
            </w:r>
          </w:p>
        </w:tc>
        <w:tc>
          <w:tcPr>
            <w:shd w:val="clear" w:color="auto" w:fill="F5F7FB"/>
          </w:tcPr>
          <w:p>
            <w:pPr>
              <w:pStyle w:val="Compact"/>
            </w:pPr>
            <w:r>
              <w:rPr>
                <w:sz w:val="17"/>
              </w:rPr>
              <w:t xml:space="preserve">Occupation</w:t>
            </w:r>
          </w:p>
        </w:tc>
        <w:tc>
          <w:tcPr>
            <w:shd w:val="clear" w:color="auto" w:fill="F5F7FB"/>
          </w:tcPr>
          <w:p>
            <w:pPr>
              <w:pStyle w:val="Compact"/>
            </w:pPr>
            <w:r>
              <w:rPr>
                <w:sz w:val="17"/>
              </w:rPr>
              <w:t xml:space="preserve">Places occupées / places (par zone et heure)</w:t>
            </w:r>
          </w:p>
        </w:tc>
        <w:tc>
          <w:tcPr>
            <w:shd w:val="clear" w:color="auto" w:fill="F5F7FB"/>
          </w:tcPr>
          <w:p>
            <w:pPr>
              <w:pStyle w:val="Compact"/>
            </w:pPr>
            <w:r>
              <w:rPr>
                <w:sz w:val="17"/>
              </w:rPr>
              <w:t xml:space="preserve">75–85 % (15–25 % libres)</w:t>
            </w:r>
          </w:p>
        </w:tc>
      </w:tr>
      <w:tr>
        <w:tc>
          <w:tcPr/>
          <w:p>
            <w:pPr>
              <w:pStyle w:val="Compact"/>
            </w:pPr>
            <w:r>
              <w:rPr>
                <w:sz w:val="17"/>
              </w:rPr>
              <w:t xml:space="preserve">Stationnement</w:t>
            </w:r>
          </w:p>
        </w:tc>
        <w:tc>
          <w:tcPr/>
          <w:p>
            <w:pPr>
              <w:pStyle w:val="Compact"/>
            </w:pPr>
            <w:r>
              <w:rPr>
                <w:sz w:val="17"/>
              </w:rPr>
              <w:t xml:space="preserve">Véhicules payants par place et par jour</w:t>
            </w:r>
          </w:p>
        </w:tc>
        <w:tc>
          <w:tcPr/>
          <w:p>
            <w:pPr>
              <w:pStyle w:val="Compact"/>
            </w:pPr>
            <w:r>
              <w:rPr>
                <w:sz w:val="17"/>
              </w:rPr>
              <w:t xml:space="preserve">Sessions payées / places</w:t>
            </w:r>
          </w:p>
        </w:tc>
        <w:tc>
          <w:tcPr/>
          <w:p>
            <w:pPr>
              <w:pStyle w:val="Compact"/>
            </w:pPr>
            <w:r>
              <w:rPr>
                <w:sz w:val="17"/>
              </w:rPr>
              <w:t xml:space="preserve">En hausse</w:t>
            </w:r>
          </w:p>
        </w:tc>
      </w:tr>
      <w:tr>
        <w:tc>
          <w:tcPr>
            <w:shd w:val="clear" w:color="auto" w:fill="F5F7FB"/>
          </w:tcPr>
          <w:p>
            <w:pPr>
              <w:pStyle w:val="Compact"/>
            </w:pPr>
            <w:r>
              <w:rPr>
                <w:sz w:val="17"/>
              </w:rPr>
              <w:t xml:space="preserve">Stationnement</w:t>
            </w:r>
          </w:p>
        </w:tc>
        <w:tc>
          <w:tcPr>
            <w:shd w:val="clear" w:color="auto" w:fill="F5F7FB"/>
          </w:tcPr>
          <w:p>
            <w:pPr>
              <w:pStyle w:val="Compact"/>
            </w:pPr>
            <w:r>
              <w:rPr>
                <w:sz w:val="17"/>
              </w:rPr>
              <w:t xml:space="preserve">Recettes par mètre linéaire</w:t>
            </w:r>
          </w:p>
        </w:tc>
        <w:tc>
          <w:tcPr>
            <w:shd w:val="clear" w:color="auto" w:fill="F5F7FB"/>
          </w:tcPr>
          <w:p>
            <w:pPr>
              <w:pStyle w:val="Compact"/>
            </w:pPr>
            <w:r>
              <w:rPr>
                <w:sz w:val="17"/>
              </w:rPr>
              <w:t xml:space="preserve">Recettes rapprochées / mètres de voirie payante</w:t>
            </w:r>
          </w:p>
        </w:tc>
        <w:tc>
          <w:tcPr>
            <w:shd w:val="clear" w:color="auto" w:fill="F5F7FB"/>
          </w:tcPr>
          <w:p>
            <w:pPr>
              <w:pStyle w:val="Compact"/>
            </w:pPr>
            <w:r>
              <w:rPr>
                <w:sz w:val="17"/>
              </w:rPr>
              <w:t xml:space="preserve">Suivi</w:t>
            </w:r>
          </w:p>
        </w:tc>
      </w:tr>
      <w:tr>
        <w:tc>
          <w:tcPr/>
          <w:p>
            <w:pPr>
              <w:pStyle w:val="Compact"/>
            </w:pPr>
            <w:r>
              <w:rPr>
                <w:b/>
                <w:bCs/>
                <w:sz w:val="17"/>
              </w:rPr>
              <w:t xml:space="preserve">AVIA</w:t>
            </w:r>
          </w:p>
        </w:tc>
        <w:tc>
          <w:tcPr/>
          <w:p>
            <w:pPr>
              <w:pStyle w:val="Compact"/>
            </w:pPr>
            <w:r>
              <w:rPr>
                <w:sz w:val="17"/>
              </w:rPr>
              <w:t xml:space="preserve">Écart de reversement</w:t>
            </w:r>
          </w:p>
        </w:tc>
        <w:tc>
          <w:tcPr/>
          <w:p>
            <w:pPr>
              <w:pStyle w:val="Compact"/>
            </w:pPr>
            <w:r>
              <w:rPr>
                <w:sz w:val="17"/>
              </w:rPr>
              <w:t xml:space="preserve">(Dû calculé par le hub − reversé) / dû</w:t>
            </w:r>
          </w:p>
        </w:tc>
        <w:tc>
          <w:tcPr/>
          <w:p>
            <w:pPr>
              <w:pStyle w:val="Compact"/>
            </w:pPr>
            <w:r>
              <w:rPr>
                <w:sz w:val="17"/>
              </w:rPr>
              <w:t xml:space="preserve">En baisse</w:t>
            </w:r>
          </w:p>
        </w:tc>
      </w:tr>
      <w:tr>
        <w:tc>
          <w:tcPr>
            <w:shd w:val="clear" w:color="auto" w:fill="F5F7FB"/>
          </w:tcPr>
          <w:p>
            <w:pPr>
              <w:pStyle w:val="Compact"/>
            </w:pPr>
            <w:r>
              <w:rPr>
                <w:sz w:val="17"/>
              </w:rPr>
              <w:t xml:space="preserve">AVIA</w:t>
            </w:r>
          </w:p>
        </w:tc>
        <w:tc>
          <w:tcPr>
            <w:shd w:val="clear" w:color="auto" w:fill="F5F7FB"/>
          </w:tcPr>
          <w:p>
            <w:pPr>
              <w:pStyle w:val="Compact"/>
            </w:pPr>
            <w:r>
              <w:rPr>
                <w:sz w:val="17"/>
              </w:rPr>
              <w:t xml:space="preserve">Passagers tracés</w:t>
            </w:r>
          </w:p>
        </w:tc>
        <w:tc>
          <w:tcPr>
            <w:shd w:val="clear" w:color="auto" w:fill="F5F7FB"/>
          </w:tcPr>
          <w:p>
            <w:pPr>
              <w:pStyle w:val="Compact"/>
            </w:pPr>
            <w:r>
              <w:rPr>
                <w:sz w:val="17"/>
              </w:rPr>
              <w:t xml:space="preserve">Embarqués avec IFA / embarqués</w:t>
            </w:r>
          </w:p>
        </w:tc>
        <w:tc>
          <w:tcPr>
            <w:shd w:val="clear" w:color="auto" w:fill="F5F7FB"/>
          </w:tcPr>
          <w:p>
            <w:pPr>
              <w:pStyle w:val="Compact"/>
            </w:pPr>
            <w:r>
              <w:rPr>
                <w:sz w:val="17"/>
              </w:rPr>
              <w:t xml:space="preserve">Suivi</w:t>
            </w:r>
          </w:p>
        </w:tc>
      </w:tr>
      <w:tr>
        <w:tc>
          <w:tcPr/>
          <w:p>
            <w:pPr>
              <w:pStyle w:val="Compact"/>
            </w:pPr>
            <w:r>
              <w:rPr>
                <w:b/>
                <w:bCs/>
                <w:sz w:val="17"/>
              </w:rPr>
              <w:t xml:space="preserve">CALCU</w:t>
            </w:r>
          </w:p>
        </w:tc>
        <w:tc>
          <w:tcPr/>
          <w:p>
            <w:pPr>
              <w:pStyle w:val="Compact"/>
            </w:pPr>
            <w:r>
              <w:rPr>
                <w:sz w:val="17"/>
              </w:rPr>
              <w:t xml:space="preserve">Transactions vertes</w:t>
            </w:r>
          </w:p>
        </w:tc>
        <w:tc>
          <w:tcPr/>
          <w:p>
            <w:pPr>
              <w:pStyle w:val="Compact"/>
            </w:pPr>
            <w:r>
              <w:rPr>
                <w:sz w:val="17"/>
              </w:rPr>
              <w:t xml:space="preserve">Transactions vertes / contrôlées</w:t>
            </w:r>
          </w:p>
        </w:tc>
        <w:tc>
          <w:tcPr/>
          <w:p>
            <w:pPr>
              <w:pStyle w:val="Compact"/>
            </w:pPr>
            <w:r>
              <w:rPr>
                <w:sz w:val="17"/>
              </w:rPr>
              <w:t xml:space="preserve">En hausse</w:t>
            </w:r>
          </w:p>
        </w:tc>
      </w:tr>
      <w:tr>
        <w:tc>
          <w:tcPr>
            <w:shd w:val="clear" w:color="auto" w:fill="F5F7FB"/>
          </w:tcPr>
          <w:p>
            <w:pPr>
              <w:pStyle w:val="Compact"/>
            </w:pPr>
            <w:r>
              <w:rPr>
                <w:sz w:val="17"/>
              </w:rPr>
              <w:t xml:space="preserve">CALCU</w:t>
            </w:r>
          </w:p>
        </w:tc>
        <w:tc>
          <w:tcPr>
            <w:shd w:val="clear" w:color="auto" w:fill="F5F7FB"/>
          </w:tcPr>
          <w:p>
            <w:pPr>
              <w:pStyle w:val="Compact"/>
            </w:pPr>
            <w:r>
              <w:rPr>
                <w:sz w:val="17"/>
              </w:rPr>
              <w:t xml:space="preserve">Montants récupérés</w:t>
            </w:r>
          </w:p>
        </w:tc>
        <w:tc>
          <w:tcPr>
            <w:shd w:val="clear" w:color="auto" w:fill="F5F7FB"/>
          </w:tcPr>
          <w:p>
            <w:pPr>
              <w:pStyle w:val="Compact"/>
            </w:pPr>
            <w:r>
              <w:rPr>
                <w:sz w:val="17"/>
              </w:rPr>
              <w:t xml:space="preserve">Récupérés après rapport d’anomalie</w:t>
            </w:r>
          </w:p>
        </w:tc>
        <w:tc>
          <w:tcPr>
            <w:shd w:val="clear" w:color="auto" w:fill="F5F7FB"/>
          </w:tcPr>
          <w:p>
            <w:pPr>
              <w:pStyle w:val="Compact"/>
            </w:pPr>
            <w:r>
              <w:rPr>
                <w:sz w:val="17"/>
              </w:rPr>
              <w:t xml:space="preserve">Suivi</w:t>
            </w:r>
          </w:p>
        </w:tc>
      </w:tr>
      <w:tr>
        <w:tc>
          <w:tcPr/>
          <w:p>
            <w:pPr>
              <w:pStyle w:val="Compact"/>
            </w:pPr>
            <w:r>
              <w:rPr>
                <w:b/>
                <w:bCs/>
                <w:sz w:val="17"/>
              </w:rPr>
              <w:t xml:space="preserve">Wewa</w:t>
            </w:r>
          </w:p>
        </w:tc>
        <w:tc>
          <w:tcPr/>
          <w:p>
            <w:pPr>
              <w:pStyle w:val="Compact"/>
            </w:pPr>
            <w:r>
              <w:rPr>
                <w:sz w:val="17"/>
              </w:rPr>
              <w:t xml:space="preserve">Couverture</w:t>
            </w:r>
          </w:p>
        </w:tc>
        <w:tc>
          <w:tcPr/>
          <w:p>
            <w:pPr>
              <w:pStyle w:val="Compact"/>
            </w:pPr>
            <w:r>
              <w:rPr>
                <w:sz w:val="17"/>
              </w:rPr>
              <w:t xml:space="preserve">Wewa enregistrés / estimés, par station et commune</w:t>
            </w:r>
          </w:p>
        </w:tc>
        <w:tc>
          <w:tcPr/>
          <w:p>
            <w:pPr>
              <w:pStyle w:val="Compact"/>
            </w:pPr>
            <w:r>
              <w:rPr>
                <w:sz w:val="17"/>
              </w:rPr>
              <w:t xml:space="preserve">Suivi</w:t>
            </w:r>
          </w:p>
        </w:tc>
      </w:tr>
      <w:tr>
        <w:tc>
          <w:tcPr>
            <w:shd w:val="clear" w:color="auto" w:fill="F5F7FB"/>
          </w:tcPr>
          <w:p>
            <w:pPr>
              <w:pStyle w:val="Compact"/>
            </w:pPr>
            <w:r>
              <w:rPr>
                <w:sz w:val="17"/>
              </w:rPr>
              <w:t xml:space="preserve">Wewa</w:t>
            </w:r>
          </w:p>
        </w:tc>
        <w:tc>
          <w:tcPr>
            <w:shd w:val="clear" w:color="auto" w:fill="F5F7FB"/>
          </w:tcPr>
          <w:p>
            <w:pPr>
              <w:pStyle w:val="Compact"/>
            </w:pPr>
            <w:r>
              <w:rPr>
                <w:sz w:val="17"/>
              </w:rPr>
              <w:t xml:space="preserve">Conformité du pass</w:t>
            </w:r>
          </w:p>
        </w:tc>
        <w:tc>
          <w:tcPr>
            <w:shd w:val="clear" w:color="auto" w:fill="F5F7FB"/>
          </w:tcPr>
          <w:p>
            <w:pPr>
              <w:pStyle w:val="Compact"/>
            </w:pPr>
            <w:r>
              <w:rPr>
                <w:sz w:val="17"/>
              </w:rPr>
              <w:t xml:space="preserve">Contrôles en vert / contrôles</w:t>
            </w:r>
          </w:p>
        </w:tc>
        <w:tc>
          <w:tcPr>
            <w:shd w:val="clear" w:color="auto" w:fill="F5F7FB"/>
          </w:tcPr>
          <w:p>
            <w:pPr>
              <w:pStyle w:val="Compact"/>
            </w:pPr>
            <w:r>
              <w:rPr>
                <w:sz w:val="17"/>
              </w:rPr>
              <w:t xml:space="preserve">En hausse</w:t>
            </w:r>
          </w:p>
        </w:tc>
      </w:tr>
      <w:tr>
        <w:tc>
          <w:tcPr/>
          <w:p>
            <w:pPr>
              <w:pStyle w:val="Compact"/>
            </w:pPr>
            <w:r>
              <w:rPr>
                <w:sz w:val="17"/>
              </w:rPr>
              <w:t xml:space="preserve">Wewa</w:t>
            </w:r>
          </w:p>
        </w:tc>
        <w:tc>
          <w:tcPr/>
          <w:p>
            <w:pPr>
              <w:pStyle w:val="Compact"/>
            </w:pPr>
            <w:r>
              <w:rPr>
                <w:sz w:val="17"/>
              </w:rPr>
              <w:t xml:space="preserve">Paiement numérique</w:t>
            </w:r>
          </w:p>
        </w:tc>
        <w:tc>
          <w:tcPr/>
          <w:p>
            <w:pPr>
              <w:pStyle w:val="Compact"/>
            </w:pPr>
            <w:r>
              <w:rPr>
                <w:sz w:val="17"/>
              </w:rPr>
              <w:t xml:space="preserve">Paiements du pass par canaux numériques ou points agréés / paiements</w:t>
            </w:r>
          </w:p>
        </w:tc>
        <w:tc>
          <w:tcPr/>
          <w:p>
            <w:pPr>
              <w:pStyle w:val="Compact"/>
            </w:pPr>
            <w:r>
              <w:rPr>
                <w:sz w:val="17"/>
              </w:rPr>
              <w:t xml:space="preserve">100 %</w:t>
            </w:r>
          </w:p>
        </w:tc>
      </w:tr>
      <w:tr>
        <w:tc>
          <w:tcPr>
            <w:shd w:val="clear" w:color="auto" w:fill="F5F7FB"/>
          </w:tcPr>
          <w:p>
            <w:pPr>
              <w:pStyle w:val="Compact"/>
            </w:pPr>
            <w:r>
              <w:rPr>
                <w:sz w:val="17"/>
              </w:rPr>
              <w:t xml:space="preserve">Wewa</w:t>
            </w:r>
          </w:p>
        </w:tc>
        <w:tc>
          <w:tcPr>
            <w:shd w:val="clear" w:color="auto" w:fill="F5F7FB"/>
          </w:tcPr>
          <w:p>
            <w:pPr>
              <w:pStyle w:val="Compact"/>
            </w:pPr>
            <w:r>
              <w:rPr>
                <w:sz w:val="17"/>
              </w:rPr>
              <w:t xml:space="preserve">Plaintes pour prélèvements irréguliers</w:t>
            </w:r>
          </w:p>
        </w:tc>
        <w:tc>
          <w:tcPr>
            <w:shd w:val="clear" w:color="auto" w:fill="F5F7FB"/>
          </w:tcPr>
          <w:p>
            <w:pPr>
              <w:pStyle w:val="Compact"/>
            </w:pPr>
            <w:r>
              <w:rPr>
                <w:sz w:val="17"/>
              </w:rPr>
              <w:t xml:space="preserve">Signalements confirmés</w:t>
            </w:r>
          </w:p>
        </w:tc>
        <w:tc>
          <w:tcPr>
            <w:shd w:val="clear" w:color="auto" w:fill="F5F7FB"/>
          </w:tcPr>
          <w:p>
            <w:pPr>
              <w:pStyle w:val="Compact"/>
            </w:pPr>
            <w:r>
              <w:rPr>
                <w:sz w:val="17"/>
              </w:rPr>
              <w:t xml:space="preserve">En baisse</w:t>
            </w:r>
          </w:p>
        </w:tc>
      </w:tr>
    </w:tbl>
    <w:bookmarkEnd w:id="525"/>
    <w:bookmarkStart w:id="526" w:name="h.20-chapitre-40-risques-complémentaires"/>
    <w:p>
      <w:pPr>
        <w:pStyle w:val="Heading2"/>
      </w:pPr>
      <w:r>
        <w:t xml:space="preserve">H.20 Chapitre 40 — Risques complémentaires</w:t>
      </w:r>
    </w:p>
    <w:p>
      <w:pPr>
        <w:pStyle w:val="FirstParagraph"/>
      </w:pPr>
      <w:r>
        <w:t xml:space="preserve">Échelle du § 40 (1 à 5). Conversion des sources : probabilité Faible = 2, Moyenne = 3, Élevée = 4 ; impact Moyen = 3, Élevé = 4, Très élevé = 5.</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320"/>
        <w:gridCol w:w="1320"/>
        <w:gridCol w:w="1320"/>
        <w:gridCol w:w="1320"/>
        <w:gridCol w:w="1320"/>
        <w:gridCol w:w="1320"/>
      </w:tblGrid>
      <w:tr>
        <w:trPr>
          <w:tblHeader w:val="on"/>
        </w:trPr>
        <w:tc>
          <w:tcPr>
            <w:shd w:val="clear" w:color="auto" w:fill="232C6B"/>
          </w:tcPr>
          <w:p>
            <w:pPr>
              <w:pStyle w:val="Compact"/>
            </w:pPr>
            <w:r>
              <w:rPr>
                <w:b/>
                <w:color w:val="FFFFFF"/>
                <w:sz w:val="17"/>
              </w:rPr>
              <w:t xml:space="preserve">ID</w:t>
            </w:r>
          </w:p>
        </w:tc>
        <w:tc>
          <w:tcPr>
            <w:shd w:val="clear" w:color="auto" w:fill="232C6B"/>
          </w:tcPr>
          <w:p>
            <w:pPr>
              <w:pStyle w:val="Compact"/>
            </w:pPr>
            <w:r>
              <w:rPr>
                <w:b/>
                <w:color w:val="FFFFFF"/>
                <w:sz w:val="17"/>
              </w:rPr>
              <w:t xml:space="preserve">Risque</w:t>
            </w:r>
          </w:p>
        </w:tc>
        <w:tc>
          <w:tcPr>
            <w:shd w:val="clear" w:color="auto" w:fill="232C6B"/>
          </w:tcPr>
          <w:p>
            <w:pPr>
              <w:pStyle w:val="Compact"/>
            </w:pPr>
            <w:r>
              <w:rPr>
                <w:b/>
                <w:color w:val="FFFFFF"/>
                <w:sz w:val="17"/>
              </w:rPr>
              <w:t xml:space="preserve">P</w:t>
            </w:r>
          </w:p>
        </w:tc>
        <w:tc>
          <w:tcPr>
            <w:shd w:val="clear" w:color="auto" w:fill="232C6B"/>
          </w:tcPr>
          <w:p>
            <w:pPr>
              <w:pStyle w:val="Compact"/>
            </w:pPr>
            <w:r>
              <w:rPr>
                <w:b/>
                <w:color w:val="FFFFFF"/>
                <w:sz w:val="17"/>
              </w:rPr>
              <w:t xml:space="preserve">I</w:t>
            </w:r>
          </w:p>
        </w:tc>
        <w:tc>
          <w:tcPr>
            <w:shd w:val="clear" w:color="auto" w:fill="232C6B"/>
          </w:tcPr>
          <w:p>
            <w:pPr>
              <w:pStyle w:val="Compact"/>
            </w:pPr>
            <w:r>
              <w:rPr>
                <w:b/>
                <w:color w:val="FFFFFF"/>
                <w:sz w:val="17"/>
              </w:rPr>
              <w:t xml:space="preserve">Traitement</w:t>
            </w:r>
          </w:p>
        </w:tc>
        <w:tc>
          <w:tcPr>
            <w:shd w:val="clear" w:color="auto" w:fill="232C6B"/>
          </w:tcPr>
          <w:p>
            <w:pPr>
              <w:pStyle w:val="Compact"/>
            </w:pPr>
            <w:r>
              <w:rPr>
                <w:b/>
                <w:color w:val="FFFFFF"/>
                <w:sz w:val="17"/>
              </w:rPr>
              <w:t xml:space="preserve">Propriétaire</w:t>
            </w:r>
          </w:p>
        </w:tc>
      </w:tr>
      <w:tr>
        <w:tc>
          <w:tcPr/>
          <w:p>
            <w:pPr>
              <w:pStyle w:val="Compact"/>
            </w:pPr>
            <w:r>
              <w:rPr>
                <w:sz w:val="17"/>
              </w:rPr>
              <w:t xml:space="preserve">R21</w:t>
            </w:r>
          </w:p>
        </w:tc>
        <w:tc>
          <w:tcPr/>
          <w:p>
            <w:pPr>
              <w:pStyle w:val="Compact"/>
            </w:pPr>
            <w:r>
              <w:rPr>
                <w:sz w:val="17"/>
              </w:rPr>
              <w:t xml:space="preserve">Exclusion des personnes sans téléphone</w:t>
            </w:r>
          </w:p>
        </w:tc>
        <w:tc>
          <w:tcPr/>
          <w:p>
            <w:pPr>
              <w:pStyle w:val="Compact"/>
            </w:pPr>
            <w:r>
              <w:rPr>
                <w:sz w:val="17"/>
              </w:rPr>
              <w:t xml:space="preserve">4</w:t>
            </w:r>
          </w:p>
        </w:tc>
        <w:tc>
          <w:tcPr/>
          <w:p>
            <w:pPr>
              <w:pStyle w:val="Compact"/>
            </w:pPr>
            <w:r>
              <w:rPr>
                <w:sz w:val="17"/>
              </w:rPr>
              <w:t xml:space="preserve">4</w:t>
            </w:r>
          </w:p>
        </w:tc>
        <w:tc>
          <w:tcPr/>
          <w:p>
            <w:pPr>
              <w:pStyle w:val="Compact"/>
            </w:pPr>
            <w:r>
              <w:rPr>
                <w:sz w:val="17"/>
              </w:rPr>
              <w:t xml:space="preserve">Canaux assistés, carte MOSOLO, SVI, guichets (§ H.7)</w:t>
            </w:r>
          </w:p>
        </w:tc>
        <w:tc>
          <w:tcPr/>
          <w:p>
            <w:pPr>
              <w:pStyle w:val="Compact"/>
            </w:pPr>
            <w:r>
              <w:rPr>
                <w:sz w:val="17"/>
              </w:rPr>
              <w:t xml:space="preserve">Service contribuables</w:t>
            </w:r>
          </w:p>
        </w:tc>
      </w:tr>
      <w:tr>
        <w:tc>
          <w:tcPr>
            <w:shd w:val="clear" w:color="auto" w:fill="F5F7FB"/>
          </w:tcPr>
          <w:p>
            <w:pPr>
              <w:pStyle w:val="Compact"/>
            </w:pPr>
            <w:r>
              <w:rPr>
                <w:sz w:val="17"/>
              </w:rPr>
              <w:t xml:space="preserve">R22</w:t>
            </w:r>
          </w:p>
        </w:tc>
        <w:tc>
          <w:tcPr>
            <w:shd w:val="clear" w:color="auto" w:fill="F5F7FB"/>
          </w:tcPr>
          <w:p>
            <w:pPr>
              <w:pStyle w:val="Compact"/>
            </w:pPr>
            <w:r>
              <w:rPr>
                <w:sz w:val="17"/>
              </w:rPr>
              <w:t xml:space="preserve">Sous-traitant fictif ou qui encaisse</w:t>
            </w:r>
          </w:p>
        </w:tc>
        <w:tc>
          <w:tcPr>
            <w:shd w:val="clear" w:color="auto" w:fill="F5F7FB"/>
          </w:tcPr>
          <w:p>
            <w:pPr>
              <w:pStyle w:val="Compact"/>
            </w:pPr>
            <w:r>
              <w:rPr>
                <w:sz w:val="17"/>
              </w:rPr>
              <w:t xml:space="preserve">3</w:t>
            </w:r>
          </w:p>
        </w:tc>
        <w:tc>
          <w:tcPr>
            <w:shd w:val="clear" w:color="auto" w:fill="F5F7FB"/>
          </w:tcPr>
          <w:p>
            <w:pPr>
              <w:pStyle w:val="Compact"/>
            </w:pPr>
            <w:r>
              <w:rPr>
                <w:sz w:val="17"/>
              </w:rPr>
              <w:t xml:space="preserve">5</w:t>
            </w:r>
          </w:p>
        </w:tc>
        <w:tc>
          <w:tcPr>
            <w:shd w:val="clear" w:color="auto" w:fill="F5F7FB"/>
          </w:tcPr>
          <w:p>
            <w:pPr>
              <w:pStyle w:val="Compact"/>
            </w:pPr>
            <w:r>
              <w:rPr>
                <w:sz w:val="17"/>
              </w:rPr>
              <w:t xml:space="preserve">Accréditation, contrôle qualité, contrôles mystère, aucune fonction d’encaissement</w:t>
            </w:r>
          </w:p>
        </w:tc>
        <w:tc>
          <w:tcPr>
            <w:shd w:val="clear" w:color="auto" w:fill="F5F7FB"/>
          </w:tcPr>
          <w:p>
            <w:pPr>
              <w:pStyle w:val="Compact"/>
            </w:pPr>
            <w:r>
              <w:rPr>
                <w:sz w:val="17"/>
              </w:rPr>
              <w:t xml:space="preserve">Régies, audit</w:t>
            </w:r>
          </w:p>
        </w:tc>
      </w:tr>
      <w:tr>
        <w:tc>
          <w:tcPr/>
          <w:p>
            <w:pPr>
              <w:pStyle w:val="Compact"/>
            </w:pPr>
            <w:r>
              <w:rPr>
                <w:sz w:val="17"/>
              </w:rPr>
              <w:t xml:space="preserve">R23</w:t>
            </w:r>
          </w:p>
        </w:tc>
        <w:tc>
          <w:tcPr/>
          <w:p>
            <w:pPr>
              <w:pStyle w:val="Compact"/>
            </w:pPr>
            <w:r>
              <w:rPr>
                <w:sz w:val="17"/>
              </w:rPr>
              <w:t xml:space="preserve">Point de paiement qui retient les fonds</w:t>
            </w:r>
          </w:p>
        </w:tc>
        <w:tc>
          <w:tcPr/>
          <w:p>
            <w:pPr>
              <w:pStyle w:val="Compact"/>
            </w:pPr>
            <w:r>
              <w:rPr>
                <w:sz w:val="17"/>
              </w:rPr>
              <w:t xml:space="preserve">3</w:t>
            </w:r>
          </w:p>
        </w:tc>
        <w:tc>
          <w:tcPr/>
          <w:p>
            <w:pPr>
              <w:pStyle w:val="Compact"/>
            </w:pPr>
            <w:r>
              <w:rPr>
                <w:sz w:val="17"/>
              </w:rPr>
              <w:t xml:space="preserve">4</w:t>
            </w:r>
          </w:p>
        </w:tc>
        <w:tc>
          <w:tcPr/>
          <w:p>
            <w:pPr>
              <w:pStyle w:val="Compact"/>
            </w:pPr>
            <w:r>
              <w:rPr>
                <w:sz w:val="17"/>
              </w:rPr>
              <w:t xml:space="preserve">Règlement quotidien, garantie, alerte, suspension décidée par le Trésor</w:t>
            </w:r>
          </w:p>
        </w:tc>
        <w:tc>
          <w:tcPr/>
          <w:p>
            <w:pPr>
              <w:pStyle w:val="Compact"/>
            </w:pPr>
            <w:r>
              <w:rPr>
                <w:sz w:val="17"/>
              </w:rPr>
              <w:t xml:space="preserve">Trésor</w:t>
            </w:r>
          </w:p>
        </w:tc>
      </w:tr>
      <w:tr>
        <w:tc>
          <w:tcPr>
            <w:shd w:val="clear" w:color="auto" w:fill="F5F7FB"/>
          </w:tcPr>
          <w:p>
            <w:pPr>
              <w:pStyle w:val="Compact"/>
            </w:pPr>
            <w:r>
              <w:rPr>
                <w:sz w:val="17"/>
              </w:rPr>
              <w:t xml:space="preserve">R24</w:t>
            </w:r>
          </w:p>
        </w:tc>
        <w:tc>
          <w:tcPr>
            <w:shd w:val="clear" w:color="auto" w:fill="F5F7FB"/>
          </w:tcPr>
          <w:p>
            <w:pPr>
              <w:pStyle w:val="Compact"/>
            </w:pPr>
            <w:r>
              <w:rPr>
                <w:sz w:val="17"/>
              </w:rPr>
              <w:t xml:space="preserve">Faux agents</w:t>
            </w:r>
          </w:p>
        </w:tc>
        <w:tc>
          <w:tcPr>
            <w:shd w:val="clear" w:color="auto" w:fill="F5F7FB"/>
          </w:tcPr>
          <w:p>
            <w:pPr>
              <w:pStyle w:val="Compact"/>
            </w:pPr>
            <w:r>
              <w:rPr>
                <w:sz w:val="17"/>
              </w:rPr>
              <w:t xml:space="preserve">4</w:t>
            </w:r>
          </w:p>
        </w:tc>
        <w:tc>
          <w:tcPr>
            <w:shd w:val="clear" w:color="auto" w:fill="F5F7FB"/>
          </w:tcPr>
          <w:p>
            <w:pPr>
              <w:pStyle w:val="Compact"/>
            </w:pPr>
            <w:r>
              <w:rPr>
                <w:sz w:val="17"/>
              </w:rPr>
              <w:t xml:space="preserve">4</w:t>
            </w:r>
          </w:p>
        </w:tc>
        <w:tc>
          <w:tcPr>
            <w:shd w:val="clear" w:color="auto" w:fill="F5F7FB"/>
          </w:tcPr>
          <w:p>
            <w:pPr>
              <w:pStyle w:val="Compact"/>
            </w:pPr>
            <w:r>
              <w:rPr>
                <w:sz w:val="17"/>
              </w:rPr>
              <w:t xml:space="preserve">Badge vérifiable, campagne « un agent ne demande jamais d’espèces »</w:t>
            </w:r>
          </w:p>
        </w:tc>
        <w:tc>
          <w:tcPr>
            <w:shd w:val="clear" w:color="auto" w:fill="F5F7FB"/>
          </w:tcPr>
          <w:p>
            <w:pPr>
              <w:pStyle w:val="Compact"/>
            </w:pPr>
            <w:r>
              <w:rPr>
                <w:sz w:val="17"/>
              </w:rPr>
              <w:t xml:space="preserve">Programme</w:t>
            </w:r>
          </w:p>
        </w:tc>
      </w:tr>
      <w:tr>
        <w:tc>
          <w:tcPr/>
          <w:p>
            <w:pPr>
              <w:pStyle w:val="Compact"/>
            </w:pPr>
            <w:r>
              <w:rPr>
                <w:sz w:val="17"/>
              </w:rPr>
              <w:t xml:space="preserve">R25</w:t>
            </w:r>
          </w:p>
        </w:tc>
        <w:tc>
          <w:tcPr/>
          <w:p>
            <w:pPr>
              <w:pStyle w:val="Compact"/>
            </w:pPr>
            <w:r>
              <w:rPr>
                <w:sz w:val="17"/>
              </w:rPr>
              <w:t xml:space="preserve">Consentement contesté (assisté)</w:t>
            </w:r>
          </w:p>
        </w:tc>
        <w:tc>
          <w:tcPr/>
          <w:p>
            <w:pPr>
              <w:pStyle w:val="Compact"/>
            </w:pPr>
            <w:r>
              <w:rPr>
                <w:sz w:val="17"/>
              </w:rPr>
              <w:t xml:space="preserve">3</w:t>
            </w:r>
          </w:p>
        </w:tc>
        <w:tc>
          <w:tcPr/>
          <w:p>
            <w:pPr>
              <w:pStyle w:val="Compact"/>
            </w:pPr>
            <w:r>
              <w:rPr>
                <w:sz w:val="17"/>
              </w:rPr>
              <w:t xml:space="preserve">3</w:t>
            </w:r>
          </w:p>
        </w:tc>
        <w:tc>
          <w:tcPr/>
          <w:p>
            <w:pPr>
              <w:pStyle w:val="Compact"/>
            </w:pPr>
            <w:r>
              <w:rPr>
                <w:sz w:val="17"/>
              </w:rPr>
              <w:t xml:space="preserve">Lecture audio, enregistrement, témoin, J18</w:t>
            </w:r>
          </w:p>
        </w:tc>
        <w:tc>
          <w:tcPr/>
          <w:p>
            <w:pPr>
              <w:pStyle w:val="Compact"/>
            </w:pPr>
            <w:r>
              <w:rPr>
                <w:sz w:val="17"/>
              </w:rPr>
              <w:t xml:space="preserve">DPD</w:t>
            </w:r>
          </w:p>
        </w:tc>
      </w:tr>
      <w:tr>
        <w:tc>
          <w:tcPr>
            <w:shd w:val="clear" w:color="auto" w:fill="F5F7FB"/>
          </w:tcPr>
          <w:p>
            <w:pPr>
              <w:pStyle w:val="Compact"/>
            </w:pPr>
            <w:r>
              <w:rPr>
                <w:sz w:val="17"/>
              </w:rPr>
              <w:t xml:space="preserve">R26</w:t>
            </w:r>
          </w:p>
        </w:tc>
        <w:tc>
          <w:tcPr>
            <w:shd w:val="clear" w:color="auto" w:fill="F5F7FB"/>
          </w:tcPr>
          <w:p>
            <w:pPr>
              <w:pStyle w:val="Compact"/>
            </w:pPr>
            <w:r>
              <w:rPr>
                <w:sz w:val="17"/>
              </w:rPr>
              <w:t xml:space="preserve">Capture d’écran d’un titre</w:t>
            </w:r>
          </w:p>
        </w:tc>
        <w:tc>
          <w:tcPr>
            <w:shd w:val="clear" w:color="auto" w:fill="F5F7FB"/>
          </w:tcPr>
          <w:p>
            <w:pPr>
              <w:pStyle w:val="Compact"/>
            </w:pPr>
            <w:r>
              <w:rPr>
                <w:sz w:val="17"/>
              </w:rPr>
              <w:t xml:space="preserve">4</w:t>
            </w:r>
          </w:p>
        </w:tc>
        <w:tc>
          <w:tcPr>
            <w:shd w:val="clear" w:color="auto" w:fill="F5F7FB"/>
          </w:tcPr>
          <w:p>
            <w:pPr>
              <w:pStyle w:val="Compact"/>
            </w:pPr>
            <w:r>
              <w:rPr>
                <w:sz w:val="17"/>
              </w:rPr>
              <w:t xml:space="preserve">3</w:t>
            </w:r>
          </w:p>
        </w:tc>
        <w:tc>
          <w:tcPr>
            <w:shd w:val="clear" w:color="auto" w:fill="F5F7FB"/>
          </w:tcPr>
          <w:p>
            <w:pPr>
              <w:pStyle w:val="Compact"/>
            </w:pPr>
            <w:r>
              <w:rPr>
                <w:sz w:val="17"/>
              </w:rPr>
              <w:t xml:space="preserve">QR dynamique régénéré toutes les 30 s</w:t>
            </w:r>
          </w:p>
        </w:tc>
        <w:tc>
          <w:tcPr>
            <w:shd w:val="clear" w:color="auto" w:fill="F5F7FB"/>
          </w:tcPr>
          <w:p>
            <w:pPr>
              <w:pStyle w:val="Compact"/>
            </w:pPr>
            <w:r>
              <w:rPr>
                <w:sz w:val="17"/>
              </w:rPr>
              <w:t xml:space="preserve">Programme</w:t>
            </w:r>
          </w:p>
        </w:tc>
      </w:tr>
      <w:tr>
        <w:tc>
          <w:tcPr/>
          <w:p>
            <w:pPr>
              <w:pStyle w:val="Compact"/>
            </w:pPr>
            <w:r>
              <w:rPr>
                <w:sz w:val="17"/>
              </w:rPr>
              <w:t xml:space="preserve">R27</w:t>
            </w:r>
          </w:p>
        </w:tc>
        <w:tc>
          <w:tcPr/>
          <w:p>
            <w:pPr>
              <w:pStyle w:val="Compact"/>
            </w:pPr>
            <w:r>
              <w:rPr>
                <w:sz w:val="17"/>
              </w:rPr>
              <w:t xml:space="preserve">Heure falsifiée sur le terminal</w:t>
            </w:r>
          </w:p>
        </w:tc>
        <w:tc>
          <w:tcPr/>
          <w:p>
            <w:pPr>
              <w:pStyle w:val="Compact"/>
            </w:pPr>
            <w:r>
              <w:rPr>
                <w:sz w:val="17"/>
              </w:rPr>
              <w:t xml:space="preserve">3</w:t>
            </w:r>
          </w:p>
        </w:tc>
        <w:tc>
          <w:tcPr/>
          <w:p>
            <w:pPr>
              <w:pStyle w:val="Compact"/>
            </w:pPr>
            <w:r>
              <w:rPr>
                <w:sz w:val="17"/>
              </w:rPr>
              <w:t xml:space="preserve">3</w:t>
            </w:r>
          </w:p>
        </w:tc>
        <w:tc>
          <w:tcPr/>
          <w:p>
            <w:pPr>
              <w:pStyle w:val="Compact"/>
            </w:pPr>
            <w:r>
              <w:rPr>
                <w:sz w:val="17"/>
              </w:rPr>
              <w:t xml:space="preserve">Heure serveur de référence</w:t>
            </w:r>
          </w:p>
        </w:tc>
        <w:tc>
          <w:tcPr/>
          <w:p>
            <w:pPr>
              <w:pStyle w:val="Compact"/>
            </w:pPr>
            <w:r>
              <w:rPr>
                <w:sz w:val="17"/>
              </w:rPr>
              <w:t xml:space="preserve">DSI</w:t>
            </w:r>
          </w:p>
        </w:tc>
      </w:tr>
      <w:tr>
        <w:tc>
          <w:tcPr>
            <w:shd w:val="clear" w:color="auto" w:fill="F5F7FB"/>
          </w:tcPr>
          <w:p>
            <w:pPr>
              <w:pStyle w:val="Compact"/>
            </w:pPr>
            <w:r>
              <w:rPr>
                <w:sz w:val="17"/>
              </w:rPr>
              <w:t xml:space="preserve">R28</w:t>
            </w:r>
          </w:p>
        </w:tc>
        <w:tc>
          <w:tcPr>
            <w:shd w:val="clear" w:color="auto" w:fill="F5F7FB"/>
          </w:tcPr>
          <w:p>
            <w:pPr>
              <w:pStyle w:val="Compact"/>
            </w:pPr>
            <w:r>
              <w:rPr>
                <w:sz w:val="17"/>
              </w:rPr>
              <w:t xml:space="preserve">Conflit entre entités sur un même fait générateur</w:t>
            </w:r>
          </w:p>
        </w:tc>
        <w:tc>
          <w:tcPr>
            <w:shd w:val="clear" w:color="auto" w:fill="F5F7FB"/>
          </w:tcPr>
          <w:p>
            <w:pPr>
              <w:pStyle w:val="Compact"/>
            </w:pPr>
            <w:r>
              <w:rPr>
                <w:sz w:val="17"/>
              </w:rPr>
              <w:t xml:space="preserve">4</w:t>
            </w:r>
          </w:p>
        </w:tc>
        <w:tc>
          <w:tcPr>
            <w:shd w:val="clear" w:color="auto" w:fill="F5F7FB"/>
          </w:tcPr>
          <w:p>
            <w:pPr>
              <w:pStyle w:val="Compact"/>
            </w:pPr>
            <w:r>
              <w:rPr>
                <w:sz w:val="17"/>
              </w:rPr>
              <w:t xml:space="preserve">4</w:t>
            </w:r>
          </w:p>
        </w:tc>
        <w:tc>
          <w:tcPr>
            <w:shd w:val="clear" w:color="auto" w:fill="F5F7FB"/>
          </w:tcPr>
          <w:p>
            <w:pPr>
              <w:pStyle w:val="Compact"/>
            </w:pPr>
            <w:r>
              <w:rPr>
                <w:sz w:val="17"/>
              </w:rPr>
              <w:t xml:space="preserve">Blocage de la seconde obligation, arbitrage (J22)</w:t>
            </w:r>
          </w:p>
        </w:tc>
        <w:tc>
          <w:tcPr>
            <w:shd w:val="clear" w:color="auto" w:fill="F5F7FB"/>
          </w:tcPr>
          <w:p>
            <w:pPr>
              <w:pStyle w:val="Compact"/>
            </w:pPr>
            <w:r>
              <w:rPr>
                <w:sz w:val="17"/>
              </w:rPr>
              <w:t xml:space="preserve">Comité juridique et tarifaire</w:t>
            </w:r>
          </w:p>
        </w:tc>
      </w:tr>
      <w:tr>
        <w:tc>
          <w:tcPr/>
          <w:p>
            <w:pPr>
              <w:pStyle w:val="Compact"/>
            </w:pPr>
            <w:r>
              <w:rPr>
                <w:sz w:val="17"/>
              </w:rPr>
              <w:t xml:space="preserve">R29</w:t>
            </w:r>
          </w:p>
        </w:tc>
        <w:tc>
          <w:tcPr/>
          <w:p>
            <w:pPr>
              <w:pStyle w:val="Compact"/>
            </w:pPr>
            <w:r>
              <w:rPr>
                <w:sz w:val="17"/>
              </w:rPr>
              <w:t xml:space="preserve">Complexité de configuration des modules</w:t>
            </w:r>
          </w:p>
        </w:tc>
        <w:tc>
          <w:tcPr/>
          <w:p>
            <w:pPr>
              <w:pStyle w:val="Compact"/>
            </w:pPr>
            <w:r>
              <w:rPr>
                <w:sz w:val="17"/>
              </w:rPr>
              <w:t xml:space="preserve">3</w:t>
            </w:r>
          </w:p>
        </w:tc>
        <w:tc>
          <w:tcPr/>
          <w:p>
            <w:pPr>
              <w:pStyle w:val="Compact"/>
            </w:pPr>
            <w:r>
              <w:rPr>
                <w:sz w:val="17"/>
              </w:rPr>
              <w:t xml:space="preserve">3</w:t>
            </w:r>
          </w:p>
        </w:tc>
        <w:tc>
          <w:tcPr/>
          <w:p>
            <w:pPr>
              <w:pStyle w:val="Compact"/>
            </w:pPr>
            <w:r>
              <w:rPr>
                <w:sz w:val="17"/>
              </w:rPr>
              <w:t xml:space="preserve">Fiche de configuration, recette obligatoire</w:t>
            </w:r>
          </w:p>
        </w:tc>
        <w:tc>
          <w:tcPr/>
          <w:p>
            <w:pPr>
              <w:pStyle w:val="Compact"/>
            </w:pPr>
            <w:r>
              <w:rPr>
                <w:sz w:val="17"/>
              </w:rPr>
              <w:t xml:space="preserve">Bureau du programme</w:t>
            </w:r>
          </w:p>
        </w:tc>
      </w:tr>
      <w:tr>
        <w:tc>
          <w:tcPr>
            <w:shd w:val="clear" w:color="auto" w:fill="F5F7FB"/>
          </w:tcPr>
          <w:p>
            <w:pPr>
              <w:pStyle w:val="Compact"/>
            </w:pPr>
            <w:r>
              <w:rPr>
                <w:sz w:val="17"/>
              </w:rPr>
              <w:t xml:space="preserve">R30</w:t>
            </w:r>
          </w:p>
        </w:tc>
        <w:tc>
          <w:tcPr>
            <w:shd w:val="clear" w:color="auto" w:fill="F5F7FB"/>
          </w:tcPr>
          <w:p>
            <w:pPr>
              <w:pStyle w:val="Compact"/>
            </w:pPr>
            <w:r>
              <w:rPr>
                <w:sz w:val="17"/>
              </w:rPr>
              <w:t xml:space="preserve">Opérateur délégué collectant hors plateforme</w:t>
            </w:r>
          </w:p>
        </w:tc>
        <w:tc>
          <w:tcPr>
            <w:shd w:val="clear" w:color="auto" w:fill="F5F7FB"/>
          </w:tcPr>
          <w:p>
            <w:pPr>
              <w:pStyle w:val="Compact"/>
            </w:pPr>
            <w:r>
              <w:rPr>
                <w:sz w:val="17"/>
              </w:rPr>
              <w:t xml:space="preserve">3</w:t>
            </w:r>
          </w:p>
        </w:tc>
        <w:tc>
          <w:tcPr>
            <w:shd w:val="clear" w:color="auto" w:fill="F5F7FB"/>
          </w:tcPr>
          <w:p>
            <w:pPr>
              <w:pStyle w:val="Compact"/>
            </w:pPr>
            <w:r>
              <w:rPr>
                <w:sz w:val="17"/>
              </w:rPr>
              <w:t xml:space="preserve">4</w:t>
            </w:r>
          </w:p>
        </w:tc>
        <w:tc>
          <w:tcPr>
            <w:shd w:val="clear" w:color="auto" w:fill="F5F7FB"/>
          </w:tcPr>
          <w:p>
            <w:pPr>
              <w:pStyle w:val="Compact"/>
            </w:pPr>
            <w:r>
              <w:rPr>
                <w:sz w:val="17"/>
              </w:rPr>
              <w:t xml:space="preserve">Titre valable seulement s’il est émis par MOSOLO ; contrôles</w:t>
            </w:r>
          </w:p>
        </w:tc>
        <w:tc>
          <w:tcPr>
            <w:shd w:val="clear" w:color="auto" w:fill="F5F7FB"/>
          </w:tcPr>
          <w:p>
            <w:pPr>
              <w:pStyle w:val="Compact"/>
            </w:pPr>
            <w:r>
              <w:rPr>
                <w:sz w:val="17"/>
              </w:rPr>
              <w:t xml:space="preserve">Entités responsables</w:t>
            </w:r>
          </w:p>
        </w:tc>
      </w:tr>
      <w:tr>
        <w:tc>
          <w:tcPr/>
          <w:p>
            <w:pPr>
              <w:pStyle w:val="Compact"/>
            </w:pPr>
            <w:r>
              <w:rPr>
                <w:sz w:val="17"/>
              </w:rPr>
              <w:t xml:space="preserve">R31</w:t>
            </w:r>
          </w:p>
        </w:tc>
        <w:tc>
          <w:tcPr/>
          <w:p>
            <w:pPr>
              <w:pStyle w:val="Compact"/>
            </w:pPr>
            <w:r>
              <w:rPr>
                <w:sz w:val="17"/>
              </w:rPr>
              <w:t xml:space="preserve">Pression pour réintroduire un partage automatique de recettes</w:t>
            </w:r>
          </w:p>
        </w:tc>
        <w:tc>
          <w:tcPr/>
          <w:p>
            <w:pPr>
              <w:pStyle w:val="Compact"/>
            </w:pPr>
            <w:r>
              <w:rPr>
                <w:sz w:val="17"/>
              </w:rPr>
              <w:t xml:space="preserve">3</w:t>
            </w:r>
          </w:p>
        </w:tc>
        <w:tc>
          <w:tcPr/>
          <w:p>
            <w:pPr>
              <w:pStyle w:val="Compact"/>
            </w:pPr>
            <w:r>
              <w:rPr>
                <w:sz w:val="17"/>
              </w:rPr>
              <w:t xml:space="preserve">5</w:t>
            </w:r>
          </w:p>
        </w:tc>
        <w:tc>
          <w:tcPr/>
          <w:p>
            <w:pPr>
              <w:pStyle w:val="Compact"/>
            </w:pPr>
            <w:r>
              <w:rPr>
                <w:sz w:val="17"/>
              </w:rPr>
              <w:t xml:space="preserve">Position v3.0 (§ 37.2), avis juridique J11, décision n° 9</w:t>
            </w:r>
          </w:p>
        </w:tc>
        <w:tc>
          <w:tcPr/>
          <w:p>
            <w:pPr>
              <w:pStyle w:val="Compact"/>
            </w:pPr>
            <w:r>
              <w:rPr>
                <w:sz w:val="17"/>
              </w:rPr>
              <w:t xml:space="preserve">Comité de pilotage</w:t>
            </w:r>
          </w:p>
        </w:tc>
      </w:tr>
      <w:tr>
        <w:tc>
          <w:tcPr>
            <w:shd w:val="clear" w:color="auto" w:fill="F5F7FB"/>
          </w:tcPr>
          <w:p>
            <w:pPr>
              <w:pStyle w:val="Compact"/>
            </w:pPr>
            <w:r>
              <w:rPr>
                <w:sz w:val="17"/>
              </w:rPr>
              <w:t xml:space="preserve">R32</w:t>
            </w:r>
          </w:p>
        </w:tc>
        <w:tc>
          <w:tcPr>
            <w:shd w:val="clear" w:color="auto" w:fill="F5F7FB"/>
          </w:tcPr>
          <w:p>
            <w:pPr>
              <w:pStyle w:val="Compact"/>
            </w:pPr>
            <w:r>
              <w:rPr>
                <w:sz w:val="17"/>
              </w:rPr>
              <w:t xml:space="preserve">Incitations poussant à la surtaxation</w:t>
            </w:r>
          </w:p>
        </w:tc>
        <w:tc>
          <w:tcPr>
            <w:shd w:val="clear" w:color="auto" w:fill="F5F7FB"/>
          </w:tcPr>
          <w:p>
            <w:pPr>
              <w:pStyle w:val="Compact"/>
            </w:pPr>
            <w:r>
              <w:rPr>
                <w:sz w:val="17"/>
              </w:rPr>
              <w:t xml:space="preserve">2</w:t>
            </w:r>
          </w:p>
        </w:tc>
        <w:tc>
          <w:tcPr>
            <w:shd w:val="clear" w:color="auto" w:fill="F5F7FB"/>
          </w:tcPr>
          <w:p>
            <w:pPr>
              <w:pStyle w:val="Compact"/>
            </w:pPr>
            <w:r>
              <w:rPr>
                <w:sz w:val="17"/>
              </w:rPr>
              <w:t xml:space="preserve">4</w:t>
            </w:r>
          </w:p>
        </w:tc>
        <w:tc>
          <w:tcPr>
            <w:shd w:val="clear" w:color="auto" w:fill="F5F7FB"/>
          </w:tcPr>
          <w:p>
            <w:pPr>
              <w:pStyle w:val="Compact"/>
            </w:pPr>
            <w:r>
              <w:rPr>
                <w:sz w:val="17"/>
              </w:rPr>
              <w:t xml:space="preserve">Primes éventuelles jamais liées au montant liquidé ; qualité pondératrice</w:t>
            </w:r>
          </w:p>
        </w:tc>
        <w:tc>
          <w:tcPr>
            <w:shd w:val="clear" w:color="auto" w:fill="F5F7FB"/>
          </w:tcPr>
          <w:p>
            <w:pPr>
              <w:pStyle w:val="Compact"/>
            </w:pPr>
            <w:r>
              <w:rPr>
                <w:sz w:val="17"/>
              </w:rPr>
              <w:t xml:space="preserve">Finances</w:t>
            </w:r>
          </w:p>
        </w:tc>
      </w:tr>
      <w:tr>
        <w:tc>
          <w:tcPr/>
          <w:p>
            <w:pPr>
              <w:pStyle w:val="Compact"/>
            </w:pPr>
            <w:r>
              <w:rPr>
                <w:sz w:val="17"/>
              </w:rPr>
              <w:t xml:space="preserve">R33</w:t>
            </w:r>
          </w:p>
        </w:tc>
        <w:tc>
          <w:tcPr/>
          <w:p>
            <w:pPr>
              <w:pStyle w:val="Compact"/>
            </w:pPr>
            <w:r>
              <w:rPr>
                <w:sz w:val="17"/>
              </w:rPr>
              <w:t xml:space="preserve">Concurrence entre ministères pour le rattachement des modules</w:t>
            </w:r>
          </w:p>
        </w:tc>
        <w:tc>
          <w:tcPr/>
          <w:p>
            <w:pPr>
              <w:pStyle w:val="Compact"/>
            </w:pPr>
            <w:r>
              <w:rPr>
                <w:sz w:val="17"/>
              </w:rPr>
              <w:t xml:space="preserve">3</w:t>
            </w:r>
          </w:p>
        </w:tc>
        <w:tc>
          <w:tcPr/>
          <w:p>
            <w:pPr>
              <w:pStyle w:val="Compact"/>
            </w:pPr>
            <w:r>
              <w:rPr>
                <w:sz w:val="17"/>
              </w:rPr>
              <w:t xml:space="preserve">3</w:t>
            </w:r>
          </w:p>
        </w:tc>
        <w:tc>
          <w:tcPr/>
          <w:p>
            <w:pPr>
              <w:pStyle w:val="Compact"/>
            </w:pPr>
            <w:r>
              <w:rPr>
                <w:sz w:val="17"/>
              </w:rPr>
              <w:t xml:space="preserve">Rattachement sur arrêté, seconde validation ; aucune part liée</w:t>
            </w:r>
          </w:p>
        </w:tc>
        <w:tc>
          <w:tcPr/>
          <w:p>
            <w:pPr>
              <w:pStyle w:val="Compact"/>
            </w:pPr>
            <w:r>
              <w:rPr>
                <w:sz w:val="17"/>
              </w:rPr>
              <w:t xml:space="preserve">Comité de pilotage</w:t>
            </w:r>
          </w:p>
        </w:tc>
      </w:tr>
      <w:tr>
        <w:tc>
          <w:tcPr>
            <w:shd w:val="clear" w:color="auto" w:fill="F5F7FB"/>
          </w:tcPr>
          <w:p>
            <w:pPr>
              <w:pStyle w:val="Compact"/>
            </w:pPr>
            <w:r>
              <w:rPr>
                <w:sz w:val="17"/>
              </w:rPr>
              <w:t xml:space="preserve">R34</w:t>
            </w:r>
          </w:p>
        </w:tc>
        <w:tc>
          <w:tcPr>
            <w:shd w:val="clear" w:color="auto" w:fill="F5F7FB"/>
          </w:tcPr>
          <w:p>
            <w:pPr>
              <w:pStyle w:val="Compact"/>
            </w:pPr>
            <w:r>
              <w:rPr>
                <w:sz w:val="17"/>
              </w:rPr>
              <w:t xml:space="preserve">Invitations abusives</w:t>
            </w:r>
          </w:p>
        </w:tc>
        <w:tc>
          <w:tcPr>
            <w:shd w:val="clear" w:color="auto" w:fill="F5F7FB"/>
          </w:tcPr>
          <w:p>
            <w:pPr>
              <w:pStyle w:val="Compact"/>
            </w:pPr>
            <w:r>
              <w:rPr>
                <w:sz w:val="17"/>
              </w:rPr>
              <w:t xml:space="preserve">3</w:t>
            </w:r>
          </w:p>
        </w:tc>
        <w:tc>
          <w:tcPr>
            <w:shd w:val="clear" w:color="auto" w:fill="F5F7FB"/>
          </w:tcPr>
          <w:p>
            <w:pPr>
              <w:pStyle w:val="Compact"/>
            </w:pPr>
            <w:r>
              <w:rPr>
                <w:sz w:val="17"/>
              </w:rPr>
              <w:t xml:space="preserve">4</w:t>
            </w:r>
          </w:p>
        </w:tc>
        <w:tc>
          <w:tcPr>
            <w:shd w:val="clear" w:color="auto" w:fill="F5F7FB"/>
          </w:tcPr>
          <w:p>
            <w:pPr>
              <w:pStyle w:val="Compact"/>
            </w:pPr>
            <w:r>
              <w:rPr>
                <w:sz w:val="17"/>
              </w:rPr>
              <w:t xml:space="preserve">Pas d’élévation, seconde validation, revues</w:t>
            </w:r>
          </w:p>
        </w:tc>
        <w:tc>
          <w:tcPr>
            <w:shd w:val="clear" w:color="auto" w:fill="F5F7FB"/>
          </w:tcPr>
          <w:p>
            <w:pPr>
              <w:pStyle w:val="Compact"/>
            </w:pPr>
            <w:r>
              <w:rPr>
                <w:sz w:val="17"/>
              </w:rPr>
              <w:t xml:space="preserve">Administrateurs d’entité</w:t>
            </w:r>
          </w:p>
        </w:tc>
      </w:tr>
      <w:tr>
        <w:tc>
          <w:tcPr/>
          <w:p>
            <w:pPr>
              <w:pStyle w:val="Compact"/>
            </w:pPr>
            <w:r>
              <w:rPr>
                <w:sz w:val="17"/>
              </w:rPr>
              <w:t xml:space="preserve">R35</w:t>
            </w:r>
          </w:p>
        </w:tc>
        <w:tc>
          <w:tcPr/>
          <w:p>
            <w:pPr>
              <w:pStyle w:val="Compact"/>
            </w:pPr>
            <w:r>
              <w:rPr>
                <w:sz w:val="17"/>
              </w:rPr>
              <w:t xml:space="preserve">Hameçonnage par faux liens d’invitation</w:t>
            </w:r>
          </w:p>
        </w:tc>
        <w:tc>
          <w:tcPr/>
          <w:p>
            <w:pPr>
              <w:pStyle w:val="Compact"/>
            </w:pPr>
            <w:r>
              <w:rPr>
                <w:sz w:val="17"/>
              </w:rPr>
              <w:t xml:space="preserve">4</w:t>
            </w:r>
          </w:p>
        </w:tc>
        <w:tc>
          <w:tcPr/>
          <w:p>
            <w:pPr>
              <w:pStyle w:val="Compact"/>
            </w:pPr>
            <w:r>
              <w:rPr>
                <w:sz w:val="17"/>
              </w:rPr>
              <w:t xml:space="preserve">4</w:t>
            </w:r>
          </w:p>
        </w:tc>
        <w:tc>
          <w:tcPr/>
          <w:p>
            <w:pPr>
              <w:pStyle w:val="Compact"/>
            </w:pPr>
            <w:r>
              <w:rPr>
                <w:sz w:val="17"/>
              </w:rPr>
              <w:t xml:space="preserve">Liens liés au numéro, usage unique, expéditeurs publiés</w:t>
            </w:r>
          </w:p>
        </w:tc>
        <w:tc>
          <w:tcPr/>
          <w:p>
            <w:pPr>
              <w:pStyle w:val="Compact"/>
            </w:pPr>
            <w:r>
              <w:rPr>
                <w:sz w:val="17"/>
              </w:rPr>
              <w:t xml:space="preserve">RSSI</w:t>
            </w:r>
          </w:p>
        </w:tc>
      </w:tr>
      <w:tr>
        <w:tc>
          <w:tcPr>
            <w:shd w:val="clear" w:color="auto" w:fill="F5F7FB"/>
          </w:tcPr>
          <w:p>
            <w:pPr>
              <w:pStyle w:val="Compact"/>
            </w:pPr>
            <w:r>
              <w:rPr>
                <w:sz w:val="17"/>
              </w:rPr>
              <w:t xml:space="preserve">R36</w:t>
            </w:r>
          </w:p>
        </w:tc>
        <w:tc>
          <w:tcPr>
            <w:shd w:val="clear" w:color="auto" w:fill="F5F7FB"/>
          </w:tcPr>
          <w:p>
            <w:pPr>
              <w:pStyle w:val="Compact"/>
            </w:pPr>
            <w:r>
              <w:rPr>
                <w:sz w:val="17"/>
              </w:rPr>
              <w:t xml:space="preserve">Opérateur d’accès inscrivant des personnes fictives</w:t>
            </w:r>
          </w:p>
        </w:tc>
        <w:tc>
          <w:tcPr>
            <w:shd w:val="clear" w:color="auto" w:fill="F5F7FB"/>
          </w:tcPr>
          <w:p>
            <w:pPr>
              <w:pStyle w:val="Compact"/>
            </w:pPr>
            <w:r>
              <w:rPr>
                <w:sz w:val="17"/>
              </w:rPr>
              <w:t xml:space="preserve">2</w:t>
            </w:r>
          </w:p>
        </w:tc>
        <w:tc>
          <w:tcPr>
            <w:shd w:val="clear" w:color="auto" w:fill="F5F7FB"/>
          </w:tcPr>
          <w:p>
            <w:pPr>
              <w:pStyle w:val="Compact"/>
            </w:pPr>
            <w:r>
              <w:rPr>
                <w:sz w:val="17"/>
              </w:rPr>
              <w:t xml:space="preserve">4</w:t>
            </w:r>
          </w:p>
        </w:tc>
        <w:tc>
          <w:tcPr>
            <w:shd w:val="clear" w:color="auto" w:fill="F5F7FB"/>
          </w:tcPr>
          <w:p>
            <w:pPr>
              <w:pStyle w:val="Compact"/>
            </w:pPr>
            <w:r>
              <w:rPr>
                <w:sz w:val="17"/>
              </w:rPr>
              <w:t xml:space="preserve">Uniquement des personnes déjà invitées ; présence ; géolocalisation ; audit</w:t>
            </w:r>
          </w:p>
        </w:tc>
        <w:tc>
          <w:tcPr>
            <w:shd w:val="clear" w:color="auto" w:fill="F5F7FB"/>
          </w:tcPr>
          <w:p>
            <w:pPr>
              <w:pStyle w:val="Compact"/>
            </w:pPr>
            <w:r>
              <w:rPr>
                <w:sz w:val="17"/>
              </w:rPr>
              <w:t xml:space="preserve">Audit</w:t>
            </w:r>
          </w:p>
        </w:tc>
      </w:tr>
      <w:tr>
        <w:tc>
          <w:tcPr/>
          <w:p>
            <w:pPr>
              <w:pStyle w:val="Compact"/>
            </w:pPr>
            <w:r>
              <w:rPr>
                <w:sz w:val="17"/>
              </w:rPr>
              <w:t xml:space="preserve">R37</w:t>
            </w:r>
          </w:p>
        </w:tc>
        <w:tc>
          <w:tcPr/>
          <w:p>
            <w:pPr>
              <w:pStyle w:val="Compact"/>
            </w:pPr>
            <w:r>
              <w:rPr>
                <w:sz w:val="17"/>
              </w:rPr>
              <w:t xml:space="preserve">Administrateur de la plateforme trop puissant</w:t>
            </w:r>
          </w:p>
        </w:tc>
        <w:tc>
          <w:tcPr/>
          <w:p>
            <w:pPr>
              <w:pStyle w:val="Compact"/>
            </w:pPr>
            <w:r>
              <w:rPr>
                <w:sz w:val="17"/>
              </w:rPr>
              <w:t xml:space="preserve">2</w:t>
            </w:r>
          </w:p>
        </w:tc>
        <w:tc>
          <w:tcPr/>
          <w:p>
            <w:pPr>
              <w:pStyle w:val="Compact"/>
            </w:pPr>
            <w:r>
              <w:rPr>
                <w:sz w:val="17"/>
              </w:rPr>
              <w:t xml:space="preserve">5</w:t>
            </w:r>
          </w:p>
        </w:tc>
        <w:tc>
          <w:tcPr/>
          <w:p>
            <w:pPr>
              <w:pStyle w:val="Compact"/>
            </w:pPr>
            <w:r>
              <w:rPr>
                <w:sz w:val="17"/>
              </w:rPr>
              <w:t xml:space="preserve">Garde-fous § H.6.8 ; journalisation vers SIEM</w:t>
            </w:r>
          </w:p>
        </w:tc>
        <w:tc>
          <w:tcPr/>
          <w:p>
            <w:pPr>
              <w:pStyle w:val="Compact"/>
            </w:pPr>
            <w:r>
              <w:rPr>
                <w:sz w:val="17"/>
              </w:rPr>
              <w:t xml:space="preserve">RSSI, audit</w:t>
            </w:r>
          </w:p>
        </w:tc>
      </w:tr>
      <w:tr>
        <w:tc>
          <w:tcPr>
            <w:shd w:val="clear" w:color="auto" w:fill="F5F7FB"/>
          </w:tcPr>
          <w:p>
            <w:pPr>
              <w:pStyle w:val="Compact"/>
            </w:pPr>
            <w:r>
              <w:rPr>
                <w:sz w:val="17"/>
              </w:rPr>
              <w:t xml:space="preserve">R38</w:t>
            </w:r>
          </w:p>
        </w:tc>
        <w:tc>
          <w:tcPr>
            <w:shd w:val="clear" w:color="auto" w:fill="F5F7FB"/>
          </w:tcPr>
          <w:p>
            <w:pPr>
              <w:pStyle w:val="Compact"/>
            </w:pPr>
            <w:r>
              <w:rPr>
                <w:sz w:val="17"/>
              </w:rPr>
              <w:t xml:space="preserve">Vente en espèces par des vendeurs de billetterie</w:t>
            </w:r>
          </w:p>
        </w:tc>
        <w:tc>
          <w:tcPr>
            <w:shd w:val="clear" w:color="auto" w:fill="F5F7FB"/>
          </w:tcPr>
          <w:p>
            <w:pPr>
              <w:pStyle w:val="Compact"/>
            </w:pPr>
            <w:r>
              <w:rPr>
                <w:sz w:val="17"/>
              </w:rPr>
              <w:t xml:space="preserve">4</w:t>
            </w:r>
          </w:p>
        </w:tc>
        <w:tc>
          <w:tcPr>
            <w:shd w:val="clear" w:color="auto" w:fill="F5F7FB"/>
          </w:tcPr>
          <w:p>
            <w:pPr>
              <w:pStyle w:val="Compact"/>
            </w:pPr>
            <w:r>
              <w:rPr>
                <w:sz w:val="17"/>
              </w:rPr>
              <w:t xml:space="preserve">4</w:t>
            </w:r>
          </w:p>
        </w:tc>
        <w:tc>
          <w:tcPr>
            <w:shd w:val="clear" w:color="auto" w:fill="F5F7FB"/>
          </w:tcPr>
          <w:p>
            <w:pPr>
              <w:pStyle w:val="Compact"/>
            </w:pPr>
            <w:r>
              <w:rPr>
                <w:sz w:val="17"/>
              </w:rPr>
              <w:t xml:space="preserve">Espèces seulement chez des points agréés régulés (J25)</w:t>
            </w:r>
          </w:p>
        </w:tc>
        <w:tc>
          <w:tcPr>
            <w:shd w:val="clear" w:color="auto" w:fill="F5F7FB"/>
          </w:tcPr>
          <w:p>
            <w:pPr>
              <w:pStyle w:val="Compact"/>
            </w:pPr>
            <w:r>
              <w:rPr>
                <w:sz w:val="17"/>
              </w:rPr>
              <w:t xml:space="preserve">Entités, Trésor</w:t>
            </w:r>
          </w:p>
        </w:tc>
      </w:tr>
      <w:tr>
        <w:tc>
          <w:tcPr/>
          <w:p>
            <w:pPr>
              <w:pStyle w:val="Compact"/>
            </w:pPr>
            <w:r>
              <w:rPr>
                <w:sz w:val="17"/>
              </w:rPr>
              <w:t xml:space="preserve">R39</w:t>
            </w:r>
          </w:p>
        </w:tc>
        <w:tc>
          <w:tcPr/>
          <w:p>
            <w:pPr>
              <w:pStyle w:val="Compact"/>
            </w:pPr>
            <w:r>
              <w:rPr>
                <w:sz w:val="17"/>
              </w:rPr>
              <w:t xml:space="preserve">Perception de sanctions automatiques (stationnement, AVIA, billetterie)</w:t>
            </w:r>
          </w:p>
        </w:tc>
        <w:tc>
          <w:tcPr/>
          <w:p>
            <w:pPr>
              <w:pStyle w:val="Compact"/>
            </w:pPr>
            <w:r>
              <w:rPr>
                <w:sz w:val="17"/>
              </w:rPr>
              <w:t xml:space="preserve">3</w:t>
            </w:r>
          </w:p>
        </w:tc>
        <w:tc>
          <w:tcPr/>
          <w:p>
            <w:pPr>
              <w:pStyle w:val="Compact"/>
            </w:pPr>
            <w:r>
              <w:rPr>
                <w:sz w:val="17"/>
              </w:rPr>
              <w:t xml:space="preserve">4</w:t>
            </w:r>
          </w:p>
        </w:tc>
        <w:tc>
          <w:tcPr/>
          <w:p>
            <w:pPr>
              <w:pStyle w:val="Compact"/>
            </w:pPr>
            <w:r>
              <w:rPr>
                <w:sz w:val="17"/>
              </w:rPr>
              <w:t xml:space="preserve">Circuit RW1 ; communication ; recours</w:t>
            </w:r>
          </w:p>
        </w:tc>
        <w:tc>
          <w:tcPr/>
          <w:p>
            <w:pPr>
              <w:pStyle w:val="Compact"/>
            </w:pPr>
            <w:r>
              <w:rPr>
                <w:sz w:val="17"/>
              </w:rPr>
              <w:t xml:space="preserve">Programme</w:t>
            </w:r>
          </w:p>
        </w:tc>
      </w:tr>
      <w:tr>
        <w:tc>
          <w:tcPr>
            <w:shd w:val="clear" w:color="auto" w:fill="F5F7FB"/>
          </w:tcPr>
          <w:p>
            <w:pPr>
              <w:pStyle w:val="Compact"/>
            </w:pPr>
            <w:r>
              <w:rPr>
                <w:sz w:val="17"/>
              </w:rPr>
              <w:t xml:space="preserve">R40</w:t>
            </w:r>
          </w:p>
        </w:tc>
        <w:tc>
          <w:tcPr>
            <w:shd w:val="clear" w:color="auto" w:fill="F5F7FB"/>
          </w:tcPr>
          <w:p>
            <w:pPr>
              <w:pStyle w:val="Compact"/>
            </w:pPr>
            <w:r>
              <w:rPr>
                <w:sz w:val="17"/>
              </w:rPr>
              <w:t xml:space="preserve">Surréservation du stationnement contestée</w:t>
            </w:r>
          </w:p>
        </w:tc>
        <w:tc>
          <w:tcPr>
            <w:shd w:val="clear" w:color="auto" w:fill="F5F7FB"/>
          </w:tcPr>
          <w:p>
            <w:pPr>
              <w:pStyle w:val="Compact"/>
            </w:pPr>
            <w:r>
              <w:rPr>
                <w:sz w:val="17"/>
              </w:rPr>
              <w:t xml:space="preserve">3</w:t>
            </w:r>
          </w:p>
        </w:tc>
        <w:tc>
          <w:tcPr>
            <w:shd w:val="clear" w:color="auto" w:fill="F5F7FB"/>
          </w:tcPr>
          <w:p>
            <w:pPr>
              <w:pStyle w:val="Compact"/>
            </w:pPr>
            <w:r>
              <w:rPr>
                <w:sz w:val="17"/>
              </w:rPr>
              <w:t xml:space="preserve">3</w:t>
            </w:r>
          </w:p>
        </w:tc>
        <w:tc>
          <w:tcPr>
            <w:shd w:val="clear" w:color="auto" w:fill="F5F7FB"/>
          </w:tcPr>
          <w:p>
            <w:pPr>
              <w:pStyle w:val="Compact"/>
            </w:pPr>
            <w:r>
              <w:rPr>
                <w:sz w:val="17"/>
              </w:rPr>
              <w:t xml:space="preserve">Désactivée jusqu’à J24</w:t>
            </w:r>
          </w:p>
        </w:tc>
        <w:tc>
          <w:tcPr>
            <w:shd w:val="clear" w:color="auto" w:fill="F5F7FB"/>
          </w:tcPr>
          <w:p>
            <w:pPr>
              <w:pStyle w:val="Compact"/>
            </w:pPr>
            <w:r>
              <w:rPr>
                <w:sz w:val="17"/>
              </w:rPr>
              <w:t xml:space="preserve">Transports</w:t>
            </w:r>
          </w:p>
        </w:tc>
      </w:tr>
      <w:tr>
        <w:tc>
          <w:tcPr/>
          <w:p>
            <w:pPr>
              <w:pStyle w:val="Compact"/>
            </w:pPr>
            <w:r>
              <w:rPr>
                <w:sz w:val="17"/>
              </w:rPr>
              <w:t xml:space="preserve">R41</w:t>
            </w:r>
          </w:p>
        </w:tc>
        <w:tc>
          <w:tcPr/>
          <w:p>
            <w:pPr>
              <w:pStyle w:val="Compact"/>
            </w:pPr>
            <w:r>
              <w:rPr>
                <w:sz w:val="17"/>
              </w:rPr>
              <w:t xml:space="preserve">Refus des compagnies ou de l’IATA de partager les données BSP/GDS</w:t>
            </w:r>
          </w:p>
        </w:tc>
        <w:tc>
          <w:tcPr/>
          <w:p>
            <w:pPr>
              <w:pStyle w:val="Compact"/>
            </w:pPr>
            <w:r>
              <w:rPr>
                <w:sz w:val="17"/>
              </w:rPr>
              <w:t xml:space="preserve">4</w:t>
            </w:r>
          </w:p>
        </w:tc>
        <w:tc>
          <w:tcPr/>
          <w:p>
            <w:pPr>
              <w:pStyle w:val="Compact"/>
            </w:pPr>
            <w:r>
              <w:rPr>
                <w:sz w:val="17"/>
              </w:rPr>
              <w:t xml:space="preserve">4</w:t>
            </w:r>
          </w:p>
        </w:tc>
        <w:tc>
          <w:tcPr/>
          <w:p>
            <w:pPr>
              <w:pStyle w:val="Compact"/>
            </w:pPr>
            <w:r>
              <w:rPr>
                <w:sz w:val="17"/>
              </w:rPr>
              <w:t xml:space="preserve">Portail des agences, données RVA/DGM d’abord, arrêté (J23)</w:t>
            </w:r>
          </w:p>
        </w:tc>
        <w:tc>
          <w:tcPr/>
          <w:p>
            <w:pPr>
              <w:pStyle w:val="Compact"/>
            </w:pPr>
            <w:r>
              <w:rPr>
                <w:sz w:val="17"/>
              </w:rPr>
              <w:t xml:space="preserve">Finances</w:t>
            </w:r>
          </w:p>
        </w:tc>
      </w:tr>
      <w:tr>
        <w:tc>
          <w:tcPr>
            <w:shd w:val="clear" w:color="auto" w:fill="F5F7FB"/>
          </w:tcPr>
          <w:p>
            <w:pPr>
              <w:pStyle w:val="Compact"/>
            </w:pPr>
            <w:r>
              <w:rPr>
                <w:sz w:val="17"/>
              </w:rPr>
              <w:t xml:space="preserve">R42</w:t>
            </w:r>
          </w:p>
        </w:tc>
        <w:tc>
          <w:tcPr>
            <w:shd w:val="clear" w:color="auto" w:fill="F5F7FB"/>
          </w:tcPr>
          <w:p>
            <w:pPr>
              <w:pStyle w:val="Compact"/>
            </w:pPr>
            <w:r>
              <w:rPr>
                <w:sz w:val="17"/>
              </w:rPr>
              <w:t xml:space="preserve">Résistance au contrôle de la dépense (CALCU)</w:t>
            </w:r>
          </w:p>
        </w:tc>
        <w:tc>
          <w:tcPr>
            <w:shd w:val="clear" w:color="auto" w:fill="F5F7FB"/>
          </w:tcPr>
          <w:p>
            <w:pPr>
              <w:pStyle w:val="Compact"/>
            </w:pPr>
            <w:r>
              <w:rPr>
                <w:sz w:val="17"/>
              </w:rPr>
              <w:t xml:space="preserve">4</w:t>
            </w:r>
          </w:p>
        </w:tc>
        <w:tc>
          <w:tcPr>
            <w:shd w:val="clear" w:color="auto" w:fill="F5F7FB"/>
          </w:tcPr>
          <w:p>
            <w:pPr>
              <w:pStyle w:val="Compact"/>
            </w:pPr>
            <w:r>
              <w:rPr>
                <w:sz w:val="17"/>
              </w:rPr>
              <w:t xml:space="preserve">4</w:t>
            </w:r>
          </w:p>
        </w:tc>
        <w:tc>
          <w:tcPr>
            <w:shd w:val="clear" w:color="auto" w:fill="F5F7FB"/>
          </w:tcPr>
          <w:p>
            <w:pPr>
              <w:pStyle w:val="Compact"/>
            </w:pPr>
            <w:r>
              <w:rPr>
                <w:sz w:val="17"/>
              </w:rPr>
              <w:t xml:space="preserve">Texte (J26), pilote volontaire, publication des résultats</w:t>
            </w:r>
          </w:p>
        </w:tc>
        <w:tc>
          <w:tcPr>
            <w:shd w:val="clear" w:color="auto" w:fill="F5F7FB"/>
          </w:tcPr>
          <w:p>
            <w:pPr>
              <w:pStyle w:val="Compact"/>
            </w:pPr>
            <w:r>
              <w:rPr>
                <w:sz w:val="17"/>
              </w:rPr>
              <w:t xml:space="preserve">Organe de contrôle</w:t>
            </w:r>
          </w:p>
        </w:tc>
      </w:tr>
      <w:tr>
        <w:tc>
          <w:tcPr/>
          <w:p>
            <w:pPr>
              <w:pStyle w:val="Compact"/>
            </w:pPr>
            <w:r>
              <w:rPr>
                <w:sz w:val="17"/>
              </w:rPr>
              <w:t xml:space="preserve">R43</w:t>
            </w:r>
          </w:p>
        </w:tc>
        <w:tc>
          <w:tcPr/>
          <w:p>
            <w:pPr>
              <w:pStyle w:val="Compact"/>
            </w:pPr>
            <w:r>
              <w:rPr>
                <w:sz w:val="17"/>
              </w:rPr>
              <w:t xml:space="preserve">Agent fantôme ou appareil compromis</w:t>
            </w:r>
          </w:p>
        </w:tc>
        <w:tc>
          <w:tcPr/>
          <w:p>
            <w:pPr>
              <w:pStyle w:val="Compact"/>
            </w:pPr>
            <w:r>
              <w:rPr>
                <w:sz w:val="17"/>
              </w:rPr>
              <w:t xml:space="preserve">3</w:t>
            </w:r>
          </w:p>
        </w:tc>
        <w:tc>
          <w:tcPr/>
          <w:p>
            <w:pPr>
              <w:pStyle w:val="Compact"/>
            </w:pPr>
            <w:r>
              <w:rPr>
                <w:sz w:val="17"/>
              </w:rPr>
              <w:t xml:space="preserve">4</w:t>
            </w:r>
          </w:p>
        </w:tc>
        <w:tc>
          <w:tcPr/>
          <w:p>
            <w:pPr>
              <w:pStyle w:val="Compact"/>
            </w:pPr>
            <w:r>
              <w:rPr>
                <w:sz w:val="17"/>
              </w:rPr>
              <w:t xml:space="preserve">Attestation d’appareil, MDM, détection root, liaison appareil–utilisateur</w:t>
            </w:r>
          </w:p>
        </w:tc>
        <w:tc>
          <w:tcPr/>
          <w:p>
            <w:pPr>
              <w:pStyle w:val="Compact"/>
            </w:pPr>
            <w:r>
              <w:rPr>
                <w:sz w:val="17"/>
              </w:rPr>
              <w:t xml:space="preserve">RSSI</w:t>
            </w:r>
          </w:p>
        </w:tc>
      </w:tr>
      <w:tr>
        <w:tc>
          <w:tcPr>
            <w:shd w:val="clear" w:color="auto" w:fill="F5F7FB"/>
          </w:tcPr>
          <w:p>
            <w:pPr>
              <w:pStyle w:val="Compact"/>
            </w:pPr>
            <w:r>
              <w:rPr>
                <w:sz w:val="17"/>
              </w:rPr>
              <w:t xml:space="preserve">R44</w:t>
            </w:r>
          </w:p>
        </w:tc>
        <w:tc>
          <w:tcPr>
            <w:shd w:val="clear" w:color="auto" w:fill="F5F7FB"/>
          </w:tcPr>
          <w:p>
            <w:pPr>
              <w:pStyle w:val="Compact"/>
            </w:pPr>
            <w:r>
              <w:rPr>
                <w:sz w:val="17"/>
              </w:rPr>
              <w:t xml:space="preserve">Rejet du pass wewa comme charge nouvelle</w:t>
            </w:r>
          </w:p>
        </w:tc>
        <w:tc>
          <w:tcPr>
            <w:shd w:val="clear" w:color="auto" w:fill="F5F7FB"/>
          </w:tcPr>
          <w:p>
            <w:pPr>
              <w:pStyle w:val="Compact"/>
            </w:pPr>
            <w:r>
              <w:rPr>
                <w:sz w:val="17"/>
              </w:rPr>
              <w:t xml:space="preserve">4</w:t>
            </w:r>
          </w:p>
        </w:tc>
        <w:tc>
          <w:tcPr>
            <w:shd w:val="clear" w:color="auto" w:fill="F5F7FB"/>
          </w:tcPr>
          <w:p>
            <w:pPr>
              <w:pStyle w:val="Compact"/>
            </w:pPr>
            <w:r>
              <w:rPr>
                <w:sz w:val="17"/>
              </w:rPr>
              <w:t xml:space="preserve">4</w:t>
            </w:r>
          </w:p>
        </w:tc>
        <w:tc>
          <w:tcPr>
            <w:shd w:val="clear" w:color="auto" w:fill="F5F7FB"/>
          </w:tcPr>
          <w:p>
            <w:pPr>
              <w:pStyle w:val="Compact"/>
            </w:pPr>
            <w:r>
              <w:rPr>
                <w:sz w:val="17"/>
              </w:rPr>
              <w:t xml:space="preserve">Concertation, enregistrement gratuit, période de grâce, fin des prélèvements multiples</w:t>
            </w:r>
          </w:p>
        </w:tc>
        <w:tc>
          <w:tcPr>
            <w:shd w:val="clear" w:color="auto" w:fill="F5F7FB"/>
          </w:tcPr>
          <w:p>
            <w:pPr>
              <w:pStyle w:val="Compact"/>
            </w:pPr>
            <w:r>
              <w:rPr>
                <w:sz w:val="17"/>
              </w:rPr>
              <w:t xml:space="preserve">Transports</w:t>
            </w:r>
          </w:p>
        </w:tc>
      </w:tr>
      <w:tr>
        <w:tc>
          <w:tcPr/>
          <w:p>
            <w:pPr>
              <w:pStyle w:val="Compact"/>
            </w:pPr>
            <w:r>
              <w:rPr>
                <w:sz w:val="17"/>
              </w:rPr>
              <w:t xml:space="preserve">R45</w:t>
            </w:r>
          </w:p>
        </w:tc>
        <w:tc>
          <w:tcPr/>
          <w:p>
            <w:pPr>
              <w:pStyle w:val="Compact"/>
            </w:pPr>
            <w:r>
              <w:rPr>
                <w:sz w:val="17"/>
              </w:rPr>
              <w:t xml:space="preserve">Résistance violente des collecteurs informels sur la route</w:t>
            </w:r>
          </w:p>
        </w:tc>
        <w:tc>
          <w:tcPr/>
          <w:p>
            <w:pPr>
              <w:pStyle w:val="Compact"/>
            </w:pPr>
            <w:r>
              <w:rPr>
                <w:sz w:val="17"/>
              </w:rPr>
              <w:t xml:space="preserve">4</w:t>
            </w:r>
          </w:p>
        </w:tc>
        <w:tc>
          <w:tcPr/>
          <w:p>
            <w:pPr>
              <w:pStyle w:val="Compact"/>
            </w:pPr>
            <w:r>
              <w:rPr>
                <w:sz w:val="17"/>
              </w:rPr>
              <w:t xml:space="preserve">4</w:t>
            </w:r>
          </w:p>
        </w:tc>
        <w:tc>
          <w:tcPr/>
          <w:p>
            <w:pPr>
              <w:pStyle w:val="Compact"/>
            </w:pPr>
            <w:r>
              <w:rPr>
                <w:sz w:val="17"/>
              </w:rPr>
              <w:t xml:space="preserve">Coordination avec la police de circulation, contrôles protecteurs, signalement</w:t>
            </w:r>
          </w:p>
        </w:tc>
        <w:tc>
          <w:tcPr/>
          <w:p>
            <w:pPr>
              <w:pStyle w:val="Compact"/>
            </w:pPr>
            <w:r>
              <w:rPr>
                <w:sz w:val="17"/>
              </w:rPr>
              <w:t xml:space="preserve">Transports, communes</w:t>
            </w:r>
          </w:p>
        </w:tc>
      </w:tr>
      <w:tr>
        <w:tc>
          <w:tcPr>
            <w:shd w:val="clear" w:color="auto" w:fill="F5F7FB"/>
          </w:tcPr>
          <w:p>
            <w:pPr>
              <w:pStyle w:val="Compact"/>
            </w:pPr>
            <w:r>
              <w:rPr>
                <w:sz w:val="17"/>
              </w:rPr>
              <w:t xml:space="preserve">R46</w:t>
            </w:r>
          </w:p>
        </w:tc>
        <w:tc>
          <w:tcPr>
            <w:shd w:val="clear" w:color="auto" w:fill="F5F7FB"/>
          </w:tcPr>
          <w:p>
            <w:pPr>
              <w:pStyle w:val="Compact"/>
            </w:pPr>
            <w:r>
              <w:rPr>
                <w:sz w:val="17"/>
              </w:rPr>
              <w:t xml:space="preserve">Double imposition pass wewa / prélèvements communaux</w:t>
            </w:r>
          </w:p>
        </w:tc>
        <w:tc>
          <w:tcPr>
            <w:shd w:val="clear" w:color="auto" w:fill="F5F7FB"/>
          </w:tcPr>
          <w:p>
            <w:pPr>
              <w:pStyle w:val="Compact"/>
            </w:pPr>
            <w:r>
              <w:rPr>
                <w:sz w:val="17"/>
              </w:rPr>
              <w:t xml:space="preserve">4</w:t>
            </w:r>
          </w:p>
        </w:tc>
        <w:tc>
          <w:tcPr>
            <w:shd w:val="clear" w:color="auto" w:fill="F5F7FB"/>
          </w:tcPr>
          <w:p>
            <w:pPr>
              <w:pStyle w:val="Compact"/>
            </w:pPr>
            <w:r>
              <w:rPr>
                <w:sz w:val="17"/>
              </w:rPr>
              <w:t xml:space="preserve">4</w:t>
            </w:r>
          </w:p>
        </w:tc>
        <w:tc>
          <w:tcPr>
            <w:shd w:val="clear" w:color="auto" w:fill="F5F7FB"/>
          </w:tcPr>
          <w:p>
            <w:pPr>
              <w:pStyle w:val="Compact"/>
            </w:pPr>
            <w:r>
              <w:rPr>
                <w:sz w:val="17"/>
              </w:rPr>
              <w:t xml:space="preserve">Articulation par acte (J28) ; refus des doublons</w:t>
            </w:r>
          </w:p>
        </w:tc>
        <w:tc>
          <w:tcPr>
            <w:shd w:val="clear" w:color="auto" w:fill="F5F7FB"/>
          </w:tcPr>
          <w:p>
            <w:pPr>
              <w:pStyle w:val="Compact"/>
            </w:pPr>
            <w:r>
              <w:rPr>
                <w:sz w:val="17"/>
              </w:rPr>
              <w:t xml:space="preserve">Juridique</w:t>
            </w:r>
          </w:p>
        </w:tc>
      </w:tr>
      <w:tr>
        <w:tc>
          <w:tcPr/>
          <w:p>
            <w:pPr>
              <w:pStyle w:val="Compact"/>
            </w:pPr>
            <w:r>
              <w:rPr>
                <w:sz w:val="17"/>
              </w:rPr>
              <w:t xml:space="preserve">R47</w:t>
            </w:r>
          </w:p>
        </w:tc>
        <w:tc>
          <w:tcPr/>
          <w:p>
            <w:pPr>
              <w:pStyle w:val="Compact"/>
            </w:pPr>
            <w:r>
              <w:rPr>
                <w:sz w:val="17"/>
              </w:rPr>
              <w:t xml:space="preserve">Promesse « zéro fraude »</w:t>
            </w:r>
          </w:p>
        </w:tc>
        <w:tc>
          <w:tcPr/>
          <w:p>
            <w:pPr>
              <w:pStyle w:val="Compact"/>
            </w:pPr>
            <w:r>
              <w:rPr>
                <w:sz w:val="17"/>
              </w:rPr>
              <w:t xml:space="preserve">3</w:t>
            </w:r>
          </w:p>
        </w:tc>
        <w:tc>
          <w:tcPr/>
          <w:p>
            <w:pPr>
              <w:pStyle w:val="Compact"/>
            </w:pPr>
            <w:r>
              <w:rPr>
                <w:sz w:val="17"/>
              </w:rPr>
              <w:t xml:space="preserve">3</w:t>
            </w:r>
          </w:p>
        </w:tc>
        <w:tc>
          <w:tcPr/>
          <w:p>
            <w:pPr>
              <w:pStyle w:val="Compact"/>
            </w:pPr>
            <w:r>
              <w:rPr>
                <w:sz w:val="17"/>
              </w:rPr>
              <w:t xml:space="preserve">Communication : « difficile à commettre, rapide à détecter, impossible à effacer » (§ 25.1)</w:t>
            </w:r>
          </w:p>
        </w:tc>
        <w:tc>
          <w:tcPr/>
          <w:p>
            <w:pPr>
              <w:pStyle w:val="Compact"/>
            </w:pPr>
            <w:r>
              <w:rPr>
                <w:sz w:val="17"/>
              </w:rPr>
              <w:t xml:space="preserve">Programme</w:t>
            </w:r>
          </w:p>
        </w:tc>
      </w:tr>
      <w:tr>
        <w:tc>
          <w:tcPr>
            <w:shd w:val="clear" w:color="auto" w:fill="F5F7FB"/>
          </w:tcPr>
          <w:p>
            <w:pPr>
              <w:pStyle w:val="Compact"/>
            </w:pPr>
            <w:r>
              <w:rPr>
                <w:sz w:val="17"/>
              </w:rPr>
              <w:t xml:space="preserve">R48</w:t>
            </w:r>
          </w:p>
        </w:tc>
        <w:tc>
          <w:tcPr>
            <w:shd w:val="clear" w:color="auto" w:fill="F5F7FB"/>
          </w:tcPr>
          <w:p>
            <w:pPr>
              <w:pStyle w:val="Compact"/>
            </w:pPr>
            <w:r>
              <w:rPr>
                <w:sz w:val="17"/>
              </w:rPr>
              <w:t xml:space="preserve">Incohérence entre quittance provisoire et règlement</w:t>
            </w:r>
          </w:p>
        </w:tc>
        <w:tc>
          <w:tcPr>
            <w:shd w:val="clear" w:color="auto" w:fill="F5F7FB"/>
          </w:tcPr>
          <w:p>
            <w:pPr>
              <w:pStyle w:val="Compact"/>
            </w:pPr>
            <w:r>
              <w:rPr>
                <w:sz w:val="17"/>
              </w:rPr>
              <w:t xml:space="preserve">3</w:t>
            </w:r>
          </w:p>
        </w:tc>
        <w:tc>
          <w:tcPr>
            <w:shd w:val="clear" w:color="auto" w:fill="F5F7FB"/>
          </w:tcPr>
          <w:p>
            <w:pPr>
              <w:pStyle w:val="Compact"/>
            </w:pPr>
            <w:r>
              <w:rPr>
                <w:sz w:val="17"/>
              </w:rPr>
              <w:t xml:space="preserve">4</w:t>
            </w:r>
          </w:p>
        </w:tc>
        <w:tc>
          <w:tcPr>
            <w:shd w:val="clear" w:color="auto" w:fill="F5F7FB"/>
          </w:tcPr>
          <w:p>
            <w:pPr>
              <w:pStyle w:val="Compact"/>
            </w:pPr>
            <w:r>
              <w:rPr>
                <w:sz w:val="17"/>
              </w:rPr>
              <w:t xml:space="preserve">Délai maximal de bascule (J17), exception automatique, notification</w:t>
            </w:r>
          </w:p>
        </w:tc>
        <w:tc>
          <w:tcPr>
            <w:shd w:val="clear" w:color="auto" w:fill="F5F7FB"/>
          </w:tcPr>
          <w:p>
            <w:pPr>
              <w:pStyle w:val="Compact"/>
            </w:pPr>
            <w:r>
              <w:rPr>
                <w:sz w:val="17"/>
              </w:rPr>
              <w:t xml:space="preserve">Trésor</w:t>
            </w:r>
          </w:p>
        </w:tc>
      </w:tr>
      <w:tr>
        <w:tc>
          <w:tcPr/>
          <w:p>
            <w:pPr>
              <w:pStyle w:val="Compact"/>
            </w:pPr>
            <w:r>
              <w:rPr>
                <w:sz w:val="17"/>
              </w:rPr>
              <w:t xml:space="preserve">R49</w:t>
            </w:r>
          </w:p>
        </w:tc>
        <w:tc>
          <w:tcPr/>
          <w:p>
            <w:pPr>
              <w:pStyle w:val="Compact"/>
            </w:pPr>
            <w:r>
              <w:rPr>
                <w:sz w:val="17"/>
              </w:rPr>
              <w:t xml:space="preserve">Ouverture prématurée des verticales ports et AVIA</w:t>
            </w:r>
          </w:p>
        </w:tc>
        <w:tc>
          <w:tcPr/>
          <w:p>
            <w:pPr>
              <w:pStyle w:val="Compact"/>
            </w:pPr>
            <w:r>
              <w:rPr>
                <w:sz w:val="17"/>
              </w:rPr>
              <w:t xml:space="preserve">3</w:t>
            </w:r>
          </w:p>
        </w:tc>
        <w:tc>
          <w:tcPr/>
          <w:p>
            <w:pPr>
              <w:pStyle w:val="Compact"/>
            </w:pPr>
            <w:r>
              <w:rPr>
                <w:sz w:val="17"/>
              </w:rPr>
              <w:t xml:space="preserve">4</w:t>
            </w:r>
          </w:p>
        </w:tc>
        <w:tc>
          <w:tcPr/>
          <w:p>
            <w:pPr>
              <w:pStyle w:val="Compact"/>
            </w:pPr>
            <w:r>
              <w:rPr>
                <w:sz w:val="17"/>
              </w:rPr>
              <w:t xml:space="preserve">Cadrage sectoriel (J23, J30) ; release R3/R4</w:t>
            </w:r>
          </w:p>
        </w:tc>
        <w:tc>
          <w:tcPr/>
          <w:p>
            <w:pPr>
              <w:pStyle w:val="Compact"/>
            </w:pPr>
            <w:r>
              <w:rPr>
                <w:sz w:val="17"/>
              </w:rPr>
              <w:t xml:space="preserve">Comité de pilotage</w:t>
            </w:r>
          </w:p>
        </w:tc>
      </w:tr>
      <w:tr>
        <w:tc>
          <w:tcPr>
            <w:shd w:val="clear" w:color="auto" w:fill="F5F7FB"/>
          </w:tcPr>
          <w:p>
            <w:pPr>
              <w:pStyle w:val="Compact"/>
            </w:pPr>
            <w:r>
              <w:rPr>
                <w:sz w:val="17"/>
              </w:rPr>
              <w:t xml:space="preserve">R50</w:t>
            </w:r>
          </w:p>
        </w:tc>
        <w:tc>
          <w:tcPr>
            <w:shd w:val="clear" w:color="auto" w:fill="F5F7FB"/>
          </w:tcPr>
          <w:p>
            <w:pPr>
              <w:pStyle w:val="Compact"/>
            </w:pPr>
            <w:r>
              <w:rPr>
                <w:sz w:val="17"/>
              </w:rPr>
              <w:t xml:space="preserve">Résistance des agents perdant des revenus informels</w:t>
            </w:r>
          </w:p>
        </w:tc>
        <w:tc>
          <w:tcPr>
            <w:shd w:val="clear" w:color="auto" w:fill="F5F7FB"/>
          </w:tcPr>
          <w:p>
            <w:pPr>
              <w:pStyle w:val="Compact"/>
            </w:pPr>
            <w:r>
              <w:rPr>
                <w:sz w:val="17"/>
              </w:rPr>
              <w:t xml:space="preserve">4</w:t>
            </w:r>
          </w:p>
        </w:tc>
        <w:tc>
          <w:tcPr>
            <w:shd w:val="clear" w:color="auto" w:fill="F5F7FB"/>
          </w:tcPr>
          <w:p>
            <w:pPr>
              <w:pStyle w:val="Compact"/>
            </w:pPr>
            <w:r>
              <w:rPr>
                <w:sz w:val="17"/>
              </w:rPr>
              <w:t xml:space="preserve">4</w:t>
            </w:r>
          </w:p>
        </w:tc>
        <w:tc>
          <w:tcPr>
            <w:shd w:val="clear" w:color="auto" w:fill="F5F7FB"/>
          </w:tcPr>
          <w:p>
            <w:pPr>
              <w:pStyle w:val="Compact"/>
            </w:pPr>
            <w:r>
              <w:rPr>
                <w:sz w:val="17"/>
              </w:rPr>
              <w:t xml:space="preserve">Rotation, dialogue social, indicateurs de qualité, incitations légales si texte (J10)</w:t>
            </w:r>
          </w:p>
        </w:tc>
        <w:tc>
          <w:tcPr>
            <w:shd w:val="clear" w:color="auto" w:fill="F5F7FB"/>
          </w:tcPr>
          <w:p>
            <w:pPr>
              <w:pStyle w:val="Compact"/>
            </w:pPr>
            <w:r>
              <w:rPr>
                <w:sz w:val="17"/>
              </w:rPr>
              <w:t xml:space="preserve">Régies</w:t>
            </w:r>
          </w:p>
        </w:tc>
      </w:tr>
      <w:tr>
        <w:tc>
          <w:tcPr/>
          <w:p>
            <w:pPr>
              <w:pStyle w:val="Compact"/>
            </w:pPr>
            <w:r>
              <w:rPr>
                <w:sz w:val="17"/>
              </w:rPr>
              <w:t xml:space="preserve">R51</w:t>
            </w:r>
          </w:p>
        </w:tc>
        <w:tc>
          <w:tcPr/>
          <w:p>
            <w:pPr>
              <w:pStyle w:val="Compact"/>
            </w:pPr>
            <w:r>
              <w:rPr>
                <w:sz w:val="17"/>
              </w:rPr>
              <w:t xml:space="preserve">Double imposition province / communes / pouvoir central</w:t>
            </w:r>
          </w:p>
        </w:tc>
        <w:tc>
          <w:tcPr/>
          <w:p>
            <w:pPr>
              <w:pStyle w:val="Compact"/>
            </w:pPr>
            <w:r>
              <w:rPr>
                <w:sz w:val="17"/>
              </w:rPr>
              <w:t xml:space="preserve">3</w:t>
            </w:r>
          </w:p>
        </w:tc>
        <w:tc>
          <w:tcPr/>
          <w:p>
            <w:pPr>
              <w:pStyle w:val="Compact"/>
            </w:pPr>
            <w:r>
              <w:rPr>
                <w:sz w:val="17"/>
              </w:rPr>
              <w:t xml:space="preserve">4</w:t>
            </w:r>
          </w:p>
        </w:tc>
        <w:tc>
          <w:tcPr/>
          <w:p>
            <w:pPr>
              <w:pStyle w:val="Compact"/>
            </w:pPr>
            <w:r>
              <w:rPr>
                <w:sz w:val="17"/>
              </w:rPr>
              <w:t xml:space="preserve">Moteur refusant les doublons ; catégories § 6.11</w:t>
            </w:r>
          </w:p>
        </w:tc>
        <w:tc>
          <w:tcPr/>
          <w:p>
            <w:pPr>
              <w:pStyle w:val="Compact"/>
            </w:pPr>
            <w:r>
              <w:rPr>
                <w:sz w:val="17"/>
              </w:rPr>
              <w:t xml:space="preserve">Juridique</w:t>
            </w:r>
          </w:p>
        </w:tc>
      </w:tr>
      <w:tr>
        <w:tc>
          <w:tcPr>
            <w:shd w:val="clear" w:color="auto" w:fill="F5F7FB"/>
          </w:tcPr>
          <w:p>
            <w:pPr>
              <w:pStyle w:val="Compact"/>
            </w:pPr>
            <w:r>
              <w:rPr>
                <w:sz w:val="17"/>
              </w:rPr>
              <w:t xml:space="preserve">R52</w:t>
            </w:r>
          </w:p>
        </w:tc>
        <w:tc>
          <w:tcPr>
            <w:shd w:val="clear" w:color="auto" w:fill="F5F7FB"/>
          </w:tcPr>
          <w:p>
            <w:pPr>
              <w:pStyle w:val="Compact"/>
            </w:pPr>
            <w:r>
              <w:rPr>
                <w:sz w:val="17"/>
              </w:rPr>
              <w:t xml:space="preserve">Surdimensionnement du périmètre</w:t>
            </w:r>
          </w:p>
        </w:tc>
        <w:tc>
          <w:tcPr>
            <w:shd w:val="clear" w:color="auto" w:fill="F5F7FB"/>
          </w:tcPr>
          <w:p>
            <w:pPr>
              <w:pStyle w:val="Compact"/>
            </w:pPr>
            <w:r>
              <w:rPr>
                <w:sz w:val="17"/>
              </w:rPr>
              <w:t xml:space="preserve">3</w:t>
            </w:r>
          </w:p>
        </w:tc>
        <w:tc>
          <w:tcPr>
            <w:shd w:val="clear" w:color="auto" w:fill="F5F7FB"/>
          </w:tcPr>
          <w:p>
            <w:pPr>
              <w:pStyle w:val="Compact"/>
            </w:pPr>
            <w:r>
              <w:rPr>
                <w:sz w:val="17"/>
              </w:rPr>
              <w:t xml:space="preserve">4</w:t>
            </w:r>
          </w:p>
        </w:tc>
        <w:tc>
          <w:tcPr>
            <w:shd w:val="clear" w:color="auto" w:fill="F5F7FB"/>
          </w:tcPr>
          <w:p>
            <w:pPr>
              <w:pStyle w:val="Compact"/>
            </w:pPr>
            <w:r>
              <w:rPr>
                <w:sz w:val="17"/>
              </w:rPr>
              <w:t xml:space="preserve">Releases incrémentales, portes d’approbation</w:t>
            </w:r>
          </w:p>
        </w:tc>
        <w:tc>
          <w:tcPr>
            <w:shd w:val="clear" w:color="auto" w:fill="F5F7FB"/>
          </w:tcPr>
          <w:p>
            <w:pPr>
              <w:pStyle w:val="Compact"/>
            </w:pPr>
            <w:r>
              <w:rPr>
                <w:sz w:val="17"/>
              </w:rPr>
              <w:t xml:space="preserve">Bureau du programme</w:t>
            </w:r>
          </w:p>
        </w:tc>
      </w:tr>
      <w:tr>
        <w:tc>
          <w:tcPr/>
          <w:p>
            <w:pPr>
              <w:pStyle w:val="Compact"/>
            </w:pPr>
            <w:r>
              <w:rPr>
                <w:sz w:val="17"/>
              </w:rPr>
              <w:t xml:space="preserve">R53</w:t>
            </w:r>
          </w:p>
        </w:tc>
        <w:tc>
          <w:tcPr/>
          <w:p>
            <w:pPr>
              <w:pStyle w:val="Compact"/>
            </w:pPr>
            <w:r>
              <w:rPr>
                <w:sz w:val="17"/>
              </w:rPr>
              <w:t xml:space="preserve">Imprécision GPS</w:t>
            </w:r>
          </w:p>
        </w:tc>
        <w:tc>
          <w:tcPr/>
          <w:p>
            <w:pPr>
              <w:pStyle w:val="Compact"/>
            </w:pPr>
            <w:r>
              <w:rPr>
                <w:sz w:val="17"/>
              </w:rPr>
              <w:t xml:space="preserve">4</w:t>
            </w:r>
          </w:p>
        </w:tc>
        <w:tc>
          <w:tcPr/>
          <w:p>
            <w:pPr>
              <w:pStyle w:val="Compact"/>
            </w:pPr>
            <w:r>
              <w:rPr>
                <w:sz w:val="17"/>
              </w:rPr>
              <w:t xml:space="preserve">3</w:t>
            </w:r>
          </w:p>
        </w:tc>
        <w:tc>
          <w:tcPr/>
          <w:p>
            <w:pPr>
              <w:pStyle w:val="Compact"/>
            </w:pPr>
            <w:r>
              <w:rPr>
                <w:sz w:val="17"/>
              </w:rPr>
              <w:t xml:space="preserve">Tolérance par commune, pointage assisté, statut</w:t>
            </w:r>
            <w:r>
              <w:rPr>
                <w:sz w:val="17"/>
              </w:rPr>
              <w:t xml:space="preserve"> </w:t>
            </w:r>
            <w:r>
              <w:rPr>
                <w:rStyle w:val="VerbatimChar"/>
                <w:sz w:val="17"/>
              </w:rPr>
              <w:t xml:space="preserve">LOCALISATION_APPROXIMATIVE</w:t>
            </w:r>
          </w:p>
        </w:tc>
        <w:tc>
          <w:tcPr/>
          <w:p>
            <w:pPr>
              <w:pStyle w:val="Compact"/>
            </w:pPr>
            <w:r>
              <w:rPr>
                <w:sz w:val="17"/>
              </w:rPr>
              <w:t xml:space="preserve">Opérations</w:t>
            </w:r>
          </w:p>
        </w:tc>
      </w:tr>
    </w:tbl>
    <w:bookmarkEnd w:id="526"/>
    <w:bookmarkStart w:id="527" w:name="X56bf1dd16eb0d1d831f2e1fe234c797bd87e743"/>
    <w:p>
      <w:pPr>
        <w:pStyle w:val="Heading2"/>
      </w:pPr>
      <w:r>
        <w:t xml:space="preserve">H.21 Chapitre 41 — Critères d’acceptation complémentaires</w:t>
      </w:r>
    </w:p>
    <w:p>
      <w:pPr>
        <w:pStyle w:val="FirstParagraph"/>
      </w:pPr>
      <w:r>
        <w:t xml:space="preserve">Format du § 41. Chaque critère est un</w:t>
      </w:r>
      <w:r>
        <w:t xml:space="preserve"> </w:t>
      </w:r>
      <w:r>
        <w:rPr>
          <w:b/>
          <w:bCs/>
        </w:rPr>
        <w:t xml:space="preserve">test automatisé</w:t>
      </w:r>
      <w:r>
        <w:t xml:space="preserve"> </w:t>
      </w:r>
      <w:r>
        <w:t xml:space="preserve">; les critères marqués « négatif » vérifient qu’une action interdite est effectivement refusée.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ID</w:t>
            </w:r>
          </w:p>
        </w:tc>
        <w:tc>
          <w:tcPr>
            <w:shd w:val="clear" w:color="auto" w:fill="232C6B"/>
          </w:tcPr>
          <w:p>
            <w:pPr>
              <w:pStyle w:val="Compact"/>
            </w:pPr>
            <w:r>
              <w:rPr>
                <w:b/>
                <w:color w:val="FFFFFF"/>
                <w:sz w:val="17"/>
              </w:rPr>
              <w:t xml:space="preserve">Critère (Étant donné / Lorsque / Alors)</w:t>
            </w:r>
          </w:p>
        </w:tc>
        <w:tc>
          <w:tcPr>
            <w:shd w:val="clear" w:color="auto" w:fill="232C6B"/>
          </w:tcPr>
          <w:p>
            <w:pPr>
              <w:pStyle w:val="Compact"/>
            </w:pPr>
            <w:r>
              <w:rPr>
                <w:b/>
                <w:color w:val="FFFFFF"/>
                <w:sz w:val="17"/>
              </w:rPr>
              <w:t xml:space="preserve">Source</w:t>
            </w:r>
          </w:p>
        </w:tc>
      </w:tr>
      <w:tr>
        <w:tc>
          <w:tcPr/>
          <w:p>
            <w:pPr>
              <w:pStyle w:val="Compact"/>
            </w:pPr>
            <w:r>
              <w:rPr>
                <w:sz w:val="17"/>
              </w:rPr>
              <w:t xml:space="preserve">AC-LEG-05</w:t>
            </w:r>
          </w:p>
        </w:tc>
        <w:tc>
          <w:tcPr/>
          <w:p>
            <w:pPr>
              <w:pStyle w:val="Compact"/>
            </w:pPr>
            <w:r>
              <w:rPr>
                <w:sz w:val="17"/>
              </w:rPr>
              <w:t xml:space="preserve">Étant donné une règle expirée ou abrogée, lorsque le moteur liquide une période postérieure, alors aucune obligation n’est produite</w:t>
            </w:r>
          </w:p>
        </w:tc>
        <w:tc>
          <w:tcPr/>
          <w:p>
            <w:pPr>
              <w:pStyle w:val="Compact"/>
            </w:pPr>
            <w:r>
              <w:rPr>
                <w:sz w:val="17"/>
              </w:rPr>
              <w:t xml:space="preserve">C § 41</w:t>
            </w:r>
          </w:p>
        </w:tc>
      </w:tr>
      <w:tr>
        <w:tc>
          <w:tcPr>
            <w:shd w:val="clear" w:color="auto" w:fill="F5F7FB"/>
          </w:tcPr>
          <w:p>
            <w:pPr>
              <w:pStyle w:val="Compact"/>
            </w:pPr>
            <w:r>
              <w:rPr>
                <w:sz w:val="17"/>
              </w:rPr>
              <w:t xml:space="preserve">AC-ACC-03</w:t>
            </w:r>
          </w:p>
        </w:tc>
        <w:tc>
          <w:tcPr>
            <w:shd w:val="clear" w:color="auto" w:fill="F5F7FB"/>
          </w:tcPr>
          <w:p>
            <w:pPr>
              <w:pStyle w:val="Compact"/>
            </w:pPr>
            <w:r>
              <w:rPr>
                <w:sz w:val="17"/>
              </w:rPr>
              <w:t xml:space="preserve">Étant donné la consultation d’un dossier individuel (C4–C5), alors l’acteur, la finalité déclarée et l’horodatage sont journalisés,</w:t>
            </w:r>
            <w:r>
              <w:rPr>
                <w:sz w:val="17"/>
              </w:rPr>
              <w:t xml:space="preserve"> </w:t>
            </w:r>
            <w:r>
              <w:rPr>
                <w:b/>
                <w:bCs/>
                <w:sz w:val="17"/>
              </w:rPr>
              <w:t xml:space="preserve">y compris pour une simple lecture</w:t>
            </w:r>
          </w:p>
        </w:tc>
        <w:tc>
          <w:tcPr>
            <w:shd w:val="clear" w:color="auto" w:fill="F5F7FB"/>
          </w:tcPr>
          <w:p>
            <w:pPr>
              <w:pStyle w:val="Compact"/>
            </w:pPr>
            <w:r>
              <w:rPr>
                <w:sz w:val="17"/>
              </w:rPr>
              <w:t xml:space="preserve">C § 12.1, § 41</w:t>
            </w:r>
          </w:p>
        </w:tc>
      </w:tr>
      <w:tr>
        <w:tc>
          <w:tcPr/>
          <w:p>
            <w:pPr>
              <w:pStyle w:val="Compact"/>
            </w:pPr>
            <w:r>
              <w:rPr>
                <w:sz w:val="17"/>
              </w:rPr>
              <w:t xml:space="preserve">AC-ACC-04</w:t>
            </w:r>
          </w:p>
        </w:tc>
        <w:tc>
          <w:tcPr/>
          <w:p>
            <w:pPr>
              <w:pStyle w:val="Compact"/>
            </w:pPr>
            <w:r>
              <w:rPr>
                <w:sz w:val="17"/>
              </w:rPr>
              <w:t xml:space="preserve">Étant donné une modification sensible, lorsque son auteur tente de l’approuver, alors l’approbation est refusée (négatif)</w:t>
            </w:r>
          </w:p>
        </w:tc>
        <w:tc>
          <w:tcPr/>
          <w:p>
            <w:pPr>
              <w:pStyle w:val="Compact"/>
            </w:pPr>
            <w:r>
              <w:rPr>
                <w:sz w:val="17"/>
              </w:rPr>
              <w:t xml:space="preserve">C § 41</w:t>
            </w:r>
          </w:p>
        </w:tc>
      </w:tr>
      <w:tr>
        <w:tc>
          <w:tcPr>
            <w:shd w:val="clear" w:color="auto" w:fill="F5F7FB"/>
          </w:tcPr>
          <w:p>
            <w:pPr>
              <w:pStyle w:val="Compact"/>
            </w:pPr>
            <w:r>
              <w:rPr>
                <w:sz w:val="17"/>
              </w:rPr>
              <w:t xml:space="preserve">AC-IDN-01</w:t>
            </w:r>
          </w:p>
        </w:tc>
        <w:tc>
          <w:tcPr>
            <w:shd w:val="clear" w:color="auto" w:fill="F5F7FB"/>
          </w:tcPr>
          <w:p>
            <w:pPr>
              <w:pStyle w:val="Compact"/>
            </w:pPr>
            <w:r>
              <w:rPr>
                <w:sz w:val="17"/>
              </w:rPr>
              <w:t xml:space="preserve">Étant donné deux contribuables homonymes, alors chacun retrouve tous ses objets sans voir ceux de l’autre</w:t>
            </w:r>
          </w:p>
        </w:tc>
        <w:tc>
          <w:tcPr>
            <w:shd w:val="clear" w:color="auto" w:fill="F5F7FB"/>
          </w:tcPr>
          <w:p>
            <w:pPr>
              <w:pStyle w:val="Compact"/>
            </w:pPr>
            <w:r>
              <w:rPr>
                <w:sz w:val="17"/>
              </w:rPr>
              <w:t xml:space="preserve">C § 41</w:t>
            </w:r>
          </w:p>
        </w:tc>
      </w:tr>
      <w:tr>
        <w:tc>
          <w:tcPr/>
          <w:p>
            <w:pPr>
              <w:pStyle w:val="Compact"/>
            </w:pPr>
            <w:r>
              <w:rPr>
                <w:sz w:val="17"/>
              </w:rPr>
              <w:t xml:space="preserve">AC-APL-01</w:t>
            </w:r>
          </w:p>
        </w:tc>
        <w:tc>
          <w:tcPr/>
          <w:p>
            <w:pPr>
              <w:pStyle w:val="Compact"/>
            </w:pPr>
            <w:r>
              <w:rPr>
                <w:sz w:val="17"/>
              </w:rPr>
              <w:t xml:space="preserve">Étant donné un recours déposé, alors il est horodaté, affecté à un instructeur distinct du liquidateur, suivi jusqu’à une décision motivée, et son délai est visible</w:t>
            </w:r>
          </w:p>
        </w:tc>
        <w:tc>
          <w:tcPr/>
          <w:p>
            <w:pPr>
              <w:pStyle w:val="Compact"/>
            </w:pPr>
            <w:r>
              <w:rPr>
                <w:sz w:val="17"/>
              </w:rPr>
              <w:t xml:space="preserve">C § 41</w:t>
            </w:r>
          </w:p>
        </w:tc>
      </w:tr>
      <w:tr>
        <w:tc>
          <w:tcPr>
            <w:shd w:val="clear" w:color="auto" w:fill="F5F7FB"/>
          </w:tcPr>
          <w:p>
            <w:pPr>
              <w:pStyle w:val="Compact"/>
            </w:pPr>
            <w:r>
              <w:rPr>
                <w:sz w:val="17"/>
              </w:rPr>
              <w:t xml:space="preserve">AC-DSH-01</w:t>
            </w:r>
          </w:p>
        </w:tc>
        <w:tc>
          <w:tcPr>
            <w:shd w:val="clear" w:color="auto" w:fill="F5F7FB"/>
          </w:tcPr>
          <w:p>
            <w:pPr>
              <w:pStyle w:val="Compact"/>
            </w:pPr>
            <w:r>
              <w:rPr>
                <w:sz w:val="17"/>
              </w:rPr>
              <w:t xml:space="preserve">Étant donné un tableau de bord, alors il affiche les niveaux de l’échelle de la recette (§ 26.1) sans jamais les additionner</w:t>
            </w:r>
          </w:p>
        </w:tc>
        <w:tc>
          <w:tcPr>
            <w:shd w:val="clear" w:color="auto" w:fill="F5F7FB"/>
          </w:tcPr>
          <w:p>
            <w:pPr>
              <w:pStyle w:val="Compact"/>
            </w:pPr>
            <w:r>
              <w:rPr>
                <w:sz w:val="17"/>
              </w:rPr>
              <w:t xml:space="preserve">C § 41</w:t>
            </w:r>
          </w:p>
        </w:tc>
      </w:tr>
      <w:tr>
        <w:tc>
          <w:tcPr/>
          <w:p>
            <w:pPr>
              <w:pStyle w:val="Compact"/>
            </w:pPr>
            <w:r>
              <w:rPr>
                <w:sz w:val="17"/>
              </w:rPr>
              <w:t xml:space="preserve">AC-DSH-02</w:t>
            </w:r>
          </w:p>
        </w:tc>
        <w:tc>
          <w:tcPr/>
          <w:p>
            <w:pPr>
              <w:pStyle w:val="Compact"/>
            </w:pPr>
            <w:r>
              <w:rPr>
                <w:sz w:val="17"/>
              </w:rPr>
              <w:t xml:space="preserve">Étant donné un montant affiché, alors il est traçable jusqu’aux écritures sources du grand livre</w:t>
            </w:r>
          </w:p>
        </w:tc>
        <w:tc>
          <w:tcPr/>
          <w:p>
            <w:pPr>
              <w:pStyle w:val="Compact"/>
            </w:pPr>
            <w:r>
              <w:rPr>
                <w:sz w:val="17"/>
              </w:rPr>
              <w:t xml:space="preserve">C § 41</w:t>
            </w:r>
          </w:p>
        </w:tc>
      </w:tr>
      <w:tr>
        <w:tc>
          <w:tcPr>
            <w:shd w:val="clear" w:color="auto" w:fill="F5F7FB"/>
          </w:tcPr>
          <w:p>
            <w:pPr>
              <w:pStyle w:val="Compact"/>
            </w:pPr>
            <w:r>
              <w:rPr>
                <w:sz w:val="17"/>
              </w:rPr>
              <w:t xml:space="preserve">AC-PAY-05</w:t>
            </w:r>
          </w:p>
        </w:tc>
        <w:tc>
          <w:tcPr>
            <w:shd w:val="clear" w:color="auto" w:fill="F5F7FB"/>
          </w:tcPr>
          <w:p>
            <w:pPr>
              <w:pStyle w:val="Compact"/>
            </w:pPr>
            <w:r>
              <w:rPr>
                <w:sz w:val="17"/>
              </w:rPr>
              <w:t xml:space="preserve">Étant donné un paiement confirmé non réglé, alors il n’est jamais compté comme recette rapprochée ni comme quittance définitive</w:t>
            </w:r>
          </w:p>
        </w:tc>
        <w:tc>
          <w:tcPr>
            <w:shd w:val="clear" w:color="auto" w:fill="F5F7FB"/>
          </w:tcPr>
          <w:p>
            <w:pPr>
              <w:pStyle w:val="Compact"/>
            </w:pPr>
            <w:r>
              <w:rPr>
                <w:sz w:val="17"/>
              </w:rPr>
              <w:t xml:space="preserve">C § 41</w:t>
            </w:r>
          </w:p>
        </w:tc>
      </w:tr>
      <w:tr>
        <w:tc>
          <w:tcPr/>
          <w:p>
            <w:pPr>
              <w:pStyle w:val="Compact"/>
            </w:pPr>
            <w:r>
              <w:rPr>
                <w:sz w:val="17"/>
              </w:rPr>
              <w:t xml:space="preserve">AC-RCP-02</w:t>
            </w:r>
          </w:p>
        </w:tc>
        <w:tc>
          <w:tcPr/>
          <w:p>
            <w:pPr>
              <w:pStyle w:val="Compact"/>
            </w:pPr>
            <w:r>
              <w:rPr>
                <w:sz w:val="17"/>
              </w:rPr>
              <w:t xml:space="preserve">Étant donné le QR d’une quittance révoquée, lorsqu’il est scanné, alors il affiche son statut actuel sans données excessives</w:t>
            </w:r>
          </w:p>
        </w:tc>
        <w:tc>
          <w:tcPr/>
          <w:p>
            <w:pPr>
              <w:pStyle w:val="Compact"/>
            </w:pPr>
            <w:r>
              <w:rPr>
                <w:sz w:val="17"/>
              </w:rPr>
              <w:t xml:space="preserve">C § 41</w:t>
            </w:r>
          </w:p>
        </w:tc>
      </w:tr>
      <w:tr>
        <w:tc>
          <w:tcPr>
            <w:shd w:val="clear" w:color="auto" w:fill="F5F7FB"/>
          </w:tcPr>
          <w:p>
            <w:pPr>
              <w:pStyle w:val="Compact"/>
            </w:pPr>
            <w:r>
              <w:rPr>
                <w:sz w:val="17"/>
              </w:rPr>
              <w:t xml:space="preserve">AC-REL-01</w:t>
            </w:r>
          </w:p>
        </w:tc>
        <w:tc>
          <w:tcPr>
            <w:shd w:val="clear" w:color="auto" w:fill="F5F7FB"/>
          </w:tcPr>
          <w:p>
            <w:pPr>
              <w:pStyle w:val="Compact"/>
            </w:pPr>
            <w:r>
              <w:rPr>
                <w:sz w:val="17"/>
              </w:rPr>
              <w:t xml:space="preserve">Étant donné une release, alors elle ne passe en production qu’après les portes : sécurité, droit, données, performance, reprise, audit, recette utilisateur</w:t>
            </w:r>
          </w:p>
        </w:tc>
        <w:tc>
          <w:tcPr>
            <w:shd w:val="clear" w:color="auto" w:fill="F5F7FB"/>
          </w:tcPr>
          <w:p>
            <w:pPr>
              <w:pStyle w:val="Compact"/>
            </w:pPr>
            <w:r>
              <w:rPr>
                <w:sz w:val="17"/>
              </w:rPr>
              <w:t xml:space="preserve">C § 41</w:t>
            </w:r>
          </w:p>
        </w:tc>
      </w:tr>
      <w:tr>
        <w:tc>
          <w:tcPr/>
          <w:p>
            <w:pPr>
              <w:pStyle w:val="Compact"/>
            </w:pPr>
            <w:r>
              <w:rPr>
                <w:sz w:val="17"/>
              </w:rPr>
              <w:t xml:space="preserve">AC-INC-01</w:t>
            </w:r>
          </w:p>
        </w:tc>
        <w:tc>
          <w:tcPr/>
          <w:p>
            <w:pPr>
              <w:pStyle w:val="Compact"/>
            </w:pPr>
            <w:r>
              <w:rPr>
                <w:sz w:val="17"/>
              </w:rPr>
              <w:t xml:space="preserve">Étant donné une personne sans smartphone ni Internet, alors l’enrôlement, le paiement et la vérification sont réalisables par USSD, SVI, SMS, guichet ou agent</w:t>
            </w:r>
          </w:p>
        </w:tc>
        <w:tc>
          <w:tcPr/>
          <w:p>
            <w:pPr>
              <w:pStyle w:val="Compact"/>
            </w:pPr>
            <w:r>
              <w:rPr>
                <w:sz w:val="17"/>
              </w:rPr>
              <w:t xml:space="preserve">C § 41</w:t>
            </w:r>
          </w:p>
        </w:tc>
      </w:tr>
      <w:tr>
        <w:tc>
          <w:tcPr>
            <w:shd w:val="clear" w:color="auto" w:fill="F5F7FB"/>
          </w:tcPr>
          <w:p>
            <w:pPr>
              <w:pStyle w:val="Compact"/>
            </w:pPr>
            <w:r>
              <w:rPr>
                <w:sz w:val="17"/>
              </w:rPr>
              <w:t xml:space="preserve">AC-INC-02</w:t>
            </w:r>
          </w:p>
        </w:tc>
        <w:tc>
          <w:tcPr>
            <w:shd w:val="clear" w:color="auto" w:fill="F5F7FB"/>
          </w:tcPr>
          <w:p>
            <w:pPr>
              <w:pStyle w:val="Compact"/>
            </w:pPr>
            <w:r>
              <w:rPr>
                <w:sz w:val="17"/>
              </w:rPr>
              <w:t xml:space="preserve">Étant donné un enrôlement hors ligne d’une personne sans téléphone, alors un compte N0-A, un consentement horodaté lié à la mission et une carte sont créés, sans paiement demandé ni reçu par l’agent</w:t>
            </w:r>
          </w:p>
        </w:tc>
        <w:tc>
          <w:tcPr>
            <w:shd w:val="clear" w:color="auto" w:fill="F5F7FB"/>
          </w:tcPr>
          <w:p>
            <w:pPr>
              <w:pStyle w:val="Compact"/>
            </w:pPr>
            <w:r>
              <w:rPr>
                <w:sz w:val="17"/>
              </w:rPr>
              <w:t xml:space="preserve">C § 13A.6</w:t>
            </w:r>
          </w:p>
        </w:tc>
      </w:tr>
      <w:tr>
        <w:tc>
          <w:tcPr/>
          <w:p>
            <w:pPr>
              <w:pStyle w:val="Compact"/>
            </w:pPr>
            <w:r>
              <w:rPr>
                <w:sz w:val="17"/>
              </w:rPr>
              <w:t xml:space="preserve">AC-INC-03</w:t>
            </w:r>
          </w:p>
        </w:tc>
        <w:tc>
          <w:tcPr/>
          <w:p>
            <w:pPr>
              <w:pStyle w:val="Compact"/>
            </w:pPr>
            <w:r>
              <w:rPr>
                <w:sz w:val="17"/>
              </w:rPr>
              <w:t xml:space="preserve">Étant donné une session USSD, alors aucune donnée sensible complète n’est affichée (nom complet, montant nominatif détaillé, historique)</w:t>
            </w:r>
          </w:p>
        </w:tc>
        <w:tc>
          <w:tcPr/>
          <w:p>
            <w:pPr>
              <w:pStyle w:val="Compact"/>
            </w:pPr>
            <w:r>
              <w:rPr>
                <w:sz w:val="17"/>
              </w:rPr>
              <w:t xml:space="preserve">C § 31.1</w:t>
            </w:r>
          </w:p>
        </w:tc>
      </w:tr>
      <w:tr>
        <w:tc>
          <w:tcPr>
            <w:shd w:val="clear" w:color="auto" w:fill="F5F7FB"/>
          </w:tcPr>
          <w:p>
            <w:pPr>
              <w:pStyle w:val="Compact"/>
            </w:pPr>
            <w:r>
              <w:rPr>
                <w:sz w:val="17"/>
              </w:rPr>
              <w:t xml:space="preserve">AC-CASH-01</w:t>
            </w:r>
          </w:p>
        </w:tc>
        <w:tc>
          <w:tcPr>
            <w:shd w:val="clear" w:color="auto" w:fill="F5F7FB"/>
          </w:tcPr>
          <w:p>
            <w:pPr>
              <w:pStyle w:val="Compact"/>
            </w:pPr>
            <w:r>
              <w:rPr>
                <w:sz w:val="17"/>
              </w:rPr>
              <w:t xml:space="preserve">Étant donné un agent, un sous-traitant ou un responsable de module, alors aucune fonction d’encaissement n’existe dans son interface ni dans l’API (négatif)</w:t>
            </w:r>
          </w:p>
        </w:tc>
        <w:tc>
          <w:tcPr>
            <w:shd w:val="clear" w:color="auto" w:fill="F5F7FB"/>
          </w:tcPr>
          <w:p>
            <w:pPr>
              <w:pStyle w:val="Compact"/>
            </w:pPr>
            <w:r>
              <w:rPr>
                <w:sz w:val="17"/>
              </w:rPr>
              <w:t xml:space="preserve">C § 41</w:t>
            </w:r>
          </w:p>
        </w:tc>
      </w:tr>
      <w:tr>
        <w:tc>
          <w:tcPr/>
          <w:p>
            <w:pPr>
              <w:pStyle w:val="Compact"/>
            </w:pPr>
            <w:r>
              <w:rPr>
                <w:sz w:val="17"/>
              </w:rPr>
              <w:t xml:space="preserve">AC-SUB-01</w:t>
            </w:r>
          </w:p>
        </w:tc>
        <w:tc>
          <w:tcPr/>
          <w:p>
            <w:pPr>
              <w:pStyle w:val="Compact"/>
            </w:pPr>
            <w:r>
              <w:rPr>
                <w:sz w:val="17"/>
              </w:rPr>
              <w:t xml:space="preserve">Étant donné un agent invité par un sous-traitant, alors il reste inactif tant qu’il n’est pas habilité par la régie</w:t>
            </w:r>
          </w:p>
        </w:tc>
        <w:tc>
          <w:tcPr/>
          <w:p>
            <w:pPr>
              <w:pStyle w:val="Compact"/>
            </w:pPr>
            <w:r>
              <w:rPr>
                <w:sz w:val="17"/>
              </w:rPr>
              <w:t xml:space="preserve">C § 15A.7</w:t>
            </w:r>
          </w:p>
        </w:tc>
      </w:tr>
      <w:tr>
        <w:tc>
          <w:tcPr>
            <w:shd w:val="clear" w:color="auto" w:fill="F5F7FB"/>
          </w:tcPr>
          <w:p>
            <w:pPr>
              <w:pStyle w:val="Compact"/>
            </w:pPr>
            <w:r>
              <w:rPr>
                <w:sz w:val="17"/>
              </w:rPr>
              <w:t xml:space="preserve">AC-SUB-02</w:t>
            </w:r>
          </w:p>
        </w:tc>
        <w:tc>
          <w:tcPr>
            <w:shd w:val="clear" w:color="auto" w:fill="F5F7FB"/>
          </w:tcPr>
          <w:p>
            <w:pPr>
              <w:pStyle w:val="Compact"/>
            </w:pPr>
            <w:r>
              <w:rPr>
                <w:sz w:val="17"/>
              </w:rPr>
              <w:t xml:space="preserve">Étant donné une mission hors du lot, de la zone ou de la période attribués, lorsqu’on tente de l’affecter, alors l’affectation est refusée (négatif)</w:t>
            </w:r>
          </w:p>
        </w:tc>
        <w:tc>
          <w:tcPr>
            <w:shd w:val="clear" w:color="auto" w:fill="F5F7FB"/>
          </w:tcPr>
          <w:p>
            <w:pPr>
              <w:pStyle w:val="Compact"/>
            </w:pPr>
            <w:r>
              <w:rPr>
                <w:sz w:val="17"/>
              </w:rPr>
              <w:t xml:space="preserve">C § 41</w:t>
            </w:r>
          </w:p>
        </w:tc>
      </w:tr>
      <w:tr>
        <w:tc>
          <w:tcPr/>
          <w:p>
            <w:pPr>
              <w:pStyle w:val="Compact"/>
            </w:pPr>
            <w:r>
              <w:rPr>
                <w:sz w:val="17"/>
              </w:rPr>
              <w:t xml:space="preserve">AC-SUB-03</w:t>
            </w:r>
          </w:p>
        </w:tc>
        <w:tc>
          <w:tcPr/>
          <w:p>
            <w:pPr>
              <w:pStyle w:val="Compact"/>
            </w:pPr>
            <w:r>
              <w:rPr>
                <w:sz w:val="17"/>
              </w:rPr>
              <w:t xml:space="preserve">Étant donné un badge d’agent, alors il est vérifiable publiquement, et sa révocation prend effet immédiatement sur tous les terminaux</w:t>
            </w:r>
          </w:p>
        </w:tc>
        <w:tc>
          <w:tcPr/>
          <w:p>
            <w:pPr>
              <w:pStyle w:val="Compact"/>
            </w:pPr>
            <w:r>
              <w:rPr>
                <w:sz w:val="17"/>
              </w:rPr>
              <w:t xml:space="preserve">C § 41</w:t>
            </w:r>
          </w:p>
        </w:tc>
      </w:tr>
      <w:tr>
        <w:tc>
          <w:tcPr>
            <w:shd w:val="clear" w:color="auto" w:fill="F5F7FB"/>
          </w:tcPr>
          <w:p>
            <w:pPr>
              <w:pStyle w:val="Compact"/>
            </w:pPr>
            <w:r>
              <w:rPr>
                <w:sz w:val="17"/>
              </w:rPr>
              <w:t xml:space="preserve">AC-PPT-01</w:t>
            </w:r>
          </w:p>
        </w:tc>
        <w:tc>
          <w:tcPr>
            <w:shd w:val="clear" w:color="auto" w:fill="F5F7FB"/>
          </w:tcPr>
          <w:p>
            <w:pPr>
              <w:pStyle w:val="Compact"/>
            </w:pPr>
            <w:r>
              <w:rPr>
                <w:sz w:val="17"/>
              </w:rPr>
              <w:t xml:space="preserve">Étant donné un point de paiement, lorsqu’il tente de modifier le montant d’une référence, alors la modification est refusée (négatif)</w:t>
            </w:r>
          </w:p>
        </w:tc>
        <w:tc>
          <w:tcPr>
            <w:shd w:val="clear" w:color="auto" w:fill="F5F7FB"/>
          </w:tcPr>
          <w:p>
            <w:pPr>
              <w:pStyle w:val="Compact"/>
            </w:pPr>
            <w:r>
              <w:rPr>
                <w:sz w:val="17"/>
              </w:rPr>
              <w:t xml:space="preserve">C § 41</w:t>
            </w:r>
          </w:p>
        </w:tc>
      </w:tr>
      <w:tr>
        <w:tc>
          <w:tcPr/>
          <w:p>
            <w:pPr>
              <w:pStyle w:val="Compact"/>
            </w:pPr>
            <w:r>
              <w:rPr>
                <w:sz w:val="17"/>
              </w:rPr>
              <w:t xml:space="preserve">AC-PPT-02</w:t>
            </w:r>
          </w:p>
        </w:tc>
        <w:tc>
          <w:tcPr/>
          <w:p>
            <w:pPr>
              <w:pStyle w:val="Compact"/>
            </w:pPr>
            <w:r>
              <w:rPr>
                <w:sz w:val="17"/>
              </w:rPr>
              <w:t xml:space="preserve">Étant donné tout paiement, alors au moins une preuve imprimable ou SMS vérifiable sans smartphone est produite</w:t>
            </w:r>
          </w:p>
        </w:tc>
        <w:tc>
          <w:tcPr/>
          <w:p>
            <w:pPr>
              <w:pStyle w:val="Compact"/>
            </w:pPr>
            <w:r>
              <w:rPr>
                <w:sz w:val="17"/>
              </w:rPr>
              <w:t xml:space="preserve">C § 41</w:t>
            </w:r>
          </w:p>
        </w:tc>
      </w:tr>
      <w:tr>
        <w:tc>
          <w:tcPr>
            <w:shd w:val="clear" w:color="auto" w:fill="F5F7FB"/>
          </w:tcPr>
          <w:p>
            <w:pPr>
              <w:pStyle w:val="Compact"/>
            </w:pPr>
            <w:r>
              <w:rPr>
                <w:sz w:val="17"/>
              </w:rPr>
              <w:t xml:space="preserve">AC-PPT-03</w:t>
            </w:r>
          </w:p>
        </w:tc>
        <w:tc>
          <w:tcPr>
            <w:shd w:val="clear" w:color="auto" w:fill="F5F7FB"/>
          </w:tcPr>
          <w:p>
            <w:pPr>
              <w:pStyle w:val="Compact"/>
            </w:pPr>
            <w:r>
              <w:rPr>
                <w:sz w:val="17"/>
              </w:rPr>
              <w:t xml:space="preserve">Étant donné un paiement en espèces chez un point agréé, alors le montant est non modifiable, la quittance n’est émise qu’après confirmation S2S, une preuve imprimée et un SMS sont remis, et le statut de l’objet devient « payé »</w:t>
            </w:r>
          </w:p>
        </w:tc>
        <w:tc>
          <w:tcPr>
            <w:shd w:val="clear" w:color="auto" w:fill="F5F7FB"/>
          </w:tcPr>
          <w:p>
            <w:pPr>
              <w:pStyle w:val="Compact"/>
            </w:pPr>
            <w:r>
              <w:rPr>
                <w:sz w:val="17"/>
              </w:rPr>
              <w:t xml:space="preserve">C § 18A.8</w:t>
            </w:r>
          </w:p>
        </w:tc>
      </w:tr>
      <w:tr>
        <w:tc>
          <w:tcPr/>
          <w:p>
            <w:pPr>
              <w:pStyle w:val="Compact"/>
            </w:pPr>
            <w:r>
              <w:rPr>
                <w:sz w:val="17"/>
              </w:rPr>
              <w:t xml:space="preserve">AC-PPT-04</w:t>
            </w:r>
          </w:p>
        </w:tc>
        <w:tc>
          <w:tcPr/>
          <w:p>
            <w:pPr>
              <w:pStyle w:val="Compact"/>
            </w:pPr>
            <w:r>
              <w:rPr>
                <w:sz w:val="17"/>
              </w:rPr>
              <w:t xml:space="preserve">Étant donné un point non référencé, alors aucune preuve qu’il présente n’est acceptée par la vérification</w:t>
            </w:r>
          </w:p>
        </w:tc>
        <w:tc>
          <w:tcPr/>
          <w:p>
            <w:pPr>
              <w:pStyle w:val="Compact"/>
            </w:pPr>
            <w:r>
              <w:rPr>
                <w:sz w:val="17"/>
              </w:rPr>
              <w:t xml:space="preserve">C § 18A.2</w:t>
            </w:r>
          </w:p>
        </w:tc>
      </w:tr>
      <w:tr>
        <w:tc>
          <w:tcPr>
            <w:shd w:val="clear" w:color="auto" w:fill="F5F7FB"/>
          </w:tcPr>
          <w:p>
            <w:pPr>
              <w:pStyle w:val="Compact"/>
            </w:pPr>
            <w:r>
              <w:rPr>
                <w:sz w:val="17"/>
              </w:rPr>
              <w:t xml:space="preserve">AC-TIT-01</w:t>
            </w:r>
          </w:p>
        </w:tc>
        <w:tc>
          <w:tcPr>
            <w:shd w:val="clear" w:color="auto" w:fill="F5F7FB"/>
          </w:tcPr>
          <w:p>
            <w:pPr>
              <w:pStyle w:val="Compact"/>
            </w:pPr>
            <w:r>
              <w:rPr>
                <w:sz w:val="17"/>
              </w:rPr>
              <w:t xml:space="preserve">Étant donné un titre, alors sa validité est calculée sur l’heure du serveur uniquement ; une horloge de terminal faussée n’a aucun effet</w:t>
            </w:r>
          </w:p>
        </w:tc>
        <w:tc>
          <w:tcPr>
            <w:shd w:val="clear" w:color="auto" w:fill="F5F7FB"/>
          </w:tcPr>
          <w:p>
            <w:pPr>
              <w:pStyle w:val="Compact"/>
            </w:pPr>
            <w:r>
              <w:rPr>
                <w:sz w:val="17"/>
              </w:rPr>
              <w:t xml:space="preserve">C § 41</w:t>
            </w:r>
          </w:p>
        </w:tc>
      </w:tr>
      <w:tr>
        <w:tc>
          <w:tcPr/>
          <w:p>
            <w:pPr>
              <w:pStyle w:val="Compact"/>
            </w:pPr>
            <w:r>
              <w:rPr>
                <w:sz w:val="17"/>
              </w:rPr>
              <w:t xml:space="preserve">AC-TIT-02</w:t>
            </w:r>
          </w:p>
        </w:tc>
        <w:tc>
          <w:tcPr/>
          <w:p>
            <w:pPr>
              <w:pStyle w:val="Compact"/>
            </w:pPr>
            <w:r>
              <w:rPr>
                <w:sz w:val="17"/>
              </w:rPr>
              <w:t xml:space="preserve">Étant donné un statut de titre, alors il est affiché par couleur + icône + texte</w:t>
            </w:r>
          </w:p>
        </w:tc>
        <w:tc>
          <w:tcPr/>
          <w:p>
            <w:pPr>
              <w:pStyle w:val="Compact"/>
            </w:pPr>
            <w:r>
              <w:rPr>
                <w:sz w:val="17"/>
              </w:rPr>
              <w:t xml:space="preserve">C § 41</w:t>
            </w:r>
          </w:p>
        </w:tc>
      </w:tr>
      <w:tr>
        <w:tc>
          <w:tcPr>
            <w:shd w:val="clear" w:color="auto" w:fill="F5F7FB"/>
          </w:tcPr>
          <w:p>
            <w:pPr>
              <w:pStyle w:val="Compact"/>
            </w:pPr>
            <w:r>
              <w:rPr>
                <w:sz w:val="17"/>
              </w:rPr>
              <w:t xml:space="preserve">AC-TIT-03</w:t>
            </w:r>
          </w:p>
        </w:tc>
        <w:tc>
          <w:tcPr>
            <w:shd w:val="clear" w:color="auto" w:fill="F5F7FB"/>
          </w:tcPr>
          <w:p>
            <w:pPr>
              <w:pStyle w:val="Compact"/>
            </w:pPr>
            <w:r>
              <w:rPr>
                <w:sz w:val="17"/>
              </w:rPr>
              <w:t xml:space="preserve">Étant donné un titre à usage unique, lorsqu’il est présenté une seconde fois (en ligne ou entre deux contrôles hors ligne réconciliés), alors « DÉJÀ UTILISÉ » s’affiche avec l’heure et le lieu du premier usage</w:t>
            </w:r>
          </w:p>
        </w:tc>
        <w:tc>
          <w:tcPr>
            <w:shd w:val="clear" w:color="auto" w:fill="F5F7FB"/>
          </w:tcPr>
          <w:p>
            <w:pPr>
              <w:pStyle w:val="Compact"/>
            </w:pPr>
            <w:r>
              <w:rPr>
                <w:sz w:val="17"/>
              </w:rPr>
              <w:t xml:space="preserve">C § 19A.7, § 41</w:t>
            </w:r>
          </w:p>
        </w:tc>
      </w:tr>
      <w:tr>
        <w:tc>
          <w:tcPr/>
          <w:p>
            <w:pPr>
              <w:pStyle w:val="Compact"/>
            </w:pPr>
            <w:r>
              <w:rPr>
                <w:sz w:val="17"/>
              </w:rPr>
              <w:t xml:space="preserve">AC-TIT-04</w:t>
            </w:r>
          </w:p>
        </w:tc>
        <w:tc>
          <w:tcPr/>
          <w:p>
            <w:pPr>
              <w:pStyle w:val="Compact"/>
            </w:pPr>
            <w:r>
              <w:rPr>
                <w:sz w:val="17"/>
              </w:rPr>
              <w:t xml:space="preserve">Étant donné un ticket journalier lu à moins de 2 heures de son expiration, alors il s’affiche en ambre avec icône et temps restant</w:t>
            </w:r>
          </w:p>
        </w:tc>
        <w:tc>
          <w:tcPr/>
          <w:p>
            <w:pPr>
              <w:pStyle w:val="Compact"/>
            </w:pPr>
            <w:r>
              <w:rPr>
                <w:sz w:val="17"/>
              </w:rPr>
              <w:t xml:space="preserve">C § 19A.7</w:t>
            </w:r>
          </w:p>
        </w:tc>
      </w:tr>
      <w:tr>
        <w:tc>
          <w:tcPr>
            <w:shd w:val="clear" w:color="auto" w:fill="F5F7FB"/>
          </w:tcPr>
          <w:p>
            <w:pPr>
              <w:pStyle w:val="Compact"/>
            </w:pPr>
            <w:r>
              <w:rPr>
                <w:sz w:val="17"/>
              </w:rPr>
              <w:t xml:space="preserve">AC-TIT-05</w:t>
            </w:r>
          </w:p>
        </w:tc>
        <w:tc>
          <w:tcPr>
            <w:shd w:val="clear" w:color="auto" w:fill="F5F7FB"/>
          </w:tcPr>
          <w:p>
            <w:pPr>
              <w:pStyle w:val="Compact"/>
            </w:pPr>
            <w:r>
              <w:rPr>
                <w:sz w:val="17"/>
              </w:rPr>
              <w:t xml:space="preserve">Étant donné une capture d’écran d’un QR dynamique, lorsqu’elle est scannée après 30 secondes, alors elle est refusée</w:t>
            </w:r>
          </w:p>
        </w:tc>
        <w:tc>
          <w:tcPr>
            <w:shd w:val="clear" w:color="auto" w:fill="F5F7FB"/>
          </w:tcPr>
          <w:p>
            <w:pPr>
              <w:pStyle w:val="Compact"/>
            </w:pPr>
            <w:r>
              <w:rPr>
                <w:sz w:val="17"/>
              </w:rPr>
              <w:t xml:space="preserve">C § 44</w:t>
            </w:r>
          </w:p>
        </w:tc>
      </w:tr>
      <w:tr>
        <w:tc>
          <w:tcPr/>
          <w:p>
            <w:pPr>
              <w:pStyle w:val="Compact"/>
            </w:pPr>
            <w:r>
              <w:rPr>
                <w:sz w:val="17"/>
              </w:rPr>
              <w:t xml:space="preserve">AC-TIT-06</w:t>
            </w:r>
          </w:p>
        </w:tc>
        <w:tc>
          <w:tcPr/>
          <w:p>
            <w:pPr>
              <w:pStyle w:val="Compact"/>
            </w:pPr>
            <w:r>
              <w:rPr>
                <w:sz w:val="17"/>
              </w:rPr>
              <w:t xml:space="preserve">Étant donné l’expiration d’un titre, alors aucune pénalité n’est créée automatiquement</w:t>
            </w:r>
          </w:p>
        </w:tc>
        <w:tc>
          <w:tcPr/>
          <w:p>
            <w:pPr>
              <w:pStyle w:val="Compact"/>
            </w:pPr>
            <w:r>
              <w:rPr>
                <w:sz w:val="17"/>
              </w:rPr>
              <w:t xml:space="preserve">C § 19A.7</w:t>
            </w:r>
          </w:p>
        </w:tc>
      </w:tr>
      <w:tr>
        <w:tc>
          <w:tcPr>
            <w:shd w:val="clear" w:color="auto" w:fill="F5F7FB"/>
          </w:tcPr>
          <w:p>
            <w:pPr>
              <w:pStyle w:val="Compact"/>
            </w:pPr>
            <w:r>
              <w:rPr>
                <w:sz w:val="17"/>
              </w:rPr>
              <w:t xml:space="preserve">AC-ENT-01</w:t>
            </w:r>
          </w:p>
        </w:tc>
        <w:tc>
          <w:tcPr>
            <w:shd w:val="clear" w:color="auto" w:fill="F5F7FB"/>
          </w:tcPr>
          <w:p>
            <w:pPr>
              <w:pStyle w:val="Compact"/>
            </w:pPr>
            <w:r>
              <w:rPr>
                <w:sz w:val="17"/>
              </w:rPr>
              <w:t xml:space="preserve">Étant donné une entité, lorsqu’elle tente de lire ou modifier les règles, titres ou obligations d’une autre, alors l’accès est refusé (négatif)</w:t>
            </w:r>
          </w:p>
        </w:tc>
        <w:tc>
          <w:tcPr>
            <w:shd w:val="clear" w:color="auto" w:fill="F5F7FB"/>
          </w:tcPr>
          <w:p>
            <w:pPr>
              <w:pStyle w:val="Compact"/>
            </w:pPr>
            <w:r>
              <w:rPr>
                <w:sz w:val="17"/>
              </w:rPr>
              <w:t xml:space="preserve">C § 41</w:t>
            </w:r>
          </w:p>
        </w:tc>
      </w:tr>
      <w:tr>
        <w:tc>
          <w:tcPr/>
          <w:p>
            <w:pPr>
              <w:pStyle w:val="Compact"/>
            </w:pPr>
            <w:r>
              <w:rPr>
                <w:sz w:val="17"/>
              </w:rPr>
              <w:t xml:space="preserve">AC-ENT-02</w:t>
            </w:r>
          </w:p>
        </w:tc>
        <w:tc>
          <w:tcPr/>
          <w:p>
            <w:pPr>
              <w:pStyle w:val="Compact"/>
            </w:pPr>
            <w:r>
              <w:rPr>
                <w:sz w:val="17"/>
              </w:rPr>
              <w:t xml:space="preserve">Étant donné un module, alors il n’est activé qu’avec une fiche approuvée et une recette réussie</w:t>
            </w:r>
          </w:p>
        </w:tc>
        <w:tc>
          <w:tcPr/>
          <w:p>
            <w:pPr>
              <w:pStyle w:val="Compact"/>
            </w:pPr>
            <w:r>
              <w:rPr>
                <w:sz w:val="17"/>
              </w:rPr>
              <w:t xml:space="preserve">C § 41</w:t>
            </w:r>
          </w:p>
        </w:tc>
      </w:tr>
      <w:tr>
        <w:tc>
          <w:tcPr>
            <w:shd w:val="clear" w:color="auto" w:fill="F5F7FB"/>
          </w:tcPr>
          <w:p>
            <w:pPr>
              <w:pStyle w:val="Compact"/>
            </w:pPr>
            <w:r>
              <w:rPr>
                <w:sz w:val="17"/>
              </w:rPr>
              <w:t xml:space="preserve">AC-ENT-03</w:t>
            </w:r>
          </w:p>
        </w:tc>
        <w:tc>
          <w:tcPr>
            <w:shd w:val="clear" w:color="auto" w:fill="F5F7FB"/>
          </w:tcPr>
          <w:p>
            <w:pPr>
              <w:pStyle w:val="Compact"/>
            </w:pPr>
            <w:r>
              <w:rPr>
                <w:sz w:val="17"/>
              </w:rPr>
              <w:t xml:space="preserve">Étant donné un rattachement de module, alors il est versionné et n’est effectif qu’après seconde validation</w:t>
            </w:r>
          </w:p>
        </w:tc>
        <w:tc>
          <w:tcPr>
            <w:shd w:val="clear" w:color="auto" w:fill="F5F7FB"/>
          </w:tcPr>
          <w:p>
            <w:pPr>
              <w:pStyle w:val="Compact"/>
            </w:pPr>
            <w:r>
              <w:rPr>
                <w:sz w:val="17"/>
              </w:rPr>
              <w:t xml:space="preserve">C § 41</w:t>
            </w:r>
          </w:p>
        </w:tc>
      </w:tr>
      <w:tr>
        <w:tc>
          <w:tcPr/>
          <w:p>
            <w:pPr>
              <w:pStyle w:val="Compact"/>
            </w:pPr>
            <w:r>
              <w:rPr>
                <w:sz w:val="17"/>
              </w:rPr>
              <w:t xml:space="preserve">AC-INV-01</w:t>
            </w:r>
          </w:p>
        </w:tc>
        <w:tc>
          <w:tcPr/>
          <w:p>
            <w:pPr>
              <w:pStyle w:val="Compact"/>
            </w:pPr>
            <w:r>
              <w:rPr>
                <w:sz w:val="17"/>
              </w:rPr>
              <w:t xml:space="preserve">Étant donné le parcours public, lorsqu’on tente d’obtenir un rôle de travail, alors seul un compte contribuable est créé (négatif)</w:t>
            </w:r>
          </w:p>
        </w:tc>
        <w:tc>
          <w:tcPr/>
          <w:p>
            <w:pPr>
              <w:pStyle w:val="Compact"/>
            </w:pPr>
            <w:r>
              <w:rPr>
                <w:sz w:val="17"/>
              </w:rPr>
              <w:t xml:space="preserve">C § 12A.7</w:t>
            </w:r>
          </w:p>
        </w:tc>
      </w:tr>
      <w:tr>
        <w:tc>
          <w:tcPr>
            <w:shd w:val="clear" w:color="auto" w:fill="F5F7FB"/>
          </w:tcPr>
          <w:p>
            <w:pPr>
              <w:pStyle w:val="Compact"/>
            </w:pPr>
            <w:r>
              <w:rPr>
                <w:sz w:val="17"/>
              </w:rPr>
              <w:t xml:space="preserve">AC-INV-02</w:t>
            </w:r>
          </w:p>
        </w:tc>
        <w:tc>
          <w:tcPr>
            <w:shd w:val="clear" w:color="auto" w:fill="F5F7FB"/>
          </w:tcPr>
          <w:p>
            <w:pPr>
              <w:pStyle w:val="Compact"/>
            </w:pPr>
            <w:r>
              <w:rPr>
                <w:sz w:val="17"/>
              </w:rPr>
              <w:t xml:space="preserve">Étant donné un responsable de module, alors il ne peut accorder qu’un niveau et un périmètre inférieurs ou égaux aux siens, dans son module</w:t>
            </w:r>
          </w:p>
        </w:tc>
        <w:tc>
          <w:tcPr>
            <w:shd w:val="clear" w:color="auto" w:fill="F5F7FB"/>
          </w:tcPr>
          <w:p>
            <w:pPr>
              <w:pStyle w:val="Compact"/>
            </w:pPr>
            <w:r>
              <w:rPr>
                <w:sz w:val="17"/>
              </w:rPr>
              <w:t xml:space="preserve">C § 12A.7</w:t>
            </w:r>
          </w:p>
        </w:tc>
      </w:tr>
      <w:tr>
        <w:tc>
          <w:tcPr/>
          <w:p>
            <w:pPr>
              <w:pStyle w:val="Compact"/>
            </w:pPr>
            <w:r>
              <w:rPr>
                <w:sz w:val="17"/>
              </w:rPr>
              <w:t xml:space="preserve">AC-INV-03</w:t>
            </w:r>
          </w:p>
        </w:tc>
        <w:tc>
          <w:tcPr/>
          <w:p>
            <w:pPr>
              <w:pStyle w:val="Compact"/>
            </w:pPr>
            <w:r>
              <w:rPr>
                <w:sz w:val="17"/>
              </w:rPr>
              <w:t xml:space="preserve">Étant donné un lien d’invitation ouvert depuis un autre numéro, après expiration ou une seconde fois, alors il est refusé</w:t>
            </w:r>
          </w:p>
        </w:tc>
        <w:tc>
          <w:tcPr/>
          <w:p>
            <w:pPr>
              <w:pStyle w:val="Compact"/>
            </w:pPr>
            <w:r>
              <w:rPr>
                <w:sz w:val="17"/>
              </w:rPr>
              <w:t xml:space="preserve">C § 12A.7</w:t>
            </w:r>
          </w:p>
        </w:tc>
      </w:tr>
      <w:tr>
        <w:tc>
          <w:tcPr>
            <w:shd w:val="clear" w:color="auto" w:fill="F5F7FB"/>
          </w:tcPr>
          <w:p>
            <w:pPr>
              <w:pStyle w:val="Compact"/>
            </w:pPr>
            <w:r>
              <w:rPr>
                <w:sz w:val="17"/>
              </w:rPr>
              <w:t xml:space="preserve">AC-INV-04</w:t>
            </w:r>
          </w:p>
        </w:tc>
        <w:tc>
          <w:tcPr>
            <w:shd w:val="clear" w:color="auto" w:fill="F5F7FB"/>
          </w:tcPr>
          <w:p>
            <w:pPr>
              <w:pStyle w:val="Compact"/>
            </w:pPr>
            <w:r>
              <w:rPr>
                <w:sz w:val="17"/>
              </w:rPr>
              <w:t xml:space="preserve">Étant donné une inscription assistée, alors niveau et périmètre sont conservés, les secrets sont définis par la personne, l’opération est journalisée et notifiée ; une personne non invitée ou d’une autre entité est refusée</w:t>
            </w:r>
          </w:p>
        </w:tc>
        <w:tc>
          <w:tcPr>
            <w:shd w:val="clear" w:color="auto" w:fill="F5F7FB"/>
          </w:tcPr>
          <w:p>
            <w:pPr>
              <w:pStyle w:val="Compact"/>
            </w:pPr>
            <w:r>
              <w:rPr>
                <w:sz w:val="17"/>
              </w:rPr>
              <w:t xml:space="preserve">C § 12A.7</w:t>
            </w:r>
          </w:p>
        </w:tc>
      </w:tr>
      <w:tr>
        <w:tc>
          <w:tcPr/>
          <w:p>
            <w:pPr>
              <w:pStyle w:val="Compact"/>
            </w:pPr>
            <w:r>
              <w:rPr>
                <w:sz w:val="17"/>
              </w:rPr>
              <w:t xml:space="preserve">AC-INV-05</w:t>
            </w:r>
          </w:p>
        </w:tc>
        <w:tc>
          <w:tcPr/>
          <w:p>
            <w:pPr>
              <w:pStyle w:val="Compact"/>
            </w:pPr>
            <w:r>
              <w:rPr>
                <w:sz w:val="17"/>
              </w:rPr>
              <w:t xml:space="preserve">Étant donné un rôle sensible invité par l’administrateur de la plateforme, alors le compte reste inactif jusqu’à la seconde validation par une personne distincte de l’invitant</w:t>
            </w:r>
          </w:p>
        </w:tc>
        <w:tc>
          <w:tcPr/>
          <w:p>
            <w:pPr>
              <w:pStyle w:val="Compact"/>
            </w:pPr>
            <w:r>
              <w:rPr>
                <w:sz w:val="17"/>
              </w:rPr>
              <w:t xml:space="preserve">C § 12A.7</w:t>
            </w:r>
          </w:p>
        </w:tc>
      </w:tr>
      <w:tr>
        <w:tc>
          <w:tcPr>
            <w:shd w:val="clear" w:color="auto" w:fill="F5F7FB"/>
          </w:tcPr>
          <w:p>
            <w:pPr>
              <w:pStyle w:val="Compact"/>
            </w:pPr>
            <w:r>
              <w:rPr>
                <w:sz w:val="17"/>
              </w:rPr>
              <w:t xml:space="preserve">AC-ALL-01</w:t>
            </w:r>
          </w:p>
        </w:tc>
        <w:tc>
          <w:tcPr>
            <w:shd w:val="clear" w:color="auto" w:fill="F5F7FB"/>
          </w:tcPr>
          <w:p>
            <w:pPr>
              <w:pStyle w:val="Compact"/>
            </w:pPr>
            <w:r>
              <w:rPr>
                <w:sz w:val="17"/>
              </w:rPr>
              <w:t xml:space="preserve">Étant donné un lot de paiements rapprochés relevant d’une recette partagée par la loi, alors la somme des parts légales est égale au montant rapproché ; tout écart déclenche une alerte</w:t>
            </w:r>
          </w:p>
        </w:tc>
        <w:tc>
          <w:tcPr>
            <w:shd w:val="clear" w:color="auto" w:fill="F5F7FB"/>
          </w:tcPr>
          <w:p>
            <w:pPr>
              <w:pStyle w:val="Compact"/>
            </w:pPr>
            <w:r>
              <w:rPr>
                <w:sz w:val="17"/>
              </w:rPr>
              <w:t xml:space="preserve">C § 41 (réécrit, ARB-74)</w:t>
            </w:r>
          </w:p>
        </w:tc>
      </w:tr>
      <w:tr>
        <w:tc>
          <w:tcPr/>
          <w:p>
            <w:pPr>
              <w:pStyle w:val="Compact"/>
            </w:pPr>
            <w:r>
              <w:rPr>
                <w:sz w:val="17"/>
              </w:rPr>
              <w:t xml:space="preserve">AC-ALL-02</w:t>
            </w:r>
          </w:p>
        </w:tc>
        <w:tc>
          <w:tcPr/>
          <w:p>
            <w:pPr>
              <w:pStyle w:val="Compact"/>
            </w:pPr>
            <w:r>
              <w:rPr>
                <w:sz w:val="17"/>
              </w:rPr>
              <w:t xml:space="preserve">Étant donné toute tentative de créer une instruction de virement automatique d’une part de recettes vers un compte non public, alors elle est rejetée (négatif)</w:t>
            </w:r>
          </w:p>
        </w:tc>
        <w:tc>
          <w:tcPr/>
          <w:p>
            <w:pPr>
              <w:pStyle w:val="Compact"/>
            </w:pPr>
            <w:r>
              <w:rPr>
                <w:sz w:val="17"/>
              </w:rPr>
              <w:t xml:space="preserve">C § 41 (réécrit, ARB-04)</w:t>
            </w:r>
          </w:p>
        </w:tc>
      </w:tr>
      <w:tr>
        <w:tc>
          <w:tcPr>
            <w:shd w:val="clear" w:color="auto" w:fill="F5F7FB"/>
          </w:tcPr>
          <w:p>
            <w:pPr>
              <w:pStyle w:val="Compact"/>
            </w:pPr>
            <w:r>
              <w:rPr>
                <w:sz w:val="17"/>
              </w:rPr>
              <w:t xml:space="preserve">AC-FLD-03</w:t>
            </w:r>
          </w:p>
        </w:tc>
        <w:tc>
          <w:tcPr>
            <w:shd w:val="clear" w:color="auto" w:fill="F5F7FB"/>
          </w:tcPr>
          <w:p>
            <w:pPr>
              <w:pStyle w:val="Compact"/>
            </w:pPr>
            <w:r>
              <w:rPr>
                <w:sz w:val="17"/>
              </w:rPr>
              <w:t xml:space="preserve">Étant donné des captures hors ligne concurrentes, lors de la synchronisation, alors doublons et conflits sont détectés et arbitrés sans perte</w:t>
            </w:r>
          </w:p>
        </w:tc>
        <w:tc>
          <w:tcPr>
            <w:shd w:val="clear" w:color="auto" w:fill="F5F7FB"/>
          </w:tcPr>
          <w:p>
            <w:pPr>
              <w:pStyle w:val="Compact"/>
            </w:pPr>
            <w:r>
              <w:rPr>
                <w:sz w:val="17"/>
              </w:rPr>
              <w:t xml:space="preserve">C § 41</w:t>
            </w:r>
          </w:p>
        </w:tc>
      </w:tr>
      <w:tr>
        <w:tc>
          <w:tcPr/>
          <w:p>
            <w:pPr>
              <w:pStyle w:val="Compact"/>
            </w:pPr>
            <w:r>
              <w:rPr>
                <w:sz w:val="17"/>
              </w:rPr>
              <w:t xml:space="preserve">AC-FLD-04</w:t>
            </w:r>
          </w:p>
        </w:tc>
        <w:tc>
          <w:tcPr/>
          <w:p>
            <w:pPr>
              <w:pStyle w:val="Compact"/>
            </w:pPr>
            <w:r>
              <w:rPr>
                <w:sz w:val="17"/>
              </w:rPr>
              <w:t xml:space="preserve">Étant donné un contrôle par plaque en ligne, alors la réponse est fournie en moins de 3 secondes ; hors ligne, un statut minimal est affiché ; la consultation est journalisée</w:t>
            </w:r>
          </w:p>
        </w:tc>
        <w:tc>
          <w:tcPr/>
          <w:p>
            <w:pPr>
              <w:pStyle w:val="Compact"/>
            </w:pPr>
            <w:r>
              <w:rPr>
                <w:sz w:val="17"/>
              </w:rPr>
              <w:t xml:space="preserve">C § 42</w:t>
            </w:r>
          </w:p>
        </w:tc>
      </w:tr>
      <w:tr>
        <w:tc>
          <w:tcPr>
            <w:shd w:val="clear" w:color="auto" w:fill="F5F7FB"/>
          </w:tcPr>
          <w:p>
            <w:pPr>
              <w:pStyle w:val="Compact"/>
            </w:pPr>
            <w:r>
              <w:rPr>
                <w:sz w:val="17"/>
              </w:rPr>
              <w:t xml:space="preserve">AC-PRK-01</w:t>
            </w:r>
          </w:p>
        </w:tc>
        <w:tc>
          <w:tcPr>
            <w:shd w:val="clear" w:color="auto" w:fill="F5F7FB"/>
          </w:tcPr>
          <w:p>
            <w:pPr>
              <w:pStyle w:val="Compact"/>
            </w:pPr>
            <w:r>
              <w:rPr>
                <w:sz w:val="17"/>
              </w:rPr>
              <w:t xml:space="preserve">Étant donné un ticket de stationnement, alors il est vérifiable par la seule plaque</w:t>
            </w:r>
          </w:p>
        </w:tc>
        <w:tc>
          <w:tcPr>
            <w:shd w:val="clear" w:color="auto" w:fill="F5F7FB"/>
          </w:tcPr>
          <w:p>
            <w:pPr>
              <w:pStyle w:val="Compact"/>
            </w:pPr>
            <w:r>
              <w:rPr>
                <w:sz w:val="17"/>
              </w:rPr>
              <w:t xml:space="preserve">C § 41</w:t>
            </w:r>
          </w:p>
        </w:tc>
      </w:tr>
      <w:tr>
        <w:tc>
          <w:tcPr/>
          <w:p>
            <w:pPr>
              <w:pStyle w:val="Compact"/>
            </w:pPr>
            <w:r>
              <w:rPr>
                <w:sz w:val="17"/>
              </w:rPr>
              <w:t xml:space="preserve">AC-AVI-01</w:t>
            </w:r>
          </w:p>
        </w:tc>
        <w:tc>
          <w:tcPr/>
          <w:p>
            <w:pPr>
              <w:pStyle w:val="Compact"/>
            </w:pPr>
            <w:r>
              <w:rPr>
                <w:sz w:val="17"/>
              </w:rPr>
              <w:t xml:space="preserve">Étant donné un billet sans IFA, alors il est signalé au rapprochement aérien,</w:t>
            </w:r>
            <w:r>
              <w:rPr>
                <w:sz w:val="17"/>
              </w:rPr>
              <w:t xml:space="preserve"> </w:t>
            </w:r>
            <w:r>
              <w:rPr>
                <w:b/>
                <w:bCs/>
                <w:sz w:val="17"/>
              </w:rPr>
              <w:t xml:space="preserve">sans aucune mesure automatique</w:t>
            </w:r>
          </w:p>
        </w:tc>
        <w:tc>
          <w:tcPr/>
          <w:p>
            <w:pPr>
              <w:pStyle w:val="Compact"/>
            </w:pPr>
            <w:r>
              <w:rPr>
                <w:sz w:val="17"/>
              </w:rPr>
              <w:t xml:space="preserve">C § 41</w:t>
            </w:r>
          </w:p>
        </w:tc>
      </w:tr>
      <w:tr>
        <w:tc>
          <w:tcPr>
            <w:shd w:val="clear" w:color="auto" w:fill="F5F7FB"/>
          </w:tcPr>
          <w:p>
            <w:pPr>
              <w:pStyle w:val="Compact"/>
            </w:pPr>
            <w:r>
              <w:rPr>
                <w:sz w:val="17"/>
              </w:rPr>
              <w:t xml:space="preserve">AC-CAL-01</w:t>
            </w:r>
          </w:p>
        </w:tc>
        <w:tc>
          <w:tcPr>
            <w:shd w:val="clear" w:color="auto" w:fill="F5F7FB"/>
          </w:tcPr>
          <w:p>
            <w:pPr>
              <w:pStyle w:val="Compact"/>
            </w:pPr>
            <w:r>
              <w:rPr>
                <w:sz w:val="17"/>
              </w:rPr>
              <w:t xml:space="preserve">Étant donné une transaction publique sans justificatif, alors CALCU la classe rouge sans la bloquer</w:t>
            </w:r>
          </w:p>
        </w:tc>
        <w:tc>
          <w:tcPr>
            <w:shd w:val="clear" w:color="auto" w:fill="F5F7FB"/>
          </w:tcPr>
          <w:p>
            <w:pPr>
              <w:pStyle w:val="Compact"/>
            </w:pPr>
            <w:r>
              <w:rPr>
                <w:sz w:val="17"/>
              </w:rPr>
              <w:t xml:space="preserve">C § 41</w:t>
            </w:r>
          </w:p>
        </w:tc>
      </w:tr>
      <w:tr>
        <w:tc>
          <w:tcPr/>
          <w:p>
            <w:pPr>
              <w:pStyle w:val="Compact"/>
            </w:pPr>
            <w:r>
              <w:rPr>
                <w:sz w:val="17"/>
              </w:rPr>
              <w:t xml:space="preserve">AC-PUB-01</w:t>
            </w:r>
          </w:p>
        </w:tc>
        <w:tc>
          <w:tcPr/>
          <w:p>
            <w:pPr>
              <w:pStyle w:val="Compact"/>
            </w:pPr>
            <w:r>
              <w:rPr>
                <w:sz w:val="17"/>
              </w:rPr>
              <w:t xml:space="preserve">Étant donné un constat publicitaire soumis, alors le contrôleur ne peut plus le modifier ni le supprimer ; toute correction est un acte contraire motivé</w:t>
            </w:r>
          </w:p>
        </w:tc>
        <w:tc>
          <w:tcPr/>
          <w:p>
            <w:pPr>
              <w:pStyle w:val="Compact"/>
            </w:pPr>
            <w:r>
              <w:rPr>
                <w:sz w:val="17"/>
              </w:rPr>
              <w:t xml:space="preserve">C § 11B.4</w:t>
            </w:r>
          </w:p>
        </w:tc>
      </w:tr>
      <w:tr>
        <w:tc>
          <w:tcPr>
            <w:shd w:val="clear" w:color="auto" w:fill="F5F7FB"/>
          </w:tcPr>
          <w:p>
            <w:pPr>
              <w:pStyle w:val="Compact"/>
            </w:pPr>
            <w:r>
              <w:rPr>
                <w:sz w:val="17"/>
              </w:rPr>
              <w:t xml:space="preserve">AC-WEW-01</w:t>
            </w:r>
          </w:p>
        </w:tc>
        <w:tc>
          <w:tcPr>
            <w:shd w:val="clear" w:color="auto" w:fill="F5F7FB"/>
          </w:tcPr>
          <w:p>
            <w:pPr>
              <w:pStyle w:val="Compact"/>
            </w:pPr>
            <w:r>
              <w:rPr>
                <w:sz w:val="17"/>
              </w:rPr>
              <w:t xml:space="preserve">Étant donné une moto en vert scannée, alors le statut, le conducteur vérifié et la validité sont affichés, le contrôle est journalisé, et</w:t>
            </w:r>
            <w:r>
              <w:rPr>
                <w:sz w:val="17"/>
              </w:rPr>
              <w:t xml:space="preserve"> </w:t>
            </w:r>
            <w:r>
              <w:rPr>
                <w:b/>
                <w:bCs/>
                <w:sz w:val="17"/>
              </w:rPr>
              <w:t xml:space="preserve">aucun paiement n’est demandé</w:t>
            </w:r>
          </w:p>
        </w:tc>
        <w:tc>
          <w:tcPr>
            <w:shd w:val="clear" w:color="auto" w:fill="F5F7FB"/>
          </w:tcPr>
          <w:p>
            <w:pPr>
              <w:pStyle w:val="Compact"/>
            </w:pPr>
            <w:r>
              <w:rPr>
                <w:sz w:val="17"/>
              </w:rPr>
              <w:t xml:space="preserve">C § 11D.8</w:t>
            </w:r>
          </w:p>
        </w:tc>
      </w:tr>
      <w:tr>
        <w:tc>
          <w:tcPr/>
          <w:p>
            <w:pPr>
              <w:pStyle w:val="Compact"/>
            </w:pPr>
            <w:r>
              <w:rPr>
                <w:sz w:val="17"/>
              </w:rPr>
              <w:t xml:space="preserve">AC-WEW-02</w:t>
            </w:r>
          </w:p>
        </w:tc>
        <w:tc>
          <w:tcPr/>
          <w:p>
            <w:pPr>
              <w:pStyle w:val="Compact"/>
            </w:pPr>
            <w:r>
              <w:rPr>
                <w:sz w:val="17"/>
              </w:rPr>
              <w:t xml:space="preserve">Étant donné un paiement groupé par une coopérative, alors chaque pass est activé individuellement, lié à une plaque et à un conducteur, non transférable, avec sa quittance</w:t>
            </w:r>
          </w:p>
        </w:tc>
        <w:tc>
          <w:tcPr/>
          <w:p>
            <w:pPr>
              <w:pStyle w:val="Compact"/>
            </w:pPr>
            <w:r>
              <w:rPr>
                <w:sz w:val="17"/>
              </w:rPr>
              <w:t xml:space="preserve">C § 11D.8</w:t>
            </w:r>
          </w:p>
        </w:tc>
      </w:tr>
      <w:tr>
        <w:tc>
          <w:tcPr>
            <w:shd w:val="clear" w:color="auto" w:fill="F5F7FB"/>
          </w:tcPr>
          <w:p>
            <w:pPr>
              <w:pStyle w:val="Compact"/>
            </w:pPr>
            <w:r>
              <w:rPr>
                <w:sz w:val="17"/>
              </w:rPr>
              <w:t xml:space="preserve">AC-TKT-01</w:t>
            </w:r>
          </w:p>
        </w:tc>
        <w:tc>
          <w:tcPr>
            <w:shd w:val="clear" w:color="auto" w:fill="F5F7FB"/>
          </w:tcPr>
          <w:p>
            <w:pPr>
              <w:pStyle w:val="Compact"/>
            </w:pPr>
            <w:r>
              <w:rPr>
                <w:sz w:val="17"/>
              </w:rPr>
              <w:t xml:space="preserve">Étant donné une vente d’un opérateur privé de billetterie, alors elle est enregistrée dans un circuit comptable séparé des recettes publiques</w:t>
            </w:r>
          </w:p>
        </w:tc>
        <w:tc>
          <w:tcPr>
            <w:shd w:val="clear" w:color="auto" w:fill="F5F7FB"/>
          </w:tcPr>
          <w:p>
            <w:pPr>
              <w:pStyle w:val="Compact"/>
            </w:pPr>
            <w:r>
              <w:rPr>
                <w:sz w:val="17"/>
              </w:rPr>
              <w:t xml:space="preserve">C § 41</w:t>
            </w:r>
          </w:p>
        </w:tc>
      </w:tr>
      <w:tr>
        <w:tc>
          <w:tcPr/>
          <w:p>
            <w:pPr>
              <w:pStyle w:val="Compact"/>
            </w:pPr>
            <w:r>
              <w:rPr>
                <w:sz w:val="17"/>
              </w:rPr>
              <w:t xml:space="preserve">AC-TKT-02</w:t>
            </w:r>
          </w:p>
        </w:tc>
        <w:tc>
          <w:tcPr/>
          <w:p>
            <w:pPr>
              <w:pStyle w:val="Compact"/>
            </w:pPr>
            <w:r>
              <w:rPr>
                <w:sz w:val="17"/>
              </w:rPr>
              <w:t xml:space="preserve">Étant donné un usager sans ticket valide, lors du contrôle, alors le système produit un constat et propose l’achat immédiat du ticket (régularisation) ; toute pénalité n’est émise que par un agent habilité selon le barème de l’acte et reste contestable</w:t>
            </w:r>
          </w:p>
        </w:tc>
        <w:tc>
          <w:tcPr/>
          <w:p>
            <w:pPr>
              <w:pStyle w:val="Compact"/>
            </w:pPr>
            <w:r>
              <w:rPr>
                <w:sz w:val="17"/>
              </w:rPr>
              <w:t xml:space="preserve">C § 11D.3 (réécrit, ARB-13)</w:t>
            </w:r>
          </w:p>
        </w:tc>
      </w:tr>
      <w:tr>
        <w:tc>
          <w:tcPr>
            <w:shd w:val="clear" w:color="auto" w:fill="F5F7FB"/>
          </w:tcPr>
          <w:p>
            <w:pPr>
              <w:pStyle w:val="Compact"/>
            </w:pPr>
            <w:r>
              <w:rPr>
                <w:sz w:val="17"/>
              </w:rPr>
              <w:t xml:space="preserve">AC-REC-01</w:t>
            </w:r>
          </w:p>
        </w:tc>
        <w:tc>
          <w:tcPr>
            <w:shd w:val="clear" w:color="auto" w:fill="F5F7FB"/>
          </w:tcPr>
          <w:p>
            <w:pPr>
              <w:pStyle w:val="Compact"/>
            </w:pPr>
            <w:r>
              <w:rPr>
                <w:sz w:val="17"/>
              </w:rPr>
              <w:t xml:space="preserve">Étant donné un appariement déterministe au-dessus du seuil, alors le rapprochement est proposé ou appliqué selon la politique approuvée, et audité</w:t>
            </w:r>
          </w:p>
        </w:tc>
        <w:tc>
          <w:tcPr>
            <w:shd w:val="clear" w:color="auto" w:fill="F5F7FB"/>
          </w:tcPr>
          <w:p>
            <w:pPr>
              <w:pStyle w:val="Compact"/>
            </w:pPr>
            <w:r>
              <w:rPr>
                <w:sz w:val="17"/>
              </w:rPr>
              <w:t xml:space="preserve">C § 20.1</w:t>
            </w:r>
          </w:p>
        </w:tc>
      </w:tr>
    </w:tbl>
    <w:bookmarkEnd w:id="527"/>
    <w:bookmarkStart w:id="531" w:name="X114c51179972e9538614309663ff9bfc84a959d"/>
    <w:p>
      <w:pPr>
        <w:pStyle w:val="Heading2"/>
      </w:pPr>
      <w:r>
        <w:t xml:space="preserve">H.22 Chapitres 42 et 43 — Carnet de développement et plan de livraison</w:t>
      </w:r>
    </w:p>
    <w:bookmarkStart w:id="528" w:name="h.22.1-épopées-complémentaires"/>
    <w:p>
      <w:pPr>
        <w:pStyle w:val="Heading3"/>
      </w:pPr>
      <w:r>
        <w:t xml:space="preserve">H.22.1 Épopées complémentaires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584"/>
        <w:gridCol w:w="1584"/>
        <w:gridCol w:w="1584"/>
        <w:gridCol w:w="1584"/>
        <w:gridCol w:w="1584"/>
      </w:tblGrid>
      <w:tr>
        <w:trPr>
          <w:tblHeader w:val="on"/>
        </w:trPr>
        <w:tc>
          <w:tcPr>
            <w:shd w:val="clear" w:color="auto" w:fill="232C6B"/>
          </w:tcPr>
          <w:p>
            <w:pPr>
              <w:pStyle w:val="Compact"/>
            </w:pPr>
            <w:r>
              <w:rPr>
                <w:b/>
                <w:color w:val="FFFFFF"/>
                <w:sz w:val="17"/>
              </w:rPr>
              <w:t xml:space="preserve">Épopée</w:t>
            </w:r>
          </w:p>
        </w:tc>
        <w:tc>
          <w:tcPr>
            <w:shd w:val="clear" w:color="auto" w:fill="232C6B"/>
          </w:tcPr>
          <w:p>
            <w:pPr>
              <w:pStyle w:val="Compact"/>
            </w:pPr>
            <w:r>
              <w:rPr>
                <w:b/>
                <w:color w:val="FFFFFF"/>
                <w:sz w:val="17"/>
              </w:rPr>
              <w:t xml:space="preserve">Contenu</w:t>
            </w:r>
          </w:p>
        </w:tc>
        <w:tc>
          <w:tcPr>
            <w:shd w:val="clear" w:color="auto" w:fill="232C6B"/>
          </w:tcPr>
          <w:p>
            <w:pPr>
              <w:pStyle w:val="Compact"/>
            </w:pPr>
            <w:r>
              <w:rPr>
                <w:b/>
                <w:color w:val="FFFFFF"/>
                <w:sz w:val="17"/>
              </w:rPr>
              <w:t xml:space="preserve">Modules</w:t>
            </w:r>
          </w:p>
        </w:tc>
        <w:tc>
          <w:tcPr>
            <w:shd w:val="clear" w:color="auto" w:fill="232C6B"/>
          </w:tcPr>
          <w:p>
            <w:pPr>
              <w:pStyle w:val="Compact"/>
            </w:pPr>
            <w:r>
              <w:rPr>
                <w:b/>
                <w:color w:val="FFFFFF"/>
                <w:sz w:val="17"/>
              </w:rPr>
              <w:t xml:space="preserve">Release source</w:t>
            </w:r>
          </w:p>
        </w:tc>
        <w:tc>
          <w:tcPr>
            <w:shd w:val="clear" w:color="auto" w:fill="232C6B"/>
          </w:tcPr>
          <w:p>
            <w:pPr>
              <w:pStyle w:val="Compact"/>
            </w:pPr>
            <w:r>
              <w:rPr>
                <w:b/>
                <w:color w:val="FFFFFF"/>
                <w:sz w:val="17"/>
              </w:rPr>
              <w:t xml:space="preserve">Release v3.0</w:t>
            </w:r>
          </w:p>
        </w:tc>
      </w:tr>
      <w:tr>
        <w:tc>
          <w:tcPr/>
          <w:p>
            <w:pPr>
              <w:pStyle w:val="Compact"/>
            </w:pPr>
            <w:r>
              <w:rPr>
                <w:sz w:val="17"/>
              </w:rPr>
              <w:t xml:space="preserve">E21 Enrôlement inclusif</w:t>
            </w:r>
          </w:p>
        </w:tc>
        <w:tc>
          <w:tcPr/>
          <w:p>
            <w:pPr>
              <w:pStyle w:val="Compact"/>
            </w:pPr>
            <w:r>
              <w:rPr>
                <w:sz w:val="17"/>
              </w:rPr>
              <w:t xml:space="preserve">Guichets, enrôlement assisté, consentement, carte MOSOLO, SVI</w:t>
            </w:r>
          </w:p>
        </w:tc>
        <w:tc>
          <w:tcPr/>
          <w:p>
            <w:pPr>
              <w:pStyle w:val="Compact"/>
            </w:pPr>
            <w:r>
              <w:rPr>
                <w:sz w:val="17"/>
              </w:rPr>
              <w:t xml:space="preserve">63, 64, 65</w:t>
            </w:r>
          </w:p>
        </w:tc>
        <w:tc>
          <w:tcPr/>
          <w:p>
            <w:pPr>
              <w:pStyle w:val="Compact"/>
            </w:pPr>
            <w:r>
              <w:rPr>
                <w:sz w:val="17"/>
              </w:rPr>
              <w:t xml:space="preserve">R1</w:t>
            </w:r>
          </w:p>
        </w:tc>
        <w:tc>
          <w:tcPr/>
          <w:p>
            <w:pPr>
              <w:pStyle w:val="Compact"/>
            </w:pPr>
            <w:r>
              <w:rPr>
                <w:sz w:val="17"/>
              </w:rPr>
              <w:t xml:space="preserve">R1 (63) ; R2 (64, 65)</w:t>
            </w:r>
          </w:p>
        </w:tc>
      </w:tr>
      <w:tr>
        <w:tc>
          <w:tcPr>
            <w:shd w:val="clear" w:color="auto" w:fill="F5F7FB"/>
          </w:tcPr>
          <w:p>
            <w:pPr>
              <w:pStyle w:val="Compact"/>
            </w:pPr>
            <w:r>
              <w:rPr>
                <w:sz w:val="17"/>
              </w:rPr>
              <w:t xml:space="preserve">E22 Réseau de paiement assisté</w:t>
            </w:r>
          </w:p>
        </w:tc>
        <w:tc>
          <w:tcPr>
            <w:shd w:val="clear" w:color="auto" w:fill="F5F7FB"/>
          </w:tcPr>
          <w:p>
            <w:pPr>
              <w:pStyle w:val="Compact"/>
            </w:pPr>
            <w:r>
              <w:rPr>
                <w:sz w:val="17"/>
              </w:rPr>
              <w:t xml:space="preserve">Points agréés, encaissement sur référence, preuves, vérification par code court</w:t>
            </w:r>
          </w:p>
        </w:tc>
        <w:tc>
          <w:tcPr>
            <w:shd w:val="clear" w:color="auto" w:fill="F5F7FB"/>
          </w:tcPr>
          <w:p>
            <w:pPr>
              <w:pStyle w:val="Compact"/>
            </w:pPr>
            <w:r>
              <w:rPr>
                <w:sz w:val="17"/>
              </w:rPr>
              <w:t xml:space="preserve">66, 68</w:t>
            </w:r>
          </w:p>
        </w:tc>
        <w:tc>
          <w:tcPr>
            <w:shd w:val="clear" w:color="auto" w:fill="F5F7FB"/>
          </w:tcPr>
          <w:p>
            <w:pPr>
              <w:pStyle w:val="Compact"/>
            </w:pPr>
            <w:r>
              <w:rPr>
                <w:sz w:val="17"/>
              </w:rPr>
              <w:t xml:space="preserve">R1</w:t>
            </w:r>
          </w:p>
        </w:tc>
        <w:tc>
          <w:tcPr>
            <w:shd w:val="clear" w:color="auto" w:fill="F5F7FB"/>
          </w:tcPr>
          <w:p>
            <w:pPr>
              <w:pStyle w:val="Compact"/>
            </w:pPr>
            <w:r>
              <w:rPr>
                <w:sz w:val="17"/>
              </w:rPr>
              <w:t xml:space="preserve">R1</w:t>
            </w:r>
          </w:p>
        </w:tc>
      </w:tr>
      <w:tr>
        <w:tc>
          <w:tcPr/>
          <w:p>
            <w:pPr>
              <w:pStyle w:val="Compact"/>
            </w:pPr>
            <w:r>
              <w:rPr>
                <w:sz w:val="17"/>
              </w:rPr>
              <w:t xml:space="preserve">E23 Sous-traitance et équipes</w:t>
            </w:r>
          </w:p>
        </w:tc>
        <w:tc>
          <w:tcPr/>
          <w:p>
            <w:pPr>
              <w:pStyle w:val="Compact"/>
            </w:pPr>
            <w:r>
              <w:rPr>
                <w:sz w:val="17"/>
              </w:rPr>
              <w:t xml:space="preserve">Accréditation, lots, habilitation, qualité, badges</w:t>
            </w:r>
          </w:p>
        </w:tc>
        <w:tc>
          <w:tcPr/>
          <w:p>
            <w:pPr>
              <w:pStyle w:val="Compact"/>
            </w:pPr>
            <w:r>
              <w:rPr>
                <w:sz w:val="17"/>
              </w:rPr>
              <w:t xml:space="preserve">67, 58</w:t>
            </w:r>
          </w:p>
        </w:tc>
        <w:tc>
          <w:tcPr/>
          <w:p>
            <w:pPr>
              <w:pStyle w:val="Compact"/>
            </w:pPr>
            <w:r>
              <w:rPr>
                <w:sz w:val="17"/>
              </w:rPr>
              <w:t xml:space="preserve">R1–R2</w:t>
            </w:r>
          </w:p>
        </w:tc>
        <w:tc>
          <w:tcPr/>
          <w:p>
            <w:pPr>
              <w:pStyle w:val="Compact"/>
            </w:pPr>
            <w:r>
              <w:rPr>
                <w:sz w:val="17"/>
              </w:rPr>
              <w:t xml:space="preserve">R2 (R0 pour les équipes internes du recensement)</w:t>
            </w:r>
          </w:p>
        </w:tc>
      </w:tr>
      <w:tr>
        <w:tc>
          <w:tcPr>
            <w:shd w:val="clear" w:color="auto" w:fill="F5F7FB"/>
          </w:tcPr>
          <w:p>
            <w:pPr>
              <w:pStyle w:val="Compact"/>
            </w:pPr>
            <w:r>
              <w:rPr>
                <w:sz w:val="17"/>
              </w:rPr>
              <w:t xml:space="preserve">E24 Signalement et contrôles</w:t>
            </w:r>
          </w:p>
        </w:tc>
        <w:tc>
          <w:tcPr>
            <w:shd w:val="clear" w:color="auto" w:fill="F5F7FB"/>
          </w:tcPr>
          <w:p>
            <w:pPr>
              <w:pStyle w:val="Compact"/>
            </w:pPr>
            <w:r>
              <w:rPr>
                <w:sz w:val="17"/>
              </w:rPr>
              <w:t xml:space="preserve">Ligne de signalement, contrôles mystère</w:t>
            </w:r>
          </w:p>
        </w:tc>
        <w:tc>
          <w:tcPr>
            <w:shd w:val="clear" w:color="auto" w:fill="F5F7FB"/>
          </w:tcPr>
          <w:p>
            <w:pPr>
              <w:pStyle w:val="Compact"/>
            </w:pPr>
            <w:r>
              <w:rPr>
                <w:sz w:val="17"/>
              </w:rPr>
              <w:t xml:space="preserve">69</w:t>
            </w:r>
          </w:p>
        </w:tc>
        <w:tc>
          <w:tcPr>
            <w:shd w:val="clear" w:color="auto" w:fill="F5F7FB"/>
          </w:tcPr>
          <w:p>
            <w:pPr>
              <w:pStyle w:val="Compact"/>
            </w:pPr>
            <w:r>
              <w:rPr>
                <w:sz w:val="17"/>
              </w:rPr>
              <w:t xml:space="preserve">R2</w:t>
            </w:r>
          </w:p>
        </w:tc>
        <w:tc>
          <w:tcPr>
            <w:shd w:val="clear" w:color="auto" w:fill="F5F7FB"/>
          </w:tcPr>
          <w:p>
            <w:pPr>
              <w:pStyle w:val="Compact"/>
            </w:pPr>
            <w:r>
              <w:rPr>
                <w:sz w:val="17"/>
              </w:rPr>
              <w:t xml:space="preserve">R2</w:t>
            </w:r>
          </w:p>
        </w:tc>
      </w:tr>
      <w:tr>
        <w:tc>
          <w:tcPr/>
          <w:p>
            <w:pPr>
              <w:pStyle w:val="Compact"/>
            </w:pPr>
            <w:r>
              <w:rPr>
                <w:sz w:val="17"/>
              </w:rPr>
              <w:t xml:space="preserve">E25 Moteur de titres</w:t>
            </w:r>
          </w:p>
        </w:tc>
        <w:tc>
          <w:tcPr/>
          <w:p>
            <w:pPr>
              <w:pStyle w:val="Compact"/>
            </w:pPr>
            <w:r>
              <w:rPr>
                <w:sz w:val="17"/>
              </w:rPr>
              <w:t xml:space="preserve">Types, validité, statuts, QR dynamique</w:t>
            </w:r>
          </w:p>
        </w:tc>
        <w:tc>
          <w:tcPr/>
          <w:p>
            <w:pPr>
              <w:pStyle w:val="Compact"/>
            </w:pPr>
            <w:r>
              <w:rPr>
                <w:sz w:val="17"/>
              </w:rPr>
              <w:t xml:space="preserve">70</w:t>
            </w:r>
          </w:p>
        </w:tc>
        <w:tc>
          <w:tcPr/>
          <w:p>
            <w:pPr>
              <w:pStyle w:val="Compact"/>
            </w:pPr>
            <w:r>
              <w:rPr>
                <w:sz w:val="17"/>
              </w:rPr>
              <w:t xml:space="preserve">R1–R2</w:t>
            </w:r>
          </w:p>
        </w:tc>
        <w:tc>
          <w:tcPr/>
          <w:p>
            <w:pPr>
              <w:pStyle w:val="Compact"/>
            </w:pPr>
            <w:r>
              <w:rPr>
                <w:sz w:val="17"/>
              </w:rPr>
              <w:t xml:space="preserve">R2</w:t>
            </w:r>
          </w:p>
        </w:tc>
      </w:tr>
      <w:tr>
        <w:tc>
          <w:tcPr>
            <w:shd w:val="clear" w:color="auto" w:fill="F5F7FB"/>
          </w:tcPr>
          <w:p>
            <w:pPr>
              <w:pStyle w:val="Compact"/>
            </w:pPr>
            <w:r>
              <w:rPr>
                <w:sz w:val="17"/>
              </w:rPr>
              <w:t xml:space="preserve">E26 Contrôle des titres</w:t>
            </w:r>
          </w:p>
        </w:tc>
        <w:tc>
          <w:tcPr>
            <w:shd w:val="clear" w:color="auto" w:fill="F5F7FB"/>
          </w:tcPr>
          <w:p>
            <w:pPr>
              <w:pStyle w:val="Compact"/>
            </w:pPr>
            <w:r>
              <w:rPr>
                <w:sz w:val="17"/>
              </w:rPr>
              <w:t xml:space="preserve">Plaque, QR, hors ligne, usage unique, révocations</w:t>
            </w:r>
          </w:p>
        </w:tc>
        <w:tc>
          <w:tcPr>
            <w:shd w:val="clear" w:color="auto" w:fill="F5F7FB"/>
          </w:tcPr>
          <w:p>
            <w:pPr>
              <w:pStyle w:val="Compact"/>
            </w:pPr>
            <w:r>
              <w:rPr>
                <w:sz w:val="17"/>
              </w:rPr>
              <w:t xml:space="preserve">71</w:t>
            </w:r>
          </w:p>
        </w:tc>
        <w:tc>
          <w:tcPr>
            <w:shd w:val="clear" w:color="auto" w:fill="F5F7FB"/>
          </w:tcPr>
          <w:p>
            <w:pPr>
              <w:pStyle w:val="Compact"/>
            </w:pPr>
            <w:r>
              <w:rPr>
                <w:sz w:val="17"/>
              </w:rPr>
              <w:t xml:space="preserve">R1–R2</w:t>
            </w:r>
          </w:p>
        </w:tc>
        <w:tc>
          <w:tcPr>
            <w:shd w:val="clear" w:color="auto" w:fill="F5F7FB"/>
          </w:tcPr>
          <w:p>
            <w:pPr>
              <w:pStyle w:val="Compact"/>
            </w:pPr>
            <w:r>
              <w:rPr>
                <w:sz w:val="17"/>
              </w:rPr>
              <w:t xml:space="preserve">R2</w:t>
            </w:r>
          </w:p>
        </w:tc>
      </w:tr>
      <w:tr>
        <w:tc>
          <w:tcPr/>
          <w:p>
            <w:pPr>
              <w:pStyle w:val="Compact"/>
            </w:pPr>
            <w:r>
              <w:rPr>
                <w:sz w:val="17"/>
              </w:rPr>
              <w:t xml:space="preserve">E27 Multi-entités</w:t>
            </w:r>
          </w:p>
        </w:tc>
        <w:tc>
          <w:tcPr/>
          <w:p>
            <w:pPr>
              <w:pStyle w:val="Compact"/>
            </w:pPr>
            <w:r>
              <w:rPr>
                <w:sz w:val="17"/>
              </w:rPr>
              <w:t xml:space="preserve">Espaces, fiches de configuration, arbitrages, accords de service</w:t>
            </w:r>
          </w:p>
        </w:tc>
        <w:tc>
          <w:tcPr/>
          <w:p>
            <w:pPr>
              <w:pStyle w:val="Compact"/>
            </w:pPr>
            <w:r>
              <w:rPr>
                <w:sz w:val="17"/>
              </w:rPr>
              <w:t xml:space="preserve">72</w:t>
            </w:r>
          </w:p>
        </w:tc>
        <w:tc>
          <w:tcPr/>
          <w:p>
            <w:pPr>
              <w:pStyle w:val="Compact"/>
            </w:pPr>
            <w:r>
              <w:rPr>
                <w:sz w:val="17"/>
              </w:rPr>
              <w:t xml:space="preserve">R1–R3</w:t>
            </w:r>
          </w:p>
        </w:tc>
        <w:tc>
          <w:tcPr/>
          <w:p>
            <w:pPr>
              <w:pStyle w:val="Compact"/>
            </w:pPr>
            <w:r>
              <w:rPr>
                <w:sz w:val="17"/>
              </w:rPr>
              <w:t xml:space="preserve">R1</w:t>
            </w:r>
          </w:p>
        </w:tc>
      </w:tr>
      <w:tr>
        <w:tc>
          <w:tcPr>
            <w:shd w:val="clear" w:color="auto" w:fill="F5F7FB"/>
          </w:tcPr>
          <w:p>
            <w:pPr>
              <w:pStyle w:val="Compact"/>
            </w:pPr>
            <w:r>
              <w:rPr>
                <w:sz w:val="17"/>
              </w:rPr>
              <w:t xml:space="preserve">E28 Invitations et accès</w:t>
            </w:r>
          </w:p>
        </w:tc>
        <w:tc>
          <w:tcPr>
            <w:shd w:val="clear" w:color="auto" w:fill="F5F7FB"/>
          </w:tcPr>
          <w:p>
            <w:pPr>
              <w:pStyle w:val="Compact"/>
            </w:pPr>
            <w:r>
              <w:rPr>
                <w:sz w:val="17"/>
              </w:rPr>
              <w:t xml:space="preserve">Cascade, seconde validation, inscription assistée</w:t>
            </w:r>
          </w:p>
        </w:tc>
        <w:tc>
          <w:tcPr>
            <w:shd w:val="clear" w:color="auto" w:fill="F5F7FB"/>
          </w:tcPr>
          <w:p>
            <w:pPr>
              <w:pStyle w:val="Compact"/>
            </w:pPr>
            <w:r>
              <w:rPr>
                <w:sz w:val="17"/>
              </w:rPr>
              <w:t xml:space="preserve">74</w:t>
            </w:r>
          </w:p>
        </w:tc>
        <w:tc>
          <w:tcPr>
            <w:shd w:val="clear" w:color="auto" w:fill="F5F7FB"/>
          </w:tcPr>
          <w:p>
            <w:pPr>
              <w:pStyle w:val="Compact"/>
            </w:pPr>
            <w:r>
              <w:rPr>
                <w:sz w:val="17"/>
              </w:rPr>
              <w:t xml:space="preserve">R1</w:t>
            </w:r>
          </w:p>
        </w:tc>
        <w:tc>
          <w:tcPr>
            <w:shd w:val="clear" w:color="auto" w:fill="F5F7FB"/>
          </w:tcPr>
          <w:p>
            <w:pPr>
              <w:pStyle w:val="Compact"/>
            </w:pPr>
            <w:r>
              <w:rPr>
                <w:sz w:val="17"/>
              </w:rPr>
              <w:t xml:space="preserve">R1 (avec E12)</w:t>
            </w:r>
          </w:p>
        </w:tc>
      </w:tr>
      <w:tr>
        <w:tc>
          <w:tcPr/>
          <w:p>
            <w:pPr>
              <w:pStyle w:val="Compact"/>
            </w:pPr>
            <w:r>
              <w:rPr>
                <w:sz w:val="17"/>
              </w:rPr>
              <w:t xml:space="preserve">E29 Répartition légale</w:t>
            </w:r>
          </w:p>
        </w:tc>
        <w:tc>
          <w:tcPr/>
          <w:p>
            <w:pPr>
              <w:pStyle w:val="Compact"/>
            </w:pPr>
            <w:r>
              <w:rPr>
                <w:sz w:val="17"/>
              </w:rPr>
              <w:t xml:space="preserve">Clés légales, parts sur recettes rapprochées</w:t>
            </w:r>
          </w:p>
        </w:tc>
        <w:tc>
          <w:tcPr/>
          <w:p>
            <w:pPr>
              <w:pStyle w:val="Compact"/>
            </w:pPr>
            <w:r>
              <w:rPr>
                <w:sz w:val="17"/>
              </w:rPr>
              <w:t xml:space="preserve">73</w:t>
            </w:r>
          </w:p>
        </w:tc>
        <w:tc>
          <w:tcPr/>
          <w:p>
            <w:pPr>
              <w:pStyle w:val="Compact"/>
            </w:pPr>
            <w:r>
              <w:rPr>
                <w:sz w:val="17"/>
              </w:rPr>
              <w:t xml:space="preserve">R1 (clé 10/10/10/70)</w:t>
            </w:r>
          </w:p>
        </w:tc>
        <w:tc>
          <w:tcPr/>
          <w:p>
            <w:pPr>
              <w:pStyle w:val="Compact"/>
            </w:pPr>
            <w:r>
              <w:rPr>
                <w:sz w:val="17"/>
              </w:rPr>
              <w:t xml:space="preserve">R3 (requalifiée, ARB-67)</w:t>
            </w:r>
          </w:p>
        </w:tc>
      </w:tr>
      <w:tr>
        <w:tc>
          <w:tcPr>
            <w:shd w:val="clear" w:color="auto" w:fill="F5F7FB"/>
          </w:tcPr>
          <w:p>
            <w:pPr>
              <w:pStyle w:val="Compact"/>
            </w:pPr>
            <w:r>
              <w:rPr>
                <w:sz w:val="17"/>
              </w:rPr>
              <w:t xml:space="preserve">E30 Stationnement intelligent</w:t>
            </w:r>
          </w:p>
        </w:tc>
        <w:tc>
          <w:tcPr>
            <w:shd w:val="clear" w:color="auto" w:fill="F5F7FB"/>
          </w:tcPr>
          <w:p>
            <w:pPr>
              <w:pStyle w:val="Compact"/>
            </w:pPr>
            <w:r>
              <w:rPr>
                <w:sz w:val="17"/>
              </w:rPr>
              <w:t xml:space="preserve">Zones, sessions, réservations, contrôle par plaque</w:t>
            </w:r>
          </w:p>
        </w:tc>
        <w:tc>
          <w:tcPr>
            <w:shd w:val="clear" w:color="auto" w:fill="F5F7FB"/>
          </w:tcPr>
          <w:p>
            <w:pPr>
              <w:pStyle w:val="Compact"/>
            </w:pPr>
            <w:r>
              <w:rPr>
                <w:sz w:val="17"/>
              </w:rPr>
              <w:t xml:space="preserve">14, 75</w:t>
            </w:r>
          </w:p>
        </w:tc>
        <w:tc>
          <w:tcPr>
            <w:shd w:val="clear" w:color="auto" w:fill="F5F7FB"/>
          </w:tcPr>
          <w:p>
            <w:pPr>
              <w:pStyle w:val="Compact"/>
            </w:pPr>
            <w:r>
              <w:rPr>
                <w:sz w:val="17"/>
              </w:rPr>
              <w:t xml:space="preserve">R1–R3</w:t>
            </w:r>
          </w:p>
        </w:tc>
        <w:tc>
          <w:tcPr>
            <w:shd w:val="clear" w:color="auto" w:fill="F5F7FB"/>
          </w:tcPr>
          <w:p>
            <w:pPr>
              <w:pStyle w:val="Compact"/>
            </w:pPr>
            <w:r>
              <w:rPr>
                <w:sz w:val="17"/>
              </w:rPr>
              <w:t xml:space="preserve">R2 (après acte, J24)</w:t>
            </w:r>
          </w:p>
        </w:tc>
      </w:tr>
      <w:tr>
        <w:tc>
          <w:tcPr/>
          <w:p>
            <w:pPr>
              <w:pStyle w:val="Compact"/>
            </w:pPr>
            <w:r>
              <w:rPr>
                <w:sz w:val="17"/>
              </w:rPr>
              <w:t xml:space="preserve">E31 Billetterie multi-opérateurs</w:t>
            </w:r>
          </w:p>
        </w:tc>
        <w:tc>
          <w:tcPr/>
          <w:p>
            <w:pPr>
              <w:pStyle w:val="Compact"/>
            </w:pPr>
            <w:r>
              <w:rPr>
                <w:sz w:val="17"/>
              </w:rPr>
              <w:t xml:space="preserve">Opérateurs, tickets, audit comportemental, séparation comptable</w:t>
            </w:r>
          </w:p>
        </w:tc>
        <w:tc>
          <w:tcPr/>
          <w:p>
            <w:pPr>
              <w:pStyle w:val="Compact"/>
            </w:pPr>
            <w:r>
              <w:rPr>
                <w:sz w:val="17"/>
              </w:rPr>
              <w:t xml:space="preserve">76</w:t>
            </w:r>
          </w:p>
        </w:tc>
        <w:tc>
          <w:tcPr/>
          <w:p>
            <w:pPr>
              <w:pStyle w:val="Compact"/>
            </w:pPr>
            <w:r>
              <w:rPr>
                <w:sz w:val="17"/>
              </w:rPr>
              <w:t xml:space="preserve">R1–R2</w:t>
            </w:r>
          </w:p>
        </w:tc>
        <w:tc>
          <w:tcPr/>
          <w:p>
            <w:pPr>
              <w:pStyle w:val="Compact"/>
            </w:pPr>
            <w:r>
              <w:rPr>
                <w:sz w:val="17"/>
              </w:rPr>
              <w:t xml:space="preserve">R3</w:t>
            </w:r>
          </w:p>
        </w:tc>
      </w:tr>
      <w:tr>
        <w:tc>
          <w:tcPr>
            <w:shd w:val="clear" w:color="auto" w:fill="F5F7FB"/>
          </w:tcPr>
          <w:p>
            <w:pPr>
              <w:pStyle w:val="Compact"/>
            </w:pPr>
            <w:r>
              <w:rPr>
                <w:sz w:val="17"/>
              </w:rPr>
              <w:t xml:space="preserve">E32 KIN PUB CONTROL</w:t>
            </w:r>
          </w:p>
        </w:tc>
        <w:tc>
          <w:tcPr>
            <w:shd w:val="clear" w:color="auto" w:fill="F5F7FB"/>
          </w:tcPr>
          <w:p>
            <w:pPr>
              <w:pStyle w:val="Compact"/>
            </w:pPr>
            <w:r>
              <w:rPr>
                <w:sz w:val="17"/>
              </w:rPr>
              <w:t xml:space="preserve">OCR, dossiers de constat, supervision</w:t>
            </w:r>
          </w:p>
        </w:tc>
        <w:tc>
          <w:tcPr>
            <w:shd w:val="clear" w:color="auto" w:fill="F5F7FB"/>
          </w:tcPr>
          <w:p>
            <w:pPr>
              <w:pStyle w:val="Compact"/>
            </w:pPr>
            <w:r>
              <w:rPr>
                <w:sz w:val="17"/>
              </w:rPr>
              <w:t xml:space="preserve">77</w:t>
            </w:r>
          </w:p>
        </w:tc>
        <w:tc>
          <w:tcPr>
            <w:shd w:val="clear" w:color="auto" w:fill="F5F7FB"/>
          </w:tcPr>
          <w:p>
            <w:pPr>
              <w:pStyle w:val="Compact"/>
            </w:pPr>
            <w:r>
              <w:rPr>
                <w:sz w:val="17"/>
              </w:rPr>
              <w:t xml:space="preserve">R2</w:t>
            </w:r>
          </w:p>
        </w:tc>
        <w:tc>
          <w:tcPr>
            <w:shd w:val="clear" w:color="auto" w:fill="F5F7FB"/>
          </w:tcPr>
          <w:p>
            <w:pPr>
              <w:pStyle w:val="Compact"/>
            </w:pPr>
            <w:r>
              <w:rPr>
                <w:sz w:val="17"/>
              </w:rPr>
              <w:t xml:space="preserve">R2</w:t>
            </w:r>
          </w:p>
        </w:tc>
      </w:tr>
      <w:tr>
        <w:tc>
          <w:tcPr/>
          <w:p>
            <w:pPr>
              <w:pStyle w:val="Compact"/>
            </w:pPr>
            <w:r>
              <w:rPr>
                <w:sz w:val="17"/>
              </w:rPr>
              <w:t xml:space="preserve">E33 AVIA</w:t>
            </w:r>
          </w:p>
        </w:tc>
        <w:tc>
          <w:tcPr/>
          <w:p>
            <w:pPr>
              <w:pStyle w:val="Compact"/>
            </w:pPr>
            <w:r>
              <w:rPr>
                <w:sz w:val="17"/>
              </w:rPr>
              <w:t xml:space="preserve">Connecteurs, IFA, rapprochement mensuel</w:t>
            </w:r>
          </w:p>
        </w:tc>
        <w:tc>
          <w:tcPr/>
          <w:p>
            <w:pPr>
              <w:pStyle w:val="Compact"/>
            </w:pPr>
            <w:r>
              <w:rPr>
                <w:sz w:val="17"/>
              </w:rPr>
              <w:t xml:space="preserve">62, 78</w:t>
            </w:r>
          </w:p>
        </w:tc>
        <w:tc>
          <w:tcPr/>
          <w:p>
            <w:pPr>
              <w:pStyle w:val="Compact"/>
            </w:pPr>
            <w:r>
              <w:rPr>
                <w:sz w:val="17"/>
              </w:rPr>
              <w:t xml:space="preserve">R3–R4</w:t>
            </w:r>
          </w:p>
        </w:tc>
        <w:tc>
          <w:tcPr/>
          <w:p>
            <w:pPr>
              <w:pStyle w:val="Compact"/>
            </w:pPr>
            <w:r>
              <w:rPr>
                <w:sz w:val="17"/>
              </w:rPr>
              <w:t xml:space="preserve">R4 (après J23)</w:t>
            </w:r>
          </w:p>
        </w:tc>
      </w:tr>
      <w:tr>
        <w:tc>
          <w:tcPr>
            <w:shd w:val="clear" w:color="auto" w:fill="F5F7FB"/>
          </w:tcPr>
          <w:p>
            <w:pPr>
              <w:pStyle w:val="Compact"/>
            </w:pPr>
            <w:r>
              <w:rPr>
                <w:sz w:val="17"/>
              </w:rPr>
              <w:t xml:space="preserve">E34 Plaque fiscale immobilière</w:t>
            </w:r>
          </w:p>
        </w:tc>
        <w:tc>
          <w:tcPr>
            <w:shd w:val="clear" w:color="auto" w:fill="F5F7FB"/>
          </w:tcPr>
          <w:p>
            <w:pPr>
              <w:pStyle w:val="Compact"/>
            </w:pPr>
            <w:r>
              <w:rPr>
                <w:sz w:val="17"/>
              </w:rPr>
              <w:t xml:space="preserve">Plaques, scan, rapports journaliers</w:t>
            </w:r>
          </w:p>
        </w:tc>
        <w:tc>
          <w:tcPr>
            <w:shd w:val="clear" w:color="auto" w:fill="F5F7FB"/>
          </w:tcPr>
          <w:p>
            <w:pPr>
              <w:pStyle w:val="Compact"/>
            </w:pPr>
            <w:r>
              <w:rPr>
                <w:sz w:val="17"/>
              </w:rPr>
              <w:t xml:space="preserve">79</w:t>
            </w:r>
          </w:p>
        </w:tc>
        <w:tc>
          <w:tcPr>
            <w:shd w:val="clear" w:color="auto" w:fill="F5F7FB"/>
          </w:tcPr>
          <w:p>
            <w:pPr>
              <w:pStyle w:val="Compact"/>
            </w:pPr>
            <w:r>
              <w:rPr>
                <w:sz w:val="17"/>
              </w:rPr>
              <w:t xml:space="preserve">R1–R2</w:t>
            </w:r>
          </w:p>
        </w:tc>
        <w:tc>
          <w:tcPr>
            <w:shd w:val="clear" w:color="auto" w:fill="F5F7FB"/>
          </w:tcPr>
          <w:p>
            <w:pPr>
              <w:pStyle w:val="Compact"/>
            </w:pPr>
            <w:r>
              <w:rPr>
                <w:sz w:val="17"/>
              </w:rPr>
              <w:t xml:space="preserve">R2 (pose des plaques dès R0 dans les quartiers échantillons)</w:t>
            </w:r>
          </w:p>
        </w:tc>
      </w:tr>
      <w:tr>
        <w:tc>
          <w:tcPr/>
          <w:p>
            <w:pPr>
              <w:pStyle w:val="Compact"/>
            </w:pPr>
            <w:r>
              <w:rPr>
                <w:sz w:val="17"/>
              </w:rPr>
              <w:t xml:space="preserve">E35 CALCU</w:t>
            </w:r>
          </w:p>
        </w:tc>
        <w:tc>
          <w:tcPr/>
          <w:p>
            <w:pPr>
              <w:pStyle w:val="Compact"/>
            </w:pPr>
            <w:r>
              <w:rPr>
                <w:sz w:val="17"/>
              </w:rPr>
              <w:t xml:space="preserve">Comptes publics, passerelle, correspondance</w:t>
            </w:r>
          </w:p>
        </w:tc>
        <w:tc>
          <w:tcPr/>
          <w:p>
            <w:pPr>
              <w:pStyle w:val="Compact"/>
            </w:pPr>
            <w:r>
              <w:rPr>
                <w:sz w:val="17"/>
              </w:rPr>
              <w:t xml:space="preserve">80</w:t>
            </w:r>
          </w:p>
        </w:tc>
        <w:tc>
          <w:tcPr/>
          <w:p>
            <w:pPr>
              <w:pStyle w:val="Compact"/>
            </w:pPr>
            <w:r>
              <w:rPr>
                <w:sz w:val="17"/>
              </w:rPr>
              <w:t xml:space="preserve">R3–R4</w:t>
            </w:r>
          </w:p>
        </w:tc>
        <w:tc>
          <w:tcPr/>
          <w:p>
            <w:pPr>
              <w:pStyle w:val="Compact"/>
            </w:pPr>
            <w:r>
              <w:rPr>
                <w:sz w:val="17"/>
              </w:rPr>
              <w:t xml:space="preserve">R4 (après J26)</w:t>
            </w:r>
          </w:p>
        </w:tc>
      </w:tr>
      <w:tr>
        <w:tc>
          <w:tcPr>
            <w:shd w:val="clear" w:color="auto" w:fill="F5F7FB"/>
          </w:tcPr>
          <w:p>
            <w:pPr>
              <w:pStyle w:val="Compact"/>
            </w:pPr>
            <w:r>
              <w:rPr>
                <w:sz w:val="17"/>
              </w:rPr>
              <w:t xml:space="preserve">E36 Pass wewa (extension de RakaPay)</w:t>
            </w:r>
          </w:p>
        </w:tc>
        <w:tc>
          <w:tcPr>
            <w:shd w:val="clear" w:color="auto" w:fill="F5F7FB"/>
          </w:tcPr>
          <w:p>
            <w:pPr>
              <w:pStyle w:val="Compact"/>
            </w:pPr>
            <w:r>
              <w:rPr>
                <w:sz w:val="17"/>
              </w:rPr>
              <w:t xml:space="preserve">Registre, pass, coopératives, contrôle protecteur</w:t>
            </w:r>
          </w:p>
        </w:tc>
        <w:tc>
          <w:tcPr>
            <w:shd w:val="clear" w:color="auto" w:fill="F5F7FB"/>
          </w:tcPr>
          <w:p>
            <w:pPr>
              <w:pStyle w:val="Compact"/>
            </w:pPr>
            <w:r>
              <w:rPr>
                <w:sz w:val="17"/>
              </w:rPr>
              <w:t xml:space="preserve">81</w:t>
            </w:r>
          </w:p>
        </w:tc>
        <w:tc>
          <w:tcPr>
            <w:shd w:val="clear" w:color="auto" w:fill="F5F7FB"/>
          </w:tcPr>
          <w:p>
            <w:pPr>
              <w:pStyle w:val="Compact"/>
            </w:pPr>
            <w:r>
              <w:rPr>
                <w:sz w:val="17"/>
              </w:rPr>
              <w:t xml:space="preserve">R1–R2</w:t>
            </w:r>
          </w:p>
        </w:tc>
        <w:tc>
          <w:tcPr>
            <w:shd w:val="clear" w:color="auto" w:fill="F5F7FB"/>
          </w:tcPr>
          <w:p>
            <w:pPr>
              <w:pStyle w:val="Compact"/>
            </w:pPr>
            <w:r>
              <w:rPr>
                <w:sz w:val="17"/>
              </w:rPr>
              <w:t xml:space="preserve">R3 (enregistrement gratuit possible dès R2 si concertation)</w:t>
            </w:r>
          </w:p>
        </w:tc>
      </w:tr>
    </w:tbl>
    <w:bookmarkEnd w:id="528"/>
    <w:bookmarkStart w:id="529" w:name="h.22.2-récits-complémentaires"/>
    <w:p>
      <w:pPr>
        <w:pStyle w:val="Heading3"/>
      </w:pPr>
      <w:r>
        <w:t xml:space="preserve">H.22.2 Récits complémentaires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ID</w:t>
            </w:r>
          </w:p>
        </w:tc>
        <w:tc>
          <w:tcPr>
            <w:shd w:val="clear" w:color="auto" w:fill="232C6B"/>
          </w:tcPr>
          <w:p>
            <w:pPr>
              <w:pStyle w:val="Compact"/>
            </w:pPr>
            <w:r>
              <w:rPr>
                <w:b/>
                <w:color w:val="FFFFFF"/>
                <w:sz w:val="17"/>
              </w:rPr>
              <w:t xml:space="preserve">Récit</w:t>
            </w:r>
          </w:p>
        </w:tc>
        <w:tc>
          <w:tcPr>
            <w:shd w:val="clear" w:color="auto" w:fill="232C6B"/>
          </w:tcPr>
          <w:p>
            <w:pPr>
              <w:pStyle w:val="Compact"/>
            </w:pPr>
            <w:r>
              <w:rPr>
                <w:b/>
                <w:color w:val="FFFFFF"/>
                <w:sz w:val="17"/>
              </w:rPr>
              <w:t xml:space="preserve">Critère</w:t>
            </w:r>
          </w:p>
        </w:tc>
      </w:tr>
      <w:tr>
        <w:tc>
          <w:tcPr/>
          <w:p>
            <w:pPr>
              <w:pStyle w:val="Compact"/>
            </w:pPr>
            <w:r>
              <w:rPr>
                <w:sz w:val="17"/>
              </w:rPr>
              <w:t xml:space="preserve">US-13</w:t>
            </w:r>
          </w:p>
        </w:tc>
        <w:tc>
          <w:tcPr/>
          <w:p>
            <w:pPr>
              <w:pStyle w:val="Compact"/>
            </w:pPr>
            <w:r>
              <w:rPr>
                <w:sz w:val="17"/>
              </w:rPr>
              <w:t xml:space="preserve">En tant que Kinois, je crée mon compte avec mon téléphone (OTP), pièce facultative au N0, et je ne vois aucune obligation tant qu’aucun objet n’est rattaché</w:t>
            </w:r>
          </w:p>
        </w:tc>
        <w:tc>
          <w:tcPr/>
          <w:p>
            <w:pPr>
              <w:pStyle w:val="Compact"/>
            </w:pPr>
            <w:r>
              <w:rPr>
                <w:sz w:val="17"/>
              </w:rPr>
              <w:t xml:space="preserve">§ 9.3</w:t>
            </w:r>
          </w:p>
        </w:tc>
      </w:tr>
      <w:tr>
        <w:tc>
          <w:tcPr>
            <w:shd w:val="clear" w:color="auto" w:fill="F5F7FB"/>
          </w:tcPr>
          <w:p>
            <w:pPr>
              <w:pStyle w:val="Compact"/>
            </w:pPr>
            <w:r>
              <w:rPr>
                <w:sz w:val="17"/>
              </w:rPr>
              <w:t xml:space="preserve">US-14</w:t>
            </w:r>
          </w:p>
        </w:tc>
        <w:tc>
          <w:tcPr>
            <w:shd w:val="clear" w:color="auto" w:fill="F5F7FB"/>
          </w:tcPr>
          <w:p>
            <w:pPr>
              <w:pStyle w:val="Compact"/>
            </w:pPr>
            <w:r>
              <w:rPr>
                <w:sz w:val="17"/>
              </w:rPr>
              <w:t xml:space="preserve">En tant que bailleur, je déclare mes unités louées (une unité par déclaration) et je vois le calcul avec taux, retenue et référence de l’arrêté</w:t>
            </w:r>
          </w:p>
        </w:tc>
        <w:tc>
          <w:tcPr>
            <w:shd w:val="clear" w:color="auto" w:fill="F5F7FB"/>
          </w:tcPr>
          <w:p>
            <w:pPr>
              <w:pStyle w:val="Compact"/>
            </w:pPr>
            <w:r>
              <w:rPr>
                <w:sz w:val="17"/>
              </w:rPr>
              <w:t xml:space="preserve">AC-ASS-01</w:t>
            </w:r>
          </w:p>
        </w:tc>
      </w:tr>
      <w:tr>
        <w:tc>
          <w:tcPr/>
          <w:p>
            <w:pPr>
              <w:pStyle w:val="Compact"/>
            </w:pPr>
            <w:r>
              <w:rPr>
                <w:sz w:val="17"/>
              </w:rPr>
              <w:t xml:space="preserve">US-15</w:t>
            </w:r>
          </w:p>
        </w:tc>
        <w:tc>
          <w:tcPr/>
          <w:p>
            <w:pPr>
              <w:pStyle w:val="Compact"/>
            </w:pPr>
            <w:r>
              <w:rPr>
                <w:sz w:val="17"/>
              </w:rPr>
              <w:t xml:space="preserve">En tant que locataire, j’enregistre mon bail et je reçois une attestation QR, sans qu’aucune donnée sensible ne soit exposée</w:t>
            </w:r>
          </w:p>
        </w:tc>
        <w:tc>
          <w:tcPr/>
          <w:p>
            <w:pPr>
              <w:pStyle w:val="Compact"/>
            </w:pPr>
            <w:r>
              <w:rPr>
                <w:sz w:val="17"/>
              </w:rPr>
              <w:t xml:space="preserve">§ H.7.7</w:t>
            </w:r>
          </w:p>
        </w:tc>
      </w:tr>
      <w:tr>
        <w:tc>
          <w:tcPr>
            <w:shd w:val="clear" w:color="auto" w:fill="F5F7FB"/>
          </w:tcPr>
          <w:p>
            <w:pPr>
              <w:pStyle w:val="Compact"/>
            </w:pPr>
            <w:r>
              <w:rPr>
                <w:sz w:val="17"/>
              </w:rPr>
              <w:t xml:space="preserve">US-16</w:t>
            </w:r>
          </w:p>
        </w:tc>
        <w:tc>
          <w:tcPr>
            <w:shd w:val="clear" w:color="auto" w:fill="F5F7FB"/>
          </w:tcPr>
          <w:p>
            <w:pPr>
              <w:pStyle w:val="Compact"/>
            </w:pPr>
            <w:r>
              <w:rPr>
                <w:sz w:val="17"/>
              </w:rPr>
              <w:t xml:space="preserve">En tant que contrôleur, je vérifie une plaque en moins de 3 secondes</w:t>
            </w:r>
          </w:p>
        </w:tc>
        <w:tc>
          <w:tcPr>
            <w:shd w:val="clear" w:color="auto" w:fill="F5F7FB"/>
          </w:tcPr>
          <w:p>
            <w:pPr>
              <w:pStyle w:val="Compact"/>
            </w:pPr>
            <w:r>
              <w:rPr>
                <w:sz w:val="17"/>
              </w:rPr>
              <w:t xml:space="preserve">AC-FLD-04</w:t>
            </w:r>
          </w:p>
        </w:tc>
      </w:tr>
      <w:tr>
        <w:tc>
          <w:tcPr/>
          <w:p>
            <w:pPr>
              <w:pStyle w:val="Compact"/>
            </w:pPr>
            <w:r>
              <w:rPr>
                <w:sz w:val="17"/>
              </w:rPr>
              <w:t xml:space="preserve">US-17</w:t>
            </w:r>
          </w:p>
        </w:tc>
        <w:tc>
          <w:tcPr/>
          <w:p>
            <w:pPr>
              <w:pStyle w:val="Compact"/>
            </w:pPr>
            <w:r>
              <w:rPr>
                <w:sz w:val="17"/>
              </w:rPr>
              <w:t xml:space="preserve">En tant que contribuable, je conteste une donnée par un formulaire typé et reçois un accusé horodaté avec le délai légal</w:t>
            </w:r>
          </w:p>
        </w:tc>
        <w:tc>
          <w:tcPr/>
          <w:p>
            <w:pPr>
              <w:pStyle w:val="Compact"/>
            </w:pPr>
            <w:r>
              <w:rPr>
                <w:sz w:val="17"/>
              </w:rPr>
              <w:t xml:space="preserve">AC-APL-01</w:t>
            </w:r>
          </w:p>
        </w:tc>
      </w:tr>
      <w:tr>
        <w:tc>
          <w:tcPr>
            <w:shd w:val="clear" w:color="auto" w:fill="F5F7FB"/>
          </w:tcPr>
          <w:p>
            <w:pPr>
              <w:pStyle w:val="Compact"/>
            </w:pPr>
            <w:r>
              <w:rPr>
                <w:sz w:val="17"/>
              </w:rPr>
              <w:t xml:space="preserve">US-18</w:t>
            </w:r>
          </w:p>
        </w:tc>
        <w:tc>
          <w:tcPr>
            <w:shd w:val="clear" w:color="auto" w:fill="F5F7FB"/>
          </w:tcPr>
          <w:p>
            <w:pPr>
              <w:pStyle w:val="Compact"/>
            </w:pPr>
            <w:r>
              <w:rPr>
                <w:sz w:val="17"/>
              </w:rPr>
              <w:t xml:space="preserve">En tant que personne sans téléphone, j’obtiens une carte, un avis à pictogrammes et un consentement horodaté</w:t>
            </w:r>
          </w:p>
        </w:tc>
        <w:tc>
          <w:tcPr>
            <w:shd w:val="clear" w:color="auto" w:fill="F5F7FB"/>
          </w:tcPr>
          <w:p>
            <w:pPr>
              <w:pStyle w:val="Compact"/>
            </w:pPr>
            <w:r>
              <w:rPr>
                <w:sz w:val="17"/>
              </w:rPr>
              <w:t xml:space="preserve">AC-INC-02</w:t>
            </w:r>
          </w:p>
        </w:tc>
      </w:tr>
      <w:tr>
        <w:tc>
          <w:tcPr/>
          <w:p>
            <w:pPr>
              <w:pStyle w:val="Compact"/>
            </w:pPr>
            <w:r>
              <w:rPr>
                <w:sz w:val="17"/>
              </w:rPr>
              <w:t xml:space="preserve">US-19</w:t>
            </w:r>
          </w:p>
        </w:tc>
        <w:tc>
          <w:tcPr/>
          <w:p>
            <w:pPr>
              <w:pStyle w:val="Compact"/>
            </w:pPr>
            <w:r>
              <w:rPr>
                <w:sz w:val="17"/>
              </w:rPr>
              <w:t xml:space="preserve">En tant que personne illettrée, j’appelle le SVI, je saisis le numéro de ma carte et j’entends dans ma langue le montant, l’échéance et les lieux de paiement</w:t>
            </w:r>
          </w:p>
        </w:tc>
        <w:tc>
          <w:tcPr/>
          <w:p>
            <w:pPr>
              <w:pStyle w:val="Compact"/>
            </w:pPr>
            <w:r>
              <w:rPr>
                <w:sz w:val="17"/>
              </w:rPr>
              <w:t xml:space="preserve">§ H.7.1</w:t>
            </w:r>
          </w:p>
        </w:tc>
      </w:tr>
      <w:tr>
        <w:tc>
          <w:tcPr>
            <w:shd w:val="clear" w:color="auto" w:fill="F5F7FB"/>
          </w:tcPr>
          <w:p>
            <w:pPr>
              <w:pStyle w:val="Compact"/>
            </w:pPr>
            <w:r>
              <w:rPr>
                <w:sz w:val="17"/>
              </w:rPr>
              <w:t xml:space="preserve">US-20</w:t>
            </w:r>
          </w:p>
        </w:tc>
        <w:tc>
          <w:tcPr>
            <w:shd w:val="clear" w:color="auto" w:fill="F5F7FB"/>
          </w:tcPr>
          <w:p>
            <w:pPr>
              <w:pStyle w:val="Compact"/>
            </w:pPr>
            <w:r>
              <w:rPr>
                <w:sz w:val="17"/>
              </w:rPr>
              <w:t xml:space="preserve">En tant que contribuable, je paie en espèces chez un point agréé sans risque : montant affiché non modifiable, quittance et SMS</w:t>
            </w:r>
          </w:p>
        </w:tc>
        <w:tc>
          <w:tcPr>
            <w:shd w:val="clear" w:color="auto" w:fill="F5F7FB"/>
          </w:tcPr>
          <w:p>
            <w:pPr>
              <w:pStyle w:val="Compact"/>
            </w:pPr>
            <w:r>
              <w:rPr>
                <w:sz w:val="17"/>
              </w:rPr>
              <w:t xml:space="preserve">AC-PPT-03</w:t>
            </w:r>
          </w:p>
        </w:tc>
      </w:tr>
      <w:tr>
        <w:tc>
          <w:tcPr/>
          <w:p>
            <w:pPr>
              <w:pStyle w:val="Compact"/>
            </w:pPr>
            <w:r>
              <w:rPr>
                <w:sz w:val="17"/>
              </w:rPr>
              <w:t xml:space="preserve">US-21</w:t>
            </w:r>
          </w:p>
        </w:tc>
        <w:tc>
          <w:tcPr/>
          <w:p>
            <w:pPr>
              <w:pStyle w:val="Compact"/>
            </w:pPr>
            <w:r>
              <w:rPr>
                <w:sz w:val="17"/>
              </w:rPr>
              <w:t xml:space="preserve">En tant que sous-traitant, je gère mes agents dans mon lot, sans pouvoir les habiliter moi-même</w:t>
            </w:r>
          </w:p>
        </w:tc>
        <w:tc>
          <w:tcPr/>
          <w:p>
            <w:pPr>
              <w:pStyle w:val="Compact"/>
            </w:pPr>
            <w:r>
              <w:rPr>
                <w:sz w:val="17"/>
              </w:rPr>
              <w:t xml:space="preserve">AC-SUB-01</w:t>
            </w:r>
          </w:p>
        </w:tc>
      </w:tr>
      <w:tr>
        <w:tc>
          <w:tcPr>
            <w:shd w:val="clear" w:color="auto" w:fill="F5F7FB"/>
          </w:tcPr>
          <w:p>
            <w:pPr>
              <w:pStyle w:val="Compact"/>
            </w:pPr>
            <w:r>
              <w:rPr>
                <w:sz w:val="17"/>
              </w:rPr>
              <w:t xml:space="preserve">US-22</w:t>
            </w:r>
          </w:p>
        </w:tc>
        <w:tc>
          <w:tcPr>
            <w:shd w:val="clear" w:color="auto" w:fill="F5F7FB"/>
          </w:tcPr>
          <w:p>
            <w:pPr>
              <w:pStyle w:val="Compact"/>
            </w:pPr>
            <w:r>
              <w:rPr>
                <w:sz w:val="17"/>
              </w:rPr>
              <w:t xml:space="preserve">En tant que responsable de module, je suspends un agent à titre conservatoire, avec motif</w:t>
            </w:r>
          </w:p>
        </w:tc>
        <w:tc>
          <w:tcPr>
            <w:shd w:val="clear" w:color="auto" w:fill="F5F7FB"/>
          </w:tcPr>
          <w:p>
            <w:pPr>
              <w:pStyle w:val="Compact"/>
            </w:pPr>
            <w:r>
              <w:rPr>
                <w:sz w:val="17"/>
              </w:rPr>
              <w:t xml:space="preserve">§ H.6.1</w:t>
            </w:r>
          </w:p>
        </w:tc>
      </w:tr>
      <w:tr>
        <w:tc>
          <w:tcPr/>
          <w:p>
            <w:pPr>
              <w:pStyle w:val="Compact"/>
            </w:pPr>
            <w:r>
              <w:rPr>
                <w:sz w:val="17"/>
              </w:rPr>
              <w:t xml:space="preserve">US-23</w:t>
            </w:r>
          </w:p>
        </w:tc>
        <w:tc>
          <w:tcPr/>
          <w:p>
            <w:pPr>
              <w:pStyle w:val="Compact"/>
            </w:pPr>
            <w:r>
              <w:rPr>
                <w:sz w:val="17"/>
              </w:rPr>
              <w:t xml:space="preserve">En tant qu’automobiliste, je reçois un rappel en phase ambre et je prolonge mon stationnement par l’application ou l’USSD</w:t>
            </w:r>
          </w:p>
        </w:tc>
        <w:tc>
          <w:tcPr/>
          <w:p>
            <w:pPr>
              <w:pStyle w:val="Compact"/>
            </w:pPr>
            <w:r>
              <w:rPr>
                <w:sz w:val="17"/>
              </w:rPr>
              <w:t xml:space="preserve">§ H.11.7</w:t>
            </w:r>
          </w:p>
        </w:tc>
      </w:tr>
      <w:tr>
        <w:tc>
          <w:tcPr>
            <w:shd w:val="clear" w:color="auto" w:fill="F5F7FB"/>
          </w:tcPr>
          <w:p>
            <w:pPr>
              <w:pStyle w:val="Compact"/>
            </w:pPr>
            <w:r>
              <w:rPr>
                <w:sz w:val="17"/>
              </w:rPr>
              <w:t xml:space="preserve">US-24</w:t>
            </w:r>
          </w:p>
        </w:tc>
        <w:tc>
          <w:tcPr>
            <w:shd w:val="clear" w:color="auto" w:fill="F5F7FB"/>
          </w:tcPr>
          <w:p>
            <w:pPr>
              <w:pStyle w:val="Compact"/>
            </w:pPr>
            <w:r>
              <w:rPr>
                <w:sz w:val="17"/>
              </w:rPr>
              <w:t xml:space="preserve">En tant que contrôleur, je vois tous les titres actifs d’une plaque pour mon module</w:t>
            </w:r>
          </w:p>
        </w:tc>
        <w:tc>
          <w:tcPr>
            <w:shd w:val="clear" w:color="auto" w:fill="F5F7FB"/>
          </w:tcPr>
          <w:p>
            <w:pPr>
              <w:pStyle w:val="Compact"/>
            </w:pPr>
            <w:r>
              <w:rPr>
                <w:rStyle w:val="VerbatimChar"/>
                <w:sz w:val="17"/>
              </w:rPr>
              <w:t xml:space="preserve">GET /v1/vehicles/{plate}/credentials</w:t>
            </w:r>
          </w:p>
        </w:tc>
      </w:tr>
      <w:tr>
        <w:tc>
          <w:tcPr/>
          <w:p>
            <w:pPr>
              <w:pStyle w:val="Compact"/>
            </w:pPr>
            <w:r>
              <w:rPr>
                <w:sz w:val="17"/>
              </w:rPr>
              <w:t xml:space="preserve">US-25</w:t>
            </w:r>
          </w:p>
        </w:tc>
        <w:tc>
          <w:tcPr/>
          <w:p>
            <w:pPr>
              <w:pStyle w:val="Compact"/>
            </w:pPr>
            <w:r>
              <w:rPr>
                <w:sz w:val="17"/>
              </w:rPr>
              <w:t xml:space="preserve">En tant que commerçant, je prouve mon droit d’étal par la plaque de mon étal</w:t>
            </w:r>
          </w:p>
        </w:tc>
        <w:tc>
          <w:tcPr/>
          <w:p>
            <w:pPr>
              <w:pStyle w:val="Compact"/>
            </w:pPr>
            <w:r>
              <w:rPr>
                <w:sz w:val="17"/>
              </w:rPr>
              <w:t xml:space="preserve">§ H.11.4</w:t>
            </w:r>
          </w:p>
        </w:tc>
      </w:tr>
      <w:tr>
        <w:tc>
          <w:tcPr>
            <w:shd w:val="clear" w:color="auto" w:fill="F5F7FB"/>
          </w:tcPr>
          <w:p>
            <w:pPr>
              <w:pStyle w:val="Compact"/>
            </w:pPr>
            <w:r>
              <w:rPr>
                <w:sz w:val="17"/>
              </w:rPr>
              <w:t xml:space="preserve">US-26</w:t>
            </w:r>
          </w:p>
        </w:tc>
        <w:tc>
          <w:tcPr>
            <w:shd w:val="clear" w:color="auto" w:fill="F5F7FB"/>
          </w:tcPr>
          <w:p>
            <w:pPr>
              <w:pStyle w:val="Compact"/>
            </w:pPr>
            <w:r>
              <w:rPr>
                <w:sz w:val="17"/>
              </w:rPr>
              <w:t xml:space="preserve">En tant qu’agent portuaire, je vois « DÉJÀ UTILISÉ » sur un titre d’embarquement déjà consommé</w:t>
            </w:r>
          </w:p>
        </w:tc>
        <w:tc>
          <w:tcPr>
            <w:shd w:val="clear" w:color="auto" w:fill="F5F7FB"/>
          </w:tcPr>
          <w:p>
            <w:pPr>
              <w:pStyle w:val="Compact"/>
            </w:pPr>
            <w:r>
              <w:rPr>
                <w:sz w:val="17"/>
              </w:rPr>
              <w:t xml:space="preserve">AC-TIT-03</w:t>
            </w:r>
          </w:p>
        </w:tc>
      </w:tr>
      <w:tr>
        <w:tc>
          <w:tcPr/>
          <w:p>
            <w:pPr>
              <w:pStyle w:val="Compact"/>
            </w:pPr>
            <w:r>
              <w:rPr>
                <w:sz w:val="17"/>
              </w:rPr>
              <w:t xml:space="preserve">US-27</w:t>
            </w:r>
          </w:p>
        </w:tc>
        <w:tc>
          <w:tcPr/>
          <w:p>
            <w:pPr>
              <w:pStyle w:val="Compact"/>
            </w:pPr>
            <w:r>
              <w:rPr>
                <w:sz w:val="17"/>
              </w:rPr>
              <w:t xml:space="preserve">En tant qu’entité, je configure mon service par une fiche, sans modification du socle</w:t>
            </w:r>
          </w:p>
        </w:tc>
        <w:tc>
          <w:tcPr/>
          <w:p>
            <w:pPr>
              <w:pStyle w:val="Compact"/>
            </w:pPr>
            <w:r>
              <w:rPr>
                <w:sz w:val="17"/>
              </w:rPr>
              <w:t xml:space="preserve">AC-ENT-02</w:t>
            </w:r>
          </w:p>
        </w:tc>
      </w:tr>
      <w:tr>
        <w:tc>
          <w:tcPr>
            <w:shd w:val="clear" w:color="auto" w:fill="F5F7FB"/>
          </w:tcPr>
          <w:p>
            <w:pPr>
              <w:pStyle w:val="Compact"/>
            </w:pPr>
            <w:r>
              <w:rPr>
                <w:sz w:val="17"/>
              </w:rPr>
              <w:t xml:space="preserve">US-28</w:t>
            </w:r>
          </w:p>
        </w:tc>
        <w:tc>
          <w:tcPr>
            <w:shd w:val="clear" w:color="auto" w:fill="F5F7FB"/>
          </w:tcPr>
          <w:p>
            <w:pPr>
              <w:pStyle w:val="Compact"/>
            </w:pPr>
            <w:r>
              <w:rPr>
                <w:sz w:val="17"/>
              </w:rPr>
              <w:t xml:space="preserve">En tant que conducteur de wewa, je paie mon pass par USSD et mon statut passe au vert immédiatement</w:t>
            </w:r>
          </w:p>
        </w:tc>
        <w:tc>
          <w:tcPr>
            <w:shd w:val="clear" w:color="auto" w:fill="F5F7FB"/>
          </w:tcPr>
          <w:p>
            <w:pPr>
              <w:pStyle w:val="Compact"/>
            </w:pPr>
            <w:r>
              <w:rPr>
                <w:sz w:val="17"/>
              </w:rPr>
              <w:t xml:space="preserve">AC-WEW-01</w:t>
            </w:r>
          </w:p>
        </w:tc>
      </w:tr>
      <w:tr>
        <w:tc>
          <w:tcPr/>
          <w:p>
            <w:pPr>
              <w:pStyle w:val="Compact"/>
            </w:pPr>
            <w:r>
              <w:rPr>
                <w:sz w:val="17"/>
              </w:rPr>
              <w:t xml:space="preserve">US-29</w:t>
            </w:r>
          </w:p>
        </w:tc>
        <w:tc>
          <w:tcPr/>
          <w:p>
            <w:pPr>
              <w:pStyle w:val="Compact"/>
            </w:pPr>
            <w:r>
              <w:rPr>
                <w:sz w:val="17"/>
              </w:rPr>
              <w:t xml:space="preserve">En tant que passager, je scanne le gilet du conducteur pour vérifier son pass</w:t>
            </w:r>
          </w:p>
        </w:tc>
        <w:tc>
          <w:tcPr/>
          <w:p>
            <w:pPr>
              <w:pStyle w:val="Compact"/>
            </w:pPr>
            <w:r>
              <w:rPr>
                <w:sz w:val="17"/>
              </w:rPr>
              <w:t xml:space="preserve">§ H.27.16.1</w:t>
            </w:r>
          </w:p>
        </w:tc>
      </w:tr>
      <w:tr>
        <w:tc>
          <w:tcPr>
            <w:shd w:val="clear" w:color="auto" w:fill="F5F7FB"/>
          </w:tcPr>
          <w:p>
            <w:pPr>
              <w:pStyle w:val="Compact"/>
            </w:pPr>
            <w:r>
              <w:rPr>
                <w:sz w:val="17"/>
              </w:rPr>
              <w:t xml:space="preserve">US-30</w:t>
            </w:r>
          </w:p>
        </w:tc>
        <w:tc>
          <w:tcPr>
            <w:shd w:val="clear" w:color="auto" w:fill="F5F7FB"/>
          </w:tcPr>
          <w:p>
            <w:pPr>
              <w:pStyle w:val="Compact"/>
            </w:pPr>
            <w:r>
              <w:rPr>
                <w:sz w:val="17"/>
              </w:rPr>
              <w:t xml:space="preserve">En tant que coopérative, je paie en groupe et chaque pass est activé individuellement</w:t>
            </w:r>
          </w:p>
        </w:tc>
        <w:tc>
          <w:tcPr>
            <w:shd w:val="clear" w:color="auto" w:fill="F5F7FB"/>
          </w:tcPr>
          <w:p>
            <w:pPr>
              <w:pStyle w:val="Compact"/>
            </w:pPr>
            <w:r>
              <w:rPr>
                <w:sz w:val="17"/>
              </w:rPr>
              <w:t xml:space="preserve">AC-WEW-02</w:t>
            </w:r>
          </w:p>
        </w:tc>
      </w:tr>
      <w:tr>
        <w:tc>
          <w:tcPr/>
          <w:p>
            <w:pPr>
              <w:pStyle w:val="Compact"/>
            </w:pPr>
            <w:r>
              <w:rPr>
                <w:sz w:val="17"/>
              </w:rPr>
              <w:t xml:space="preserve">US-31</w:t>
            </w:r>
          </w:p>
        </w:tc>
        <w:tc>
          <w:tcPr/>
          <w:p>
            <w:pPr>
              <w:pStyle w:val="Compact"/>
            </w:pPr>
            <w:r>
              <w:rPr>
                <w:sz w:val="17"/>
              </w:rPr>
              <w:t xml:space="preserve">En tant que contrôleur publicitaire, je constitue un dossier de constat sans pouvoir sanctionner</w:t>
            </w:r>
          </w:p>
        </w:tc>
        <w:tc>
          <w:tcPr/>
          <w:p>
            <w:pPr>
              <w:pStyle w:val="Compact"/>
            </w:pPr>
            <w:r>
              <w:rPr>
                <w:sz w:val="17"/>
              </w:rPr>
              <w:t xml:space="preserve">AC-PUB-01</w:t>
            </w:r>
          </w:p>
        </w:tc>
      </w:tr>
      <w:tr>
        <w:tc>
          <w:tcPr>
            <w:shd w:val="clear" w:color="auto" w:fill="F5F7FB"/>
          </w:tcPr>
          <w:p>
            <w:pPr>
              <w:pStyle w:val="Compact"/>
            </w:pPr>
            <w:r>
              <w:rPr>
                <w:sz w:val="17"/>
              </w:rPr>
              <w:t xml:space="preserve">US-32</w:t>
            </w:r>
          </w:p>
        </w:tc>
        <w:tc>
          <w:tcPr>
            <w:shd w:val="clear" w:color="auto" w:fill="F5F7FB"/>
          </w:tcPr>
          <w:p>
            <w:pPr>
              <w:pStyle w:val="Compact"/>
            </w:pPr>
            <w:r>
              <w:rPr>
                <w:sz w:val="17"/>
              </w:rPr>
              <w:t xml:space="preserve">En tant que propriétaire sans smartphone, je paie à la banque avec mon numéro de plaque fiscale</w:t>
            </w:r>
          </w:p>
        </w:tc>
        <w:tc>
          <w:tcPr>
            <w:shd w:val="clear" w:color="auto" w:fill="F5F7FB"/>
          </w:tcPr>
          <w:p>
            <w:pPr>
              <w:pStyle w:val="Compact"/>
            </w:pPr>
            <w:r>
              <w:rPr>
                <w:sz w:val="17"/>
              </w:rPr>
              <w:t xml:space="preserve">§ H.9.1</w:t>
            </w:r>
          </w:p>
        </w:tc>
      </w:tr>
      <w:tr>
        <w:tc>
          <w:tcPr/>
          <w:p>
            <w:pPr>
              <w:pStyle w:val="Compact"/>
            </w:pPr>
            <w:r>
              <w:rPr>
                <w:sz w:val="17"/>
              </w:rPr>
              <w:t xml:space="preserve">US-33</w:t>
            </w:r>
          </w:p>
        </w:tc>
        <w:tc>
          <w:tcPr/>
          <w:p>
            <w:pPr>
              <w:pStyle w:val="Compact"/>
            </w:pPr>
            <w:r>
              <w:rPr>
                <w:sz w:val="17"/>
              </w:rPr>
              <w:t xml:space="preserve">En tant qu’analyste AVIA, je vois l’écart mensuel par compagnie entre billets vendus, embarqués, sortis et reversés</w:t>
            </w:r>
          </w:p>
        </w:tc>
        <w:tc>
          <w:tcPr/>
          <w:p>
            <w:pPr>
              <w:pStyle w:val="Compact"/>
            </w:pPr>
            <w:r>
              <w:rPr>
                <w:sz w:val="17"/>
              </w:rPr>
              <w:t xml:space="preserve">§ H.27.12</w:t>
            </w:r>
          </w:p>
        </w:tc>
      </w:tr>
      <w:tr>
        <w:tc>
          <w:tcPr>
            <w:shd w:val="clear" w:color="auto" w:fill="F5F7FB"/>
          </w:tcPr>
          <w:p>
            <w:pPr>
              <w:pStyle w:val="Compact"/>
            </w:pPr>
            <w:r>
              <w:rPr>
                <w:sz w:val="17"/>
              </w:rPr>
              <w:t xml:space="preserve">US-34</w:t>
            </w:r>
          </w:p>
        </w:tc>
        <w:tc>
          <w:tcPr>
            <w:shd w:val="clear" w:color="auto" w:fill="F5F7FB"/>
          </w:tcPr>
          <w:p>
            <w:pPr>
              <w:pStyle w:val="Compact"/>
            </w:pPr>
            <w:r>
              <w:rPr>
                <w:sz w:val="17"/>
              </w:rPr>
              <w:t xml:space="preserve">En tant qu’organe de contrôle, je reçois un rapport d’anomalie numéroté sur une dépense sans justificatif</w:t>
            </w:r>
          </w:p>
        </w:tc>
        <w:tc>
          <w:tcPr>
            <w:shd w:val="clear" w:color="auto" w:fill="F5F7FB"/>
          </w:tcPr>
          <w:p>
            <w:pPr>
              <w:pStyle w:val="Compact"/>
            </w:pPr>
            <w:r>
              <w:rPr>
                <w:sz w:val="17"/>
              </w:rPr>
              <w:t xml:space="preserve">AC-CAL-01</w:t>
            </w:r>
          </w:p>
        </w:tc>
      </w:tr>
    </w:tbl>
    <w:bookmarkEnd w:id="529"/>
    <w:bookmarkStart w:id="530" w:name="X8e092d65762e68b7ee45c039561ab74e91b4d01"/>
    <w:p>
      <w:pPr>
        <w:pStyle w:val="Heading3"/>
      </w:pPr>
      <w:r>
        <w:t xml:space="preserve">H.22.3 Plan de livraison : correspondance des versions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584"/>
        <w:gridCol w:w="1584"/>
        <w:gridCol w:w="1584"/>
        <w:gridCol w:w="1584"/>
        <w:gridCol w:w="1584"/>
      </w:tblGrid>
      <w:tr>
        <w:trPr>
          <w:tblHeader w:val="on"/>
        </w:trPr>
        <w:tc>
          <w:tcPr>
            <w:shd w:val="clear" w:color="auto" w:fill="232C6B"/>
          </w:tcPr>
          <w:p>
            <w:pPr>
              <w:pStyle w:val="Compact"/>
            </w:pPr>
            <w:r>
              <w:rPr>
                <w:b/>
                <w:color w:val="FFFFFF"/>
                <w:sz w:val="17"/>
              </w:rPr>
              <w:t xml:space="preserve">Version Cahier</w:t>
            </w:r>
          </w:p>
        </w:tc>
        <w:tc>
          <w:tcPr>
            <w:shd w:val="clear" w:color="auto" w:fill="232C6B"/>
          </w:tcPr>
          <w:p>
            <w:pPr>
              <w:pStyle w:val="Compact"/>
            </w:pPr>
            <w:r>
              <w:rPr>
                <w:b/>
                <w:color w:val="FFFFFF"/>
                <w:sz w:val="17"/>
              </w:rPr>
              <w:t xml:space="preserve">Contenu source</w:t>
            </w:r>
          </w:p>
        </w:tc>
        <w:tc>
          <w:tcPr>
            <w:shd w:val="clear" w:color="auto" w:fill="232C6B"/>
          </w:tcPr>
          <w:p>
            <w:pPr>
              <w:pStyle w:val="Compact"/>
            </w:pPr>
            <w:r>
              <w:rPr>
                <w:b/>
                <w:color w:val="FFFFFF"/>
                <w:sz w:val="17"/>
              </w:rPr>
              <w:t xml:space="preserve">Release source</w:t>
            </w:r>
          </w:p>
        </w:tc>
        <w:tc>
          <w:tcPr>
            <w:shd w:val="clear" w:color="auto" w:fill="232C6B"/>
          </w:tcPr>
          <w:p>
            <w:pPr>
              <w:pStyle w:val="Compact"/>
            </w:pPr>
            <w:r>
              <w:rPr>
                <w:b/>
                <w:color w:val="FFFFFF"/>
                <w:sz w:val="17"/>
              </w:rPr>
              <w:t xml:space="preserve">Release v3.0</w:t>
            </w:r>
          </w:p>
        </w:tc>
        <w:tc>
          <w:tcPr>
            <w:shd w:val="clear" w:color="auto" w:fill="232C6B"/>
          </w:tcPr>
          <w:p>
            <w:pPr>
              <w:pStyle w:val="Compact"/>
            </w:pPr>
            <w:r>
              <w:rPr>
                <w:b/>
                <w:color w:val="FFFFFF"/>
                <w:sz w:val="17"/>
              </w:rPr>
              <w:t xml:space="preserve">Date v3.0</w:t>
            </w:r>
          </w:p>
        </w:tc>
      </w:tr>
      <w:tr>
        <w:tc>
          <w:tcPr/>
          <w:p>
            <w:pPr>
              <w:pStyle w:val="Compact"/>
            </w:pPr>
            <w:r>
              <w:rPr>
                <w:sz w:val="17"/>
              </w:rPr>
              <w:t xml:space="preserve">V0.1 — Socle interne</w:t>
            </w:r>
          </w:p>
        </w:tc>
        <w:tc>
          <w:tcPr/>
          <w:p>
            <w:pPr>
              <w:pStyle w:val="Compact"/>
            </w:pPr>
            <w:r>
              <w:rPr>
                <w:sz w:val="17"/>
              </w:rPr>
              <w:t xml:space="preserve">Identité, objets, référentiel, audit</w:t>
            </w:r>
          </w:p>
        </w:tc>
        <w:tc>
          <w:tcPr/>
          <w:p>
            <w:pPr>
              <w:pStyle w:val="Compact"/>
            </w:pPr>
            <w:r>
              <w:rPr>
                <w:sz w:val="17"/>
              </w:rPr>
              <w:t xml:space="preserve">R1</w:t>
            </w:r>
          </w:p>
        </w:tc>
        <w:tc>
          <w:tcPr/>
          <w:p>
            <w:pPr>
              <w:pStyle w:val="Compact"/>
            </w:pPr>
            <w:r>
              <w:rPr>
                <w:sz w:val="17"/>
              </w:rPr>
              <w:t xml:space="preserve">R0 (recensement + socle d’audit)</w:t>
            </w:r>
          </w:p>
        </w:tc>
        <w:tc>
          <w:tcPr/>
          <w:p>
            <w:pPr>
              <w:pStyle w:val="Compact"/>
            </w:pPr>
            <w:r>
              <w:rPr>
                <w:sz w:val="17"/>
              </w:rPr>
              <w:t xml:space="preserve">Déc. 2026</w:t>
            </w:r>
          </w:p>
        </w:tc>
      </w:tr>
      <w:tr>
        <w:tc>
          <w:tcPr>
            <w:shd w:val="clear" w:color="auto" w:fill="F5F7FB"/>
          </w:tcPr>
          <w:p>
            <w:pPr>
              <w:pStyle w:val="Compact"/>
            </w:pPr>
            <w:r>
              <w:rPr>
                <w:sz w:val="17"/>
              </w:rPr>
              <w:t xml:space="preserve">V0.5 — Pilote restreint</w:t>
            </w:r>
          </w:p>
        </w:tc>
        <w:tc>
          <w:tcPr>
            <w:shd w:val="clear" w:color="auto" w:fill="F5F7FB"/>
          </w:tcPr>
          <w:p>
            <w:pPr>
              <w:pStyle w:val="Compact"/>
            </w:pPr>
            <w:r>
              <w:rPr>
                <w:sz w:val="17"/>
              </w:rPr>
              <w:t xml:space="preserve">Déclaration, liquidation, paiement mobile, quittance, application terrain — une commune</w:t>
            </w:r>
          </w:p>
        </w:tc>
        <w:tc>
          <w:tcPr>
            <w:shd w:val="clear" w:color="auto" w:fill="F5F7FB"/>
          </w:tcPr>
          <w:p>
            <w:pPr>
              <w:pStyle w:val="Compact"/>
            </w:pPr>
            <w:r>
              <w:rPr>
                <w:sz w:val="17"/>
              </w:rPr>
              <w:t xml:space="preserve">R1</w:t>
            </w:r>
          </w:p>
        </w:tc>
        <w:tc>
          <w:tcPr>
            <w:shd w:val="clear" w:color="auto" w:fill="F5F7FB"/>
          </w:tcPr>
          <w:p>
            <w:pPr>
              <w:pStyle w:val="Compact"/>
            </w:pPr>
            <w:r>
              <w:rPr>
                <w:sz w:val="17"/>
              </w:rPr>
              <w:t xml:space="preserve">R1</w:t>
            </w:r>
          </w:p>
        </w:tc>
        <w:tc>
          <w:tcPr>
            <w:shd w:val="clear" w:color="auto" w:fill="F5F7FB"/>
          </w:tcPr>
          <w:p>
            <w:pPr>
              <w:pStyle w:val="Compact"/>
            </w:pPr>
            <w:r>
              <w:rPr>
                <w:sz w:val="17"/>
              </w:rPr>
              <w:t xml:space="preserve">Avril 2027</w:t>
            </w:r>
          </w:p>
        </w:tc>
      </w:tr>
      <w:tr>
        <w:tc>
          <w:tcPr/>
          <w:p>
            <w:pPr>
              <w:pStyle w:val="Compact"/>
            </w:pPr>
            <w:r>
              <w:rPr>
                <w:sz w:val="17"/>
              </w:rPr>
              <w:t xml:space="preserve">V1.0 — Pilote complet</w:t>
            </w:r>
          </w:p>
        </w:tc>
        <w:tc>
          <w:tcPr/>
          <w:p>
            <w:pPr>
              <w:pStyle w:val="Compact"/>
            </w:pPr>
            <w:r>
              <w:rPr>
                <w:sz w:val="17"/>
              </w:rPr>
              <w:t xml:space="preserve">4 communes, tableaux, rapprochement, recours</w:t>
            </w:r>
          </w:p>
        </w:tc>
        <w:tc>
          <w:tcPr/>
          <w:p>
            <w:pPr>
              <w:pStyle w:val="Compact"/>
            </w:pPr>
            <w:r>
              <w:rPr>
                <w:sz w:val="17"/>
              </w:rPr>
              <w:t xml:space="preserve">R1</w:t>
            </w:r>
          </w:p>
        </w:tc>
        <w:tc>
          <w:tcPr/>
          <w:p>
            <w:pPr>
              <w:pStyle w:val="Compact"/>
            </w:pPr>
            <w:r>
              <w:rPr>
                <w:sz w:val="17"/>
              </w:rPr>
              <w:t xml:space="preserve">R1 + pilote</w:t>
            </w:r>
          </w:p>
        </w:tc>
        <w:tc>
          <w:tcPr/>
          <w:p>
            <w:pPr>
              <w:pStyle w:val="Compact"/>
            </w:pPr>
            <w:r>
              <w:rPr>
                <w:sz w:val="17"/>
              </w:rPr>
              <w:t xml:space="preserve">Avril–juil. 2027</w:t>
            </w:r>
          </w:p>
        </w:tc>
      </w:tr>
      <w:tr>
        <w:tc>
          <w:tcPr>
            <w:shd w:val="clear" w:color="auto" w:fill="F5F7FB"/>
          </w:tcPr>
          <w:p>
            <w:pPr>
              <w:pStyle w:val="Compact"/>
            </w:pPr>
            <w:r>
              <w:rPr>
                <w:sz w:val="17"/>
              </w:rPr>
              <w:t xml:space="preserve">V1.5 — Campagne</w:t>
            </w:r>
          </w:p>
        </w:tc>
        <w:tc>
          <w:tcPr>
            <w:shd w:val="clear" w:color="auto" w:fill="F5F7FB"/>
          </w:tcPr>
          <w:p>
            <w:pPr>
              <w:pStyle w:val="Compact"/>
            </w:pPr>
            <w:r>
              <w:rPr>
                <w:sz w:val="17"/>
              </w:rPr>
              <w:t xml:space="preserve">Déclarations pré-remplies, relances, quitus numérique</w:t>
            </w:r>
          </w:p>
        </w:tc>
        <w:tc>
          <w:tcPr>
            <w:shd w:val="clear" w:color="auto" w:fill="F5F7FB"/>
          </w:tcPr>
          <w:p>
            <w:pPr>
              <w:pStyle w:val="Compact"/>
            </w:pPr>
            <w:r>
              <w:rPr>
                <w:sz w:val="17"/>
              </w:rPr>
              <w:t xml:space="preserve">R2</w:t>
            </w:r>
          </w:p>
        </w:tc>
        <w:tc>
          <w:tcPr>
            <w:shd w:val="clear" w:color="auto" w:fill="F5F7FB"/>
          </w:tcPr>
          <w:p>
            <w:pPr>
              <w:pStyle w:val="Compact"/>
            </w:pPr>
            <w:r>
              <w:rPr>
                <w:sz w:val="17"/>
              </w:rPr>
              <w:t xml:space="preserve">R1 (quitus, pré-remplissage) ; R2 (relances, E14)</w:t>
            </w:r>
          </w:p>
        </w:tc>
        <w:tc>
          <w:tcPr>
            <w:shd w:val="clear" w:color="auto" w:fill="F5F7FB"/>
          </w:tcPr>
          <w:p>
            <w:pPr>
              <w:pStyle w:val="Compact"/>
            </w:pPr>
            <w:r>
              <w:rPr>
                <w:sz w:val="17"/>
              </w:rPr>
              <w:t xml:space="preserve">Avril / oct. 2027</w:t>
            </w:r>
          </w:p>
        </w:tc>
      </w:tr>
      <w:tr>
        <w:tc>
          <w:tcPr/>
          <w:p>
            <w:pPr>
              <w:pStyle w:val="Compact"/>
            </w:pPr>
            <w:r>
              <w:rPr>
                <w:sz w:val="17"/>
              </w:rPr>
              <w:t xml:space="preserve">V2.0 — Extension</w:t>
            </w:r>
          </w:p>
        </w:tc>
        <w:tc>
          <w:tcPr/>
          <w:p>
            <w:pPr>
              <w:pStyle w:val="Compact"/>
            </w:pPr>
            <w:r>
              <w:rPr>
                <w:sz w:val="17"/>
              </w:rPr>
              <w:t xml:space="preserve">Communes, grands redevables, publicité, antennes, domaine public</w:t>
            </w:r>
          </w:p>
        </w:tc>
        <w:tc>
          <w:tcPr/>
          <w:p>
            <w:pPr>
              <w:pStyle w:val="Compact"/>
            </w:pPr>
            <w:r>
              <w:rPr>
                <w:sz w:val="17"/>
              </w:rPr>
              <w:t xml:space="preserve">R2</w:t>
            </w:r>
          </w:p>
        </w:tc>
        <w:tc>
          <w:tcPr/>
          <w:p>
            <w:pPr>
              <w:pStyle w:val="Compact"/>
            </w:pPr>
            <w:r>
              <w:rPr>
                <w:sz w:val="17"/>
              </w:rPr>
              <w:t xml:space="preserve">R2</w:t>
            </w:r>
          </w:p>
        </w:tc>
        <w:tc>
          <w:tcPr/>
          <w:p>
            <w:pPr>
              <w:pStyle w:val="Compact"/>
            </w:pPr>
            <w:r>
              <w:rPr>
                <w:sz w:val="17"/>
              </w:rPr>
              <w:t xml:space="preserve">Oct. 2027</w:t>
            </w:r>
          </w:p>
        </w:tc>
      </w:tr>
      <w:tr>
        <w:tc>
          <w:tcPr>
            <w:shd w:val="clear" w:color="auto" w:fill="F5F7FB"/>
          </w:tcPr>
          <w:p>
            <w:pPr>
              <w:pStyle w:val="Compact"/>
            </w:pPr>
            <w:r>
              <w:rPr>
                <w:sz w:val="17"/>
              </w:rPr>
              <w:t xml:space="preserve">V2.5 — Intelligence</w:t>
            </w:r>
          </w:p>
        </w:tc>
        <w:tc>
          <w:tcPr>
            <w:shd w:val="clear" w:color="auto" w:fill="F5F7FB"/>
          </w:tcPr>
          <w:p>
            <w:pPr>
              <w:pStyle w:val="Compact"/>
            </w:pPr>
            <w:r>
              <w:rPr>
                <w:sz w:val="17"/>
              </w:rPr>
              <w:t xml:space="preserve">IA de priorisation, prévision, fraude</w:t>
            </w:r>
          </w:p>
        </w:tc>
        <w:tc>
          <w:tcPr>
            <w:shd w:val="clear" w:color="auto" w:fill="F5F7FB"/>
          </w:tcPr>
          <w:p>
            <w:pPr>
              <w:pStyle w:val="Compact"/>
            </w:pPr>
            <w:r>
              <w:rPr>
                <w:sz w:val="17"/>
              </w:rPr>
              <w:t xml:space="preserve">R3</w:t>
            </w:r>
          </w:p>
        </w:tc>
        <w:tc>
          <w:tcPr>
            <w:shd w:val="clear" w:color="auto" w:fill="F5F7FB"/>
          </w:tcPr>
          <w:p>
            <w:pPr>
              <w:pStyle w:val="Compact"/>
            </w:pPr>
            <w:r>
              <w:rPr>
                <w:sz w:val="17"/>
              </w:rPr>
              <w:t xml:space="preserve">R2 (E15, E16)</w:t>
            </w:r>
          </w:p>
        </w:tc>
        <w:tc>
          <w:tcPr>
            <w:shd w:val="clear" w:color="auto" w:fill="F5F7FB"/>
          </w:tcPr>
          <w:p>
            <w:pPr>
              <w:pStyle w:val="Compact"/>
            </w:pPr>
            <w:r>
              <w:rPr>
                <w:sz w:val="17"/>
              </w:rPr>
              <w:t xml:space="preserve">Oct. 2027</w:t>
            </w:r>
          </w:p>
        </w:tc>
      </w:tr>
      <w:tr>
        <w:tc>
          <w:tcPr/>
          <w:p>
            <w:pPr>
              <w:pStyle w:val="Compact"/>
            </w:pPr>
            <w:r>
              <w:rPr>
                <w:sz w:val="17"/>
              </w:rPr>
              <w:t xml:space="preserve">V3.0 — Généralisation</w:t>
            </w:r>
          </w:p>
        </w:tc>
        <w:tc>
          <w:tcPr/>
          <w:p>
            <w:pPr>
              <w:pStyle w:val="Compact"/>
            </w:pPr>
            <w:r>
              <w:rPr>
                <w:sz w:val="17"/>
              </w:rPr>
              <w:t xml:space="preserve">24 communes, affectation, transparence</w:t>
            </w:r>
          </w:p>
        </w:tc>
        <w:tc>
          <w:tcPr/>
          <w:p>
            <w:pPr>
              <w:pStyle w:val="Compact"/>
            </w:pPr>
            <w:r>
              <w:rPr>
                <w:sz w:val="17"/>
              </w:rPr>
              <w:t xml:space="preserve">R4</w:t>
            </w:r>
          </w:p>
        </w:tc>
        <w:tc>
          <w:tcPr/>
          <w:p>
            <w:pPr>
              <w:pStyle w:val="Compact"/>
            </w:pPr>
            <w:r>
              <w:rPr>
                <w:sz w:val="17"/>
              </w:rPr>
              <w:t xml:space="preserve">R4 (transparence dès R2, E20)</w:t>
            </w:r>
          </w:p>
        </w:tc>
        <w:tc>
          <w:tcPr/>
          <w:p>
            <w:pPr>
              <w:pStyle w:val="Compact"/>
            </w:pPr>
            <w:r>
              <w:rPr>
                <w:sz w:val="17"/>
              </w:rPr>
              <w:t xml:space="preserve">Déc. 2028</w:t>
            </w:r>
          </w:p>
        </w:tc>
      </w:tr>
    </w:tbl>
    <w:bookmarkEnd w:id="530"/>
    <w:bookmarkEnd w:id="531"/>
    <w:bookmarkStart w:id="532" w:name="h.23-chapitre-44-tests-complémentaires"/>
    <w:p>
      <w:pPr>
        <w:pStyle w:val="Heading2"/>
      </w:pPr>
      <w:r>
        <w:t xml:space="preserve">H.23 Chapitre 44 — Tests complémentaires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Test</w:t>
            </w:r>
          </w:p>
        </w:tc>
        <w:tc>
          <w:tcPr>
            <w:shd w:val="clear" w:color="auto" w:fill="232C6B"/>
          </w:tcPr>
          <w:p>
            <w:pPr>
              <w:pStyle w:val="Compact"/>
            </w:pPr>
            <w:r>
              <w:rPr>
                <w:b/>
                <w:color w:val="FFFFFF"/>
                <w:sz w:val="17"/>
              </w:rPr>
              <w:t xml:space="preserve">Exigence source intégrée</w:t>
            </w:r>
          </w:p>
        </w:tc>
      </w:tr>
      <w:tr>
        <w:tc>
          <w:tcPr/>
          <w:p>
            <w:pPr>
              <w:pStyle w:val="Compact"/>
            </w:pPr>
            <w:r>
              <w:rPr>
                <w:sz w:val="17"/>
              </w:rPr>
              <w:t xml:space="preserve">Liquidation</w:t>
            </w:r>
          </w:p>
        </w:tc>
        <w:tc>
          <w:tcPr/>
          <w:p>
            <w:pPr>
              <w:pStyle w:val="Compact"/>
            </w:pPr>
            <w:r>
              <w:rPr>
                <w:sz w:val="17"/>
              </w:rPr>
              <w:t xml:space="preserve">Comparaison avec des</w:t>
            </w:r>
            <w:r>
              <w:rPr>
                <w:sz w:val="17"/>
              </w:rPr>
              <w:t xml:space="preserve"> </w:t>
            </w:r>
            <w:r>
              <w:rPr>
                <w:b/>
                <w:bCs/>
                <w:sz w:val="17"/>
              </w:rPr>
              <w:t xml:space="preserve">dossiers réels anonymisés</w:t>
            </w:r>
            <w:r>
              <w:rPr>
                <w:sz w:val="17"/>
              </w:rPr>
              <w:t xml:space="preserve"> </w:t>
            </w:r>
            <w:r>
              <w:rPr>
                <w:sz w:val="17"/>
              </w:rPr>
              <w:t xml:space="preserve">en plus des cas juridiques</w:t>
            </w:r>
          </w:p>
        </w:tc>
      </w:tr>
      <w:tr>
        <w:tc>
          <w:tcPr>
            <w:shd w:val="clear" w:color="auto" w:fill="F5F7FB"/>
          </w:tcPr>
          <w:p>
            <w:pPr>
              <w:pStyle w:val="Compact"/>
            </w:pPr>
            <w:r>
              <w:rPr>
                <w:sz w:val="17"/>
              </w:rPr>
              <w:t xml:space="preserve">Paiement bout en bout</w:t>
            </w:r>
          </w:p>
        </w:tc>
        <w:tc>
          <w:tcPr>
            <w:shd w:val="clear" w:color="auto" w:fill="F5F7FB"/>
          </w:tcPr>
          <w:p>
            <w:pPr>
              <w:pStyle w:val="Compact"/>
            </w:pPr>
            <w:r>
              <w:rPr>
                <w:b/>
                <w:bCs/>
                <w:sz w:val="17"/>
              </w:rPr>
              <w:t xml:space="preserve">Avec chaque prestataire</w:t>
            </w:r>
            <w:r>
              <w:rPr>
                <w:sz w:val="17"/>
              </w:rPr>
              <w:t xml:space="preserve"> </w:t>
            </w:r>
            <w:r>
              <w:rPr>
                <w:sz w:val="17"/>
              </w:rPr>
              <w:t xml:space="preserve">: échec, doublon, rappel frauduleux</w:t>
            </w:r>
          </w:p>
        </w:tc>
      </w:tr>
      <w:tr>
        <w:tc>
          <w:tcPr/>
          <w:p>
            <w:pPr>
              <w:pStyle w:val="Compact"/>
            </w:pPr>
            <w:r>
              <w:rPr>
                <w:sz w:val="17"/>
              </w:rPr>
              <w:t xml:space="preserve">Paiement en espèces</w:t>
            </w:r>
          </w:p>
        </w:tc>
        <w:tc>
          <w:tcPr/>
          <w:p>
            <w:pPr>
              <w:pStyle w:val="Compact"/>
            </w:pPr>
            <w:r>
              <w:rPr>
                <w:sz w:val="17"/>
              </w:rPr>
              <w:t xml:space="preserve">Chez</w:t>
            </w:r>
            <w:r>
              <w:rPr>
                <w:sz w:val="17"/>
              </w:rPr>
              <w:t xml:space="preserve"> </w:t>
            </w:r>
            <w:r>
              <w:rPr>
                <w:b/>
                <w:bCs/>
                <w:sz w:val="17"/>
              </w:rPr>
              <w:t xml:space="preserve">chaque type de point agréé</w:t>
            </w:r>
            <w:r>
              <w:rPr>
                <w:sz w:val="17"/>
              </w:rPr>
              <w:t xml:space="preserve"> </w:t>
            </w:r>
            <w:r>
              <w:rPr>
                <w:sz w:val="17"/>
              </w:rPr>
              <w:t xml:space="preserve">: retard de règlement, tentative de modification du montant</w:t>
            </w:r>
          </w:p>
        </w:tc>
      </w:tr>
      <w:tr>
        <w:tc>
          <w:tcPr>
            <w:shd w:val="clear" w:color="auto" w:fill="F5F7FB"/>
          </w:tcPr>
          <w:p>
            <w:pPr>
              <w:pStyle w:val="Compact"/>
            </w:pPr>
            <w:r>
              <w:rPr>
                <w:sz w:val="17"/>
              </w:rPr>
              <w:t xml:space="preserve">Charge</w:t>
            </w:r>
          </w:p>
        </w:tc>
        <w:tc>
          <w:tcPr>
            <w:shd w:val="clear" w:color="auto" w:fill="F5F7FB"/>
          </w:tcPr>
          <w:p>
            <w:pPr>
              <w:pStyle w:val="Compact"/>
            </w:pPr>
            <w:r>
              <w:rPr>
                <w:b/>
                <w:bCs/>
                <w:sz w:val="17"/>
              </w:rPr>
              <w:t xml:space="preserve">Calée sur les pics de fin janvier</w:t>
            </w:r>
            <w:r>
              <w:rPr>
                <w:sz w:val="17"/>
              </w:rPr>
              <w:t xml:space="preserve"> </w:t>
            </w:r>
            <w:r>
              <w:rPr>
                <w:sz w:val="17"/>
              </w:rPr>
              <w:t xml:space="preserve">(échéance de février)</w:t>
            </w:r>
          </w:p>
        </w:tc>
      </w:tr>
      <w:tr>
        <w:tc>
          <w:tcPr/>
          <w:p>
            <w:pPr>
              <w:pStyle w:val="Compact"/>
            </w:pPr>
            <w:r>
              <w:rPr>
                <w:sz w:val="17"/>
              </w:rPr>
              <w:t xml:space="preserve">Hors ligne</w:t>
            </w:r>
          </w:p>
        </w:tc>
        <w:tc>
          <w:tcPr/>
          <w:p>
            <w:pPr>
              <w:pStyle w:val="Compact"/>
            </w:pPr>
            <w:r>
              <w:rPr>
                <w:sz w:val="17"/>
              </w:rPr>
              <w:t xml:space="preserve">Journée complète (v3.0 : 5 jours), perte d’appareil, conflit</w:t>
            </w:r>
          </w:p>
        </w:tc>
      </w:tr>
      <w:tr>
        <w:tc>
          <w:tcPr>
            <w:shd w:val="clear" w:color="auto" w:fill="F5F7FB"/>
          </w:tcPr>
          <w:p>
            <w:pPr>
              <w:pStyle w:val="Compact"/>
            </w:pPr>
            <w:r>
              <w:rPr>
                <w:sz w:val="17"/>
              </w:rPr>
              <w:t xml:space="preserve">Sécurité</w:t>
            </w:r>
          </w:p>
        </w:tc>
        <w:tc>
          <w:tcPr>
            <w:shd w:val="clear" w:color="auto" w:fill="F5F7FB"/>
          </w:tcPr>
          <w:p>
            <w:pPr>
              <w:pStyle w:val="Compact"/>
            </w:pPr>
            <w:r>
              <w:rPr>
                <w:sz w:val="17"/>
              </w:rPr>
              <w:t xml:space="preserve">Intrusion, élévation de privilèges,</w:t>
            </w:r>
            <w:r>
              <w:rPr>
                <w:sz w:val="17"/>
              </w:rPr>
              <w:t xml:space="preserve"> </w:t>
            </w:r>
            <w:r>
              <w:rPr>
                <w:b/>
                <w:bCs/>
                <w:sz w:val="17"/>
              </w:rPr>
              <w:t xml:space="preserve">altération du journal</w:t>
            </w:r>
            <w:r>
              <w:rPr>
                <w:sz w:val="17"/>
              </w:rPr>
              <w:t xml:space="preserve">,</w:t>
            </w:r>
            <w:r>
              <w:rPr>
                <w:sz w:val="17"/>
              </w:rPr>
              <w:t xml:space="preserve"> </w:t>
            </w:r>
            <w:r>
              <w:rPr>
                <w:b/>
                <w:bCs/>
                <w:sz w:val="17"/>
              </w:rPr>
              <w:t xml:space="preserve">exfiltration massive</w:t>
            </w:r>
          </w:p>
        </w:tc>
      </w:tr>
      <w:tr>
        <w:tc>
          <w:tcPr/>
          <w:p>
            <w:pPr>
              <w:pStyle w:val="Compact"/>
            </w:pPr>
            <w:r>
              <w:rPr>
                <w:sz w:val="17"/>
              </w:rPr>
              <w:t xml:space="preserve">Accessibilité et inclusion</w:t>
            </w:r>
          </w:p>
        </w:tc>
        <w:tc>
          <w:tcPr/>
          <w:p>
            <w:pPr>
              <w:pStyle w:val="Compact"/>
            </w:pPr>
            <w:r>
              <w:rPr>
                <w:sz w:val="17"/>
              </w:rPr>
              <w:t xml:space="preserve">Terminaux d’entrée de gamme et connexions lentes ;</w:t>
            </w:r>
            <w:r>
              <w:rPr>
                <w:sz w:val="17"/>
              </w:rPr>
              <w:t xml:space="preserve"> </w:t>
            </w:r>
            <w:r>
              <w:rPr>
                <w:b/>
                <w:bCs/>
                <w:sz w:val="17"/>
              </w:rPr>
              <w:t xml:space="preserve">usage avec des personnes non alphabétisées et des téléphones basiques, dans chaque langue du SVI</w:t>
            </w:r>
          </w:p>
        </w:tc>
      </w:tr>
      <w:tr>
        <w:tc>
          <w:tcPr>
            <w:shd w:val="clear" w:color="auto" w:fill="F5F7FB"/>
          </w:tcPr>
          <w:p>
            <w:pPr>
              <w:pStyle w:val="Compact"/>
            </w:pPr>
            <w:r>
              <w:rPr>
                <w:sz w:val="17"/>
              </w:rPr>
              <w:t xml:space="preserve">Recette utilisateur</w:t>
            </w:r>
          </w:p>
        </w:tc>
        <w:tc>
          <w:tcPr>
            <w:shd w:val="clear" w:color="auto" w:fill="F5F7FB"/>
          </w:tcPr>
          <w:p>
            <w:pPr>
              <w:pStyle w:val="Compact"/>
            </w:pPr>
            <w:r>
              <w:rPr>
                <w:b/>
                <w:bCs/>
                <w:sz w:val="17"/>
              </w:rPr>
              <w:t xml:space="preserve">Avec des agents réels dans une commune</w:t>
            </w:r>
          </w:p>
        </w:tc>
      </w:tr>
      <w:tr>
        <w:tc>
          <w:tcPr/>
          <w:p>
            <w:pPr>
              <w:pStyle w:val="Compact"/>
            </w:pPr>
            <w:r>
              <w:rPr>
                <w:sz w:val="17"/>
              </w:rPr>
              <w:t xml:space="preserve">Reprise</w:t>
            </w:r>
          </w:p>
        </w:tc>
        <w:tc>
          <w:tcPr/>
          <w:p>
            <w:pPr>
              <w:pStyle w:val="Compact"/>
            </w:pPr>
            <w:r>
              <w:rPr>
                <w:sz w:val="17"/>
              </w:rPr>
              <w:t xml:space="preserve">Restauration complète et vérification d’intégrité</w:t>
            </w:r>
          </w:p>
        </w:tc>
      </w:tr>
      <w:tr>
        <w:tc>
          <w:tcPr>
            <w:shd w:val="clear" w:color="auto" w:fill="F5F7FB"/>
          </w:tcPr>
          <w:p>
            <w:pPr>
              <w:pStyle w:val="Compact"/>
            </w:pPr>
            <w:r>
              <w:rPr>
                <w:sz w:val="17"/>
              </w:rPr>
              <w:t xml:space="preserve">Équipes</w:t>
            </w:r>
          </w:p>
        </w:tc>
        <w:tc>
          <w:tcPr>
            <w:shd w:val="clear" w:color="auto" w:fill="F5F7FB"/>
          </w:tcPr>
          <w:p>
            <w:pPr>
              <w:pStyle w:val="Compact"/>
            </w:pPr>
            <w:r>
              <w:rPr>
                <w:sz w:val="17"/>
              </w:rPr>
              <w:t xml:space="preserve">Invitation, habilitation, affectation hors lot refusée,</w:t>
            </w:r>
            <w:r>
              <w:rPr>
                <w:sz w:val="17"/>
              </w:rPr>
              <w:t xml:space="preserve"> </w:t>
            </w:r>
            <w:r>
              <w:rPr>
                <w:b/>
                <w:bCs/>
                <w:sz w:val="17"/>
              </w:rPr>
              <w:t xml:space="preserve">révocation en masse</w:t>
            </w:r>
          </w:p>
        </w:tc>
      </w:tr>
      <w:tr>
        <w:tc>
          <w:tcPr/>
          <w:p>
            <w:pPr>
              <w:pStyle w:val="Compact"/>
            </w:pPr>
            <w:r>
              <w:rPr>
                <w:sz w:val="17"/>
              </w:rPr>
              <w:t xml:space="preserve">Titres</w:t>
            </w:r>
          </w:p>
        </w:tc>
        <w:tc>
          <w:tcPr/>
          <w:p>
            <w:pPr>
              <w:pStyle w:val="Compact"/>
            </w:pPr>
            <w:r>
              <w:rPr>
                <w:sz w:val="17"/>
              </w:rPr>
              <w:t xml:space="preserve">Passage vert → ambre → rouge sur l’heure serveur ; horloge client faussée ; capture de QR dynamique ; réutilisation d’un usage unique en ligne et hors ligne</w:t>
            </w:r>
          </w:p>
        </w:tc>
      </w:tr>
      <w:tr>
        <w:tc>
          <w:tcPr>
            <w:shd w:val="clear" w:color="auto" w:fill="F5F7FB"/>
          </w:tcPr>
          <w:p>
            <w:pPr>
              <w:pStyle w:val="Compact"/>
            </w:pPr>
            <w:r>
              <w:rPr>
                <w:sz w:val="17"/>
              </w:rPr>
              <w:t xml:space="preserve">Multi-entités</w:t>
            </w:r>
          </w:p>
        </w:tc>
        <w:tc>
          <w:tcPr>
            <w:shd w:val="clear" w:color="auto" w:fill="F5F7FB"/>
          </w:tcPr>
          <w:p>
            <w:pPr>
              <w:pStyle w:val="Compact"/>
            </w:pPr>
            <w:r>
              <w:rPr>
                <w:sz w:val="17"/>
              </w:rPr>
              <w:t xml:space="preserve">Accès inter-entités (négatif) ; double revendication ; activation par fiche</w:t>
            </w:r>
          </w:p>
        </w:tc>
      </w:tr>
      <w:tr>
        <w:tc>
          <w:tcPr/>
          <w:p>
            <w:pPr>
              <w:pStyle w:val="Compact"/>
            </w:pPr>
            <w:r>
              <w:rPr>
                <w:sz w:val="17"/>
              </w:rPr>
              <w:t xml:space="preserve">Invitations</w:t>
            </w:r>
          </w:p>
        </w:tc>
        <w:tc>
          <w:tcPr/>
          <w:p>
            <w:pPr>
              <w:pStyle w:val="Compact"/>
            </w:pPr>
            <w:r>
              <w:rPr>
                <w:sz w:val="17"/>
              </w:rPr>
              <w:t xml:space="preserve">Lien depuis un autre numéro ; second usage ; élévation tentée ; inscription assistée d’une personne non invitée</w:t>
            </w:r>
          </w:p>
        </w:tc>
      </w:tr>
      <w:tr>
        <w:tc>
          <w:tcPr>
            <w:shd w:val="clear" w:color="auto" w:fill="F5F7FB"/>
          </w:tcPr>
          <w:p>
            <w:pPr>
              <w:pStyle w:val="Compact"/>
            </w:pPr>
            <w:r>
              <w:rPr>
                <w:sz w:val="17"/>
              </w:rPr>
              <w:t xml:space="preserve">Chaque livraison</w:t>
            </w:r>
          </w:p>
        </w:tc>
        <w:tc>
          <w:tcPr>
            <w:shd w:val="clear" w:color="auto" w:fill="F5F7FB"/>
          </w:tcPr>
          <w:p>
            <w:pPr>
              <w:pStyle w:val="Compact"/>
            </w:pPr>
            <w:r>
              <w:rPr>
                <w:sz w:val="17"/>
              </w:rPr>
              <w:t xml:space="preserve">Unitaires, intégration, sécurité, recette,</w:t>
            </w:r>
            <w:r>
              <w:rPr>
                <w:sz w:val="17"/>
              </w:rPr>
              <w:t xml:space="preserve"> </w:t>
            </w:r>
            <w:r>
              <w:rPr>
                <w:b/>
                <w:bCs/>
                <w:sz w:val="17"/>
              </w:rPr>
              <w:t xml:space="preserve">cas négatifs</w:t>
            </w:r>
            <w:r>
              <w:rPr>
                <w:sz w:val="17"/>
              </w:rPr>
              <w:t xml:space="preserve">,</w:t>
            </w:r>
            <w:r>
              <w:rPr>
                <w:sz w:val="17"/>
              </w:rPr>
              <w:t xml:space="preserve"> </w:t>
            </w:r>
            <w:r>
              <w:rPr>
                <w:b/>
                <w:bCs/>
                <w:sz w:val="17"/>
              </w:rPr>
              <w:t xml:space="preserve">retour arrière</w:t>
            </w:r>
          </w:p>
        </w:tc>
      </w:tr>
    </w:tbl>
    <w:bookmarkEnd w:id="532"/>
    <w:bookmarkStart w:id="537" w:name="h.24-chapitre-45-pilote-compléments"/>
    <w:p>
      <w:pPr>
        <w:pStyle w:val="Heading2"/>
      </w:pPr>
      <w:r>
        <w:t xml:space="preserve">H.24 Chapitre 45 — Pilote : compléments</w:t>
      </w:r>
    </w:p>
    <w:bookmarkStart w:id="533" w:name="h.24.1-profils-et-recettes-par-commune"/>
    <w:p>
      <w:pPr>
        <w:pStyle w:val="Heading3"/>
      </w:pPr>
      <w:r>
        <w:t xml:space="preserve">H.24.1 Profils et recettes par commune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Commune</w:t>
            </w:r>
          </w:p>
        </w:tc>
        <w:tc>
          <w:tcPr>
            <w:shd w:val="clear" w:color="auto" w:fill="232C6B"/>
          </w:tcPr>
          <w:p>
            <w:pPr>
              <w:pStyle w:val="Compact"/>
            </w:pPr>
            <w:r>
              <w:rPr>
                <w:b/>
                <w:color w:val="FFFFFF"/>
                <w:sz w:val="17"/>
              </w:rPr>
              <w:t xml:space="preserve">Profil (source)</w:t>
            </w:r>
          </w:p>
        </w:tc>
        <w:tc>
          <w:tcPr>
            <w:shd w:val="clear" w:color="auto" w:fill="232C6B"/>
          </w:tcPr>
          <w:p>
            <w:pPr>
              <w:pStyle w:val="Compact"/>
            </w:pPr>
            <w:r>
              <w:rPr>
                <w:b/>
                <w:color w:val="FFFFFF"/>
                <w:sz w:val="17"/>
              </w:rPr>
              <w:t xml:space="preserve">Recettes prioritaires (source)</w:t>
            </w:r>
          </w:p>
        </w:tc>
        <w:tc>
          <w:tcPr>
            <w:shd w:val="clear" w:color="auto" w:fill="232C6B"/>
          </w:tcPr>
          <w:p>
            <w:pPr>
              <w:pStyle w:val="Compact"/>
            </w:pPr>
            <w:r>
              <w:rPr>
                <w:b/>
                <w:color w:val="FFFFFF"/>
                <w:sz w:val="17"/>
              </w:rPr>
              <w:t xml:space="preserve">Compléments v3.0</w:t>
            </w:r>
          </w:p>
        </w:tc>
      </w:tr>
      <w:tr>
        <w:tc>
          <w:tcPr/>
          <w:p>
            <w:pPr>
              <w:pStyle w:val="Compact"/>
            </w:pPr>
            <w:r>
              <w:rPr>
                <w:sz w:val="17"/>
              </w:rPr>
              <w:t xml:space="preserve">Gombe</w:t>
            </w:r>
          </w:p>
        </w:tc>
        <w:tc>
          <w:tcPr/>
          <w:p>
            <w:pPr>
              <w:pStyle w:val="Compact"/>
            </w:pPr>
            <w:r>
              <w:rPr>
                <w:sz w:val="17"/>
              </w:rPr>
              <w:t xml:space="preserve">1er rang, bureaux, forte valeur locative, publicité,</w:t>
            </w:r>
            <w:r>
              <w:rPr>
                <w:sz w:val="17"/>
              </w:rPr>
              <w:t xml:space="preserve"> </w:t>
            </w:r>
            <w:r>
              <w:rPr>
                <w:b/>
                <w:bCs/>
                <w:sz w:val="17"/>
              </w:rPr>
              <w:t xml:space="preserve">point fluvial</w:t>
            </w:r>
          </w:p>
        </w:tc>
        <w:tc>
          <w:tcPr/>
          <w:p>
            <w:pPr>
              <w:pStyle w:val="Compact"/>
            </w:pPr>
            <w:r>
              <w:rPr>
                <w:sz w:val="17"/>
              </w:rPr>
              <w:t xml:space="preserve">IRL, IF, publicité, embarquement</w:t>
            </w:r>
          </w:p>
        </w:tc>
        <w:tc>
          <w:tcPr/>
          <w:p>
            <w:pPr>
              <w:pStyle w:val="Compact"/>
            </w:pPr>
            <w:r>
              <w:rPr>
                <w:sz w:val="17"/>
              </w:rPr>
              <w:t xml:space="preserve">Stationnement après acte (J24) ; embarquement fluvial seulement après cadrage (J30)</w:t>
            </w:r>
          </w:p>
        </w:tc>
      </w:tr>
      <w:tr>
        <w:tc>
          <w:tcPr>
            <w:shd w:val="clear" w:color="auto" w:fill="F5F7FB"/>
          </w:tcPr>
          <w:p>
            <w:pPr>
              <w:pStyle w:val="Compact"/>
            </w:pPr>
            <w:r>
              <w:rPr>
                <w:sz w:val="17"/>
              </w:rPr>
              <w:t xml:space="preserve">Limete</w:t>
            </w:r>
          </w:p>
        </w:tc>
        <w:tc>
          <w:tcPr>
            <w:shd w:val="clear" w:color="auto" w:fill="F5F7FB"/>
          </w:tcPr>
          <w:p>
            <w:pPr>
              <w:pStyle w:val="Compact"/>
            </w:pPr>
            <w:r>
              <w:rPr>
                <w:sz w:val="17"/>
              </w:rPr>
              <w:t xml:space="preserve">Industriel, logistique, entrepôts, poids lourds</w:t>
            </w:r>
          </w:p>
        </w:tc>
        <w:tc>
          <w:tcPr>
            <w:shd w:val="clear" w:color="auto" w:fill="F5F7FB"/>
          </w:tcPr>
          <w:p>
            <w:pPr>
              <w:pStyle w:val="Compact"/>
            </w:pPr>
            <w:r>
              <w:rPr>
                <w:sz w:val="17"/>
              </w:rPr>
              <w:t xml:space="preserve">IF, patente, véhicules, domaine public</w:t>
            </w:r>
          </w:p>
        </w:tc>
        <w:tc>
          <w:tcPr>
            <w:shd w:val="clear" w:color="auto" w:fill="F5F7FB"/>
          </w:tcPr>
          <w:p>
            <w:pPr>
              <w:pStyle w:val="Compact"/>
            </w:pPr>
            <w:r>
              <w:rPr>
                <w:sz w:val="17"/>
              </w:rPr>
              <w:t xml:space="preserve">Locations, entrepôts, commerces</w:t>
            </w:r>
          </w:p>
        </w:tc>
      </w:tr>
      <w:tr>
        <w:tc>
          <w:tcPr/>
          <w:p>
            <w:pPr>
              <w:pStyle w:val="Compact"/>
            </w:pPr>
            <w:r>
              <w:rPr>
                <w:sz w:val="17"/>
              </w:rPr>
              <w:t xml:space="preserve">Kalamu</w:t>
            </w:r>
          </w:p>
        </w:tc>
        <w:tc>
          <w:tcPr/>
          <w:p>
            <w:pPr>
              <w:pStyle w:val="Compact"/>
            </w:pPr>
            <w:r>
              <w:rPr>
                <w:sz w:val="17"/>
              </w:rPr>
              <w:t xml:space="preserve">Commerce dense (Matonge), locatif compact</w:t>
            </w:r>
          </w:p>
        </w:tc>
        <w:tc>
          <w:tcPr/>
          <w:p>
            <w:pPr>
              <w:pStyle w:val="Compact"/>
            </w:pPr>
            <w:r>
              <w:rPr>
                <w:sz w:val="17"/>
              </w:rPr>
              <w:t xml:space="preserve">IRL, patente, débits de boissons</w:t>
            </w:r>
          </w:p>
        </w:tc>
        <w:tc>
          <w:tcPr/>
          <w:p>
            <w:pPr>
              <w:pStyle w:val="Compact"/>
            </w:pPr>
            <w:r>
              <w:rPr>
                <w:sz w:val="17"/>
              </w:rPr>
              <w:t xml:space="preserve">Marchés, informalité</w:t>
            </w:r>
          </w:p>
        </w:tc>
      </w:tr>
      <w:tr>
        <w:tc>
          <w:tcPr>
            <w:shd w:val="clear" w:color="auto" w:fill="F5F7FB"/>
          </w:tcPr>
          <w:p>
            <w:pPr>
              <w:pStyle w:val="Compact"/>
            </w:pPr>
            <w:r>
              <w:rPr>
                <w:sz w:val="17"/>
              </w:rPr>
              <w:t xml:space="preserve">Ngaliema</w:t>
            </w:r>
          </w:p>
        </w:tc>
        <w:tc>
          <w:tcPr>
            <w:shd w:val="clear" w:color="auto" w:fill="F5F7FB"/>
          </w:tcPr>
          <w:p>
            <w:pPr>
              <w:pStyle w:val="Compact"/>
            </w:pPr>
            <w:r>
              <w:rPr>
                <w:sz w:val="17"/>
              </w:rPr>
              <w:t xml:space="preserve">Résidentiel de valeur,</w:t>
            </w:r>
            <w:r>
              <w:rPr>
                <w:sz w:val="17"/>
              </w:rPr>
              <w:t xml:space="preserve"> </w:t>
            </w:r>
            <w:r>
              <w:rPr>
                <w:b/>
                <w:bCs/>
                <w:sz w:val="17"/>
              </w:rPr>
              <w:t xml:space="preserve">bailleurs institutionnels</w:t>
            </w:r>
          </w:p>
        </w:tc>
        <w:tc>
          <w:tcPr>
            <w:shd w:val="clear" w:color="auto" w:fill="F5F7FB"/>
          </w:tcPr>
          <w:p>
            <w:pPr>
              <w:pStyle w:val="Compact"/>
            </w:pPr>
            <w:r>
              <w:rPr>
                <w:sz w:val="17"/>
              </w:rPr>
              <w:t xml:space="preserve">IRL, IF</w:t>
            </w:r>
          </w:p>
        </w:tc>
        <w:tc>
          <w:tcPr>
            <w:shd w:val="clear" w:color="auto" w:fill="F5F7FB"/>
          </w:tcPr>
          <w:p>
            <w:pPr>
              <w:pStyle w:val="Compact"/>
            </w:pPr>
            <w:r>
              <w:rPr>
                <w:sz w:val="17"/>
              </w:rPr>
              <w:t xml:space="preserve">Constructions nouvelles, hétérogénéité</w:t>
            </w:r>
          </w:p>
        </w:tc>
      </w:tr>
    </w:tbl>
    <w:bookmarkEnd w:id="533"/>
    <w:bookmarkStart w:id="534" w:name="X74998aebf89d9658d03c4e4ba9b5a04dbef90db"/>
    <w:p>
      <w:pPr>
        <w:pStyle w:val="Heading3"/>
      </w:pPr>
      <w:r>
        <w:t xml:space="preserve">H.24.2 Séquence source (26 semaines) et séquence v3.0</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Semaines (source)</w:t>
            </w:r>
          </w:p>
        </w:tc>
        <w:tc>
          <w:tcPr>
            <w:shd w:val="clear" w:color="auto" w:fill="232C6B"/>
          </w:tcPr>
          <w:p>
            <w:pPr>
              <w:pStyle w:val="Compact"/>
            </w:pPr>
            <w:r>
              <w:rPr>
                <w:b/>
                <w:color w:val="FFFFFF"/>
                <w:sz w:val="17"/>
              </w:rPr>
              <w:t xml:space="preserve">Activité source</w:t>
            </w:r>
          </w:p>
        </w:tc>
        <w:tc>
          <w:tcPr>
            <w:shd w:val="clear" w:color="auto" w:fill="232C6B"/>
          </w:tcPr>
          <w:p>
            <w:pPr>
              <w:pStyle w:val="Compact"/>
            </w:pPr>
            <w:r>
              <w:rPr>
                <w:b/>
                <w:color w:val="FFFFFF"/>
                <w:sz w:val="17"/>
              </w:rPr>
              <w:t xml:space="preserve">Équivalent v3.0 (§ 45.2)</w:t>
            </w:r>
          </w:p>
        </w:tc>
      </w:tr>
      <w:tr>
        <w:tc>
          <w:tcPr/>
          <w:p>
            <w:pPr>
              <w:pStyle w:val="Compact"/>
            </w:pPr>
            <w:r>
              <w:rPr>
                <w:sz w:val="17"/>
              </w:rPr>
              <w:t xml:space="preserve">S1–4</w:t>
            </w:r>
          </w:p>
        </w:tc>
        <w:tc>
          <w:tcPr/>
          <w:p>
            <w:pPr>
              <w:pStyle w:val="Compact"/>
            </w:pPr>
            <w:r>
              <w:rPr>
                <w:sz w:val="17"/>
              </w:rPr>
              <w:t xml:space="preserve">Paramétrage du référentiel pilote, conventions de données, recrutement et certification des agents</w:t>
            </w:r>
          </w:p>
        </w:tc>
        <w:tc>
          <w:tcPr/>
          <w:p>
            <w:pPr>
              <w:pStyle w:val="Compact"/>
            </w:pPr>
            <w:r>
              <w:rPr>
                <w:sz w:val="17"/>
              </w:rPr>
              <w:t xml:space="preserve">Phase 0–1 (oct.–nov. 2026)</w:t>
            </w:r>
          </w:p>
        </w:tc>
      </w:tr>
      <w:tr>
        <w:tc>
          <w:tcPr>
            <w:shd w:val="clear" w:color="auto" w:fill="F5F7FB"/>
          </w:tcPr>
          <w:p>
            <w:pPr>
              <w:pStyle w:val="Compact"/>
            </w:pPr>
            <w:r>
              <w:rPr>
                <w:sz w:val="17"/>
              </w:rPr>
              <w:t xml:space="preserve">S5–12</w:t>
            </w:r>
          </w:p>
        </w:tc>
        <w:tc>
          <w:tcPr>
            <w:shd w:val="clear" w:color="auto" w:fill="F5F7FB"/>
          </w:tcPr>
          <w:p>
            <w:pPr>
              <w:pStyle w:val="Compact"/>
            </w:pPr>
            <w:r>
              <w:rPr>
                <w:sz w:val="17"/>
              </w:rPr>
              <w:t xml:space="preserve">Recensement locatif et commercial ; objets ; plaques QR sur commerces et panneaux</w:t>
            </w:r>
          </w:p>
        </w:tc>
        <w:tc>
          <w:tcPr>
            <w:shd w:val="clear" w:color="auto" w:fill="F5F7FB"/>
          </w:tcPr>
          <w:p>
            <w:pPr>
              <w:pStyle w:val="Compact"/>
            </w:pPr>
            <w:r>
              <w:rPr>
                <w:sz w:val="17"/>
              </w:rPr>
              <w:t xml:space="preserve">J−120 à J0 (R0)</w:t>
            </w:r>
          </w:p>
        </w:tc>
      </w:tr>
      <w:tr>
        <w:tc>
          <w:tcPr/>
          <w:p>
            <w:pPr>
              <w:pStyle w:val="Compact"/>
            </w:pPr>
            <w:r>
              <w:rPr>
                <w:sz w:val="17"/>
              </w:rPr>
              <w:t xml:space="preserve">S13–16</w:t>
            </w:r>
          </w:p>
        </w:tc>
        <w:tc>
          <w:tcPr/>
          <w:p>
            <w:pPr>
              <w:pStyle w:val="Compact"/>
            </w:pPr>
            <w:r>
              <w:rPr>
                <w:sz w:val="17"/>
              </w:rPr>
              <w:t xml:space="preserve">Ouverture des paiements électroniques, quittance vérifiable, assistance en centres communaux</w:t>
            </w:r>
          </w:p>
        </w:tc>
        <w:tc>
          <w:tcPr/>
          <w:p>
            <w:pPr>
              <w:pStyle w:val="Compact"/>
            </w:pPr>
            <w:r>
              <w:rPr>
                <w:sz w:val="17"/>
              </w:rPr>
              <w:t xml:space="preserve">J0–J30 (test partiel) puis R1</w:t>
            </w:r>
          </w:p>
        </w:tc>
      </w:tr>
      <w:tr>
        <w:tc>
          <w:tcPr>
            <w:shd w:val="clear" w:color="auto" w:fill="F5F7FB"/>
          </w:tcPr>
          <w:p>
            <w:pPr>
              <w:pStyle w:val="Compact"/>
            </w:pPr>
            <w:r>
              <w:rPr>
                <w:sz w:val="17"/>
              </w:rPr>
              <w:t xml:space="preserve">S17–22</w:t>
            </w:r>
          </w:p>
        </w:tc>
        <w:tc>
          <w:tcPr>
            <w:shd w:val="clear" w:color="auto" w:fill="F5F7FB"/>
          </w:tcPr>
          <w:p>
            <w:pPr>
              <w:pStyle w:val="Compact"/>
            </w:pPr>
            <w:r>
              <w:rPr>
                <w:sz w:val="17"/>
              </w:rPr>
              <w:t xml:space="preserve">Campagne pré-remplie calée sur l’échéance de début février ; relances</w:t>
            </w:r>
          </w:p>
        </w:tc>
        <w:tc>
          <w:tcPr>
            <w:shd w:val="clear" w:color="auto" w:fill="F5F7FB"/>
          </w:tcPr>
          <w:p>
            <w:pPr>
              <w:pStyle w:val="Compact"/>
            </w:pPr>
            <w:r>
              <w:rPr>
                <w:sz w:val="17"/>
              </w:rPr>
              <w:t xml:space="preserve">J0–J30 (février 2027)</w:t>
            </w:r>
          </w:p>
        </w:tc>
      </w:tr>
      <w:tr>
        <w:tc>
          <w:tcPr/>
          <w:p>
            <w:pPr>
              <w:pStyle w:val="Compact"/>
            </w:pPr>
            <w:r>
              <w:rPr>
                <w:sz w:val="17"/>
              </w:rPr>
              <w:t xml:space="preserve">S23–26</w:t>
            </w:r>
          </w:p>
        </w:tc>
        <w:tc>
          <w:tcPr/>
          <w:p>
            <w:pPr>
              <w:pStyle w:val="Compact"/>
            </w:pPr>
            <w:r>
              <w:rPr>
                <w:sz w:val="17"/>
              </w:rPr>
              <w:t xml:space="preserve">Évaluation indépendante ; comparaison avec les communes témoins ; décision d’extension</w:t>
            </w:r>
          </w:p>
        </w:tc>
        <w:tc>
          <w:tcPr/>
          <w:p>
            <w:pPr>
              <w:pStyle w:val="Compact"/>
            </w:pPr>
            <w:r>
              <w:rPr>
                <w:sz w:val="17"/>
              </w:rPr>
              <w:t xml:space="preserve">J150–J180</w:t>
            </w:r>
          </w:p>
        </w:tc>
      </w:tr>
    </w:tbl>
    <w:bookmarkEnd w:id="534"/>
    <w:bookmarkStart w:id="535" w:name="h.24.3-matrice-de-priorité-et-revues"/>
    <w:p>
      <w:pPr>
        <w:pStyle w:val="Heading3"/>
      </w:pPr>
      <w:r>
        <w:t xml:space="preserve">H.24.3 Matrice de priorité et revues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Domaine</w:t>
            </w:r>
          </w:p>
        </w:tc>
        <w:tc>
          <w:tcPr>
            <w:shd w:val="clear" w:color="auto" w:fill="232C6B"/>
          </w:tcPr>
          <w:p>
            <w:pPr>
              <w:pStyle w:val="Compact"/>
            </w:pPr>
            <w:r>
              <w:rPr>
                <w:b/>
                <w:color w:val="FFFFFF"/>
                <w:sz w:val="17"/>
              </w:rPr>
              <w:t xml:space="preserve">Priorité (source)</w:t>
            </w:r>
          </w:p>
        </w:tc>
        <w:tc>
          <w:tcPr>
            <w:shd w:val="clear" w:color="auto" w:fill="232C6B"/>
          </w:tcPr>
          <w:p>
            <w:pPr>
              <w:pStyle w:val="Compact"/>
            </w:pPr>
            <w:r>
              <w:rPr>
                <w:b/>
                <w:color w:val="FFFFFF"/>
                <w:sz w:val="17"/>
              </w:rPr>
              <w:t xml:space="preserve">Position v3.0</w:t>
            </w:r>
          </w:p>
        </w:tc>
      </w:tr>
      <w:tr>
        <w:tc>
          <w:tcPr/>
          <w:p>
            <w:pPr>
              <w:pStyle w:val="Compact"/>
            </w:pPr>
            <w:r>
              <w:rPr>
                <w:sz w:val="17"/>
              </w:rPr>
              <w:t xml:space="preserve">Immobilier et foncier</w:t>
            </w:r>
          </w:p>
        </w:tc>
        <w:tc>
          <w:tcPr/>
          <w:p>
            <w:pPr>
              <w:pStyle w:val="Compact"/>
            </w:pPr>
            <w:r>
              <w:rPr>
                <w:sz w:val="17"/>
              </w:rPr>
              <w:t xml:space="preserve">Très haute</w:t>
            </w:r>
          </w:p>
        </w:tc>
        <w:tc>
          <w:tcPr/>
          <w:p>
            <w:pPr>
              <w:pStyle w:val="Compact"/>
            </w:pPr>
            <w:r>
              <w:rPr>
                <w:sz w:val="17"/>
              </w:rPr>
              <w:t xml:space="preserve">Pilote (R0/R1)</w:t>
            </w:r>
          </w:p>
        </w:tc>
      </w:tr>
      <w:tr>
        <w:tc>
          <w:tcPr>
            <w:shd w:val="clear" w:color="auto" w:fill="F5F7FB"/>
          </w:tcPr>
          <w:p>
            <w:pPr>
              <w:pStyle w:val="Compact"/>
            </w:pPr>
            <w:r>
              <w:rPr>
                <w:sz w:val="17"/>
              </w:rPr>
              <w:t xml:space="preserve">Revenus locatifs</w:t>
            </w:r>
          </w:p>
        </w:tc>
        <w:tc>
          <w:tcPr>
            <w:shd w:val="clear" w:color="auto" w:fill="F5F7FB"/>
          </w:tcPr>
          <w:p>
            <w:pPr>
              <w:pStyle w:val="Compact"/>
            </w:pPr>
            <w:r>
              <w:rPr>
                <w:sz w:val="17"/>
              </w:rPr>
              <w:t xml:space="preserve">Très haute (pilote ciblé)</w:t>
            </w:r>
          </w:p>
        </w:tc>
        <w:tc>
          <w:tcPr>
            <w:shd w:val="clear" w:color="auto" w:fill="F5F7FB"/>
          </w:tcPr>
          <w:p>
            <w:pPr>
              <w:pStyle w:val="Compact"/>
            </w:pPr>
            <w:r>
              <w:rPr>
                <w:sz w:val="17"/>
              </w:rPr>
              <w:t xml:space="preserve">Pilote (R0/R1)</w:t>
            </w:r>
          </w:p>
        </w:tc>
      </w:tr>
      <w:tr>
        <w:tc>
          <w:tcPr/>
          <w:p>
            <w:pPr>
              <w:pStyle w:val="Compact"/>
            </w:pPr>
            <w:r>
              <w:rPr>
                <w:sz w:val="17"/>
              </w:rPr>
              <w:t xml:space="preserve">Mobilité et véhicules</w:t>
            </w:r>
          </w:p>
        </w:tc>
        <w:tc>
          <w:tcPr/>
          <w:p>
            <w:pPr>
              <w:pStyle w:val="Compact"/>
            </w:pPr>
            <w:r>
              <w:rPr>
                <w:sz w:val="17"/>
              </w:rPr>
              <w:t xml:space="preserve">Haute</w:t>
            </w:r>
          </w:p>
        </w:tc>
        <w:tc>
          <w:tcPr/>
          <w:p>
            <w:pPr>
              <w:pStyle w:val="Compact"/>
            </w:pPr>
            <w:r>
              <w:rPr>
                <w:sz w:val="17"/>
              </w:rPr>
              <w:t xml:space="preserve">J90–J150</w:t>
            </w:r>
          </w:p>
        </w:tc>
      </w:tr>
      <w:tr>
        <w:tc>
          <w:tcPr>
            <w:shd w:val="clear" w:color="auto" w:fill="F5F7FB"/>
          </w:tcPr>
          <w:p>
            <w:pPr>
              <w:pStyle w:val="Compact"/>
            </w:pPr>
            <w:r>
              <w:rPr>
                <w:sz w:val="17"/>
              </w:rPr>
              <w:t xml:space="preserve">Publicité et antennes</w:t>
            </w:r>
          </w:p>
        </w:tc>
        <w:tc>
          <w:tcPr>
            <w:shd w:val="clear" w:color="auto" w:fill="F5F7FB"/>
          </w:tcPr>
          <w:p>
            <w:pPr>
              <w:pStyle w:val="Compact"/>
            </w:pPr>
            <w:r>
              <w:rPr>
                <w:sz w:val="17"/>
              </w:rPr>
              <w:t xml:space="preserve">Haute</w:t>
            </w:r>
          </w:p>
        </w:tc>
        <w:tc>
          <w:tcPr>
            <w:shd w:val="clear" w:color="auto" w:fill="F5F7FB"/>
          </w:tcPr>
          <w:p>
            <w:pPr>
              <w:pStyle w:val="Compact"/>
            </w:pPr>
            <w:r>
              <w:rPr>
                <w:sz w:val="17"/>
              </w:rPr>
              <w:t xml:space="preserve">R2</w:t>
            </w:r>
          </w:p>
        </w:tc>
      </w:tr>
      <w:tr>
        <w:tc>
          <w:tcPr/>
          <w:p>
            <w:pPr>
              <w:pStyle w:val="Compact"/>
            </w:pPr>
            <w:r>
              <w:rPr>
                <w:sz w:val="17"/>
              </w:rPr>
              <w:t xml:space="preserve">Marchés et domaine public</w:t>
            </w:r>
          </w:p>
        </w:tc>
        <w:tc>
          <w:tcPr/>
          <w:p>
            <w:pPr>
              <w:pStyle w:val="Compact"/>
            </w:pPr>
            <w:r>
              <w:rPr>
                <w:sz w:val="17"/>
              </w:rPr>
              <w:t xml:space="preserve">Haute (risque de fraude élevé)</w:t>
            </w:r>
          </w:p>
        </w:tc>
        <w:tc>
          <w:tcPr/>
          <w:p>
            <w:pPr>
              <w:pStyle w:val="Compact"/>
            </w:pPr>
            <w:r>
              <w:rPr>
                <w:sz w:val="17"/>
              </w:rPr>
              <w:t xml:space="preserve">R2 (deux marchés, G11)</w:t>
            </w:r>
          </w:p>
        </w:tc>
      </w:tr>
      <w:tr>
        <w:tc>
          <w:tcPr>
            <w:shd w:val="clear" w:color="auto" w:fill="F5F7FB"/>
          </w:tcPr>
          <w:p>
            <w:pPr>
              <w:pStyle w:val="Compact"/>
            </w:pPr>
            <w:r>
              <w:rPr>
                <w:sz w:val="17"/>
              </w:rPr>
              <w:t xml:space="preserve">Stationnement</w:t>
            </w:r>
          </w:p>
        </w:tc>
        <w:tc>
          <w:tcPr>
            <w:shd w:val="clear" w:color="auto" w:fill="F5F7FB"/>
          </w:tcPr>
          <w:p>
            <w:pPr>
              <w:pStyle w:val="Compact"/>
            </w:pPr>
            <w:r>
              <w:rPr>
                <w:sz w:val="17"/>
              </w:rPr>
              <w:t xml:space="preserve">Pilote ciblé</w:t>
            </w:r>
          </w:p>
        </w:tc>
        <w:tc>
          <w:tcPr>
            <w:shd w:val="clear" w:color="auto" w:fill="F5F7FB"/>
          </w:tcPr>
          <w:p>
            <w:pPr>
              <w:pStyle w:val="Compact"/>
            </w:pPr>
            <w:r>
              <w:rPr>
                <w:sz w:val="17"/>
              </w:rPr>
              <w:t xml:space="preserve">Après acte (J24)</w:t>
            </w:r>
          </w:p>
        </w:tc>
      </w:tr>
      <w:tr>
        <w:tc>
          <w:tcPr/>
          <w:p>
            <w:pPr>
              <w:pStyle w:val="Compact"/>
            </w:pPr>
            <w:r>
              <w:rPr>
                <w:sz w:val="17"/>
              </w:rPr>
              <w:t xml:space="preserve">Ports et fluvial</w:t>
            </w:r>
          </w:p>
        </w:tc>
        <w:tc>
          <w:tcPr/>
          <w:p>
            <w:pPr>
              <w:pStyle w:val="Compact"/>
            </w:pPr>
            <w:r>
              <w:rPr>
                <w:sz w:val="17"/>
              </w:rPr>
              <w:t xml:space="preserve">À cadrer</w:t>
            </w:r>
          </w:p>
        </w:tc>
        <w:tc>
          <w:tcPr/>
          <w:p>
            <w:pPr>
              <w:pStyle w:val="Compact"/>
            </w:pPr>
            <w:r>
              <w:rPr>
                <w:sz w:val="17"/>
              </w:rPr>
              <w:t xml:space="preserve">R3 après J30</w:t>
            </w:r>
          </w:p>
        </w:tc>
      </w:tr>
      <w:tr>
        <w:tc>
          <w:tcPr>
            <w:shd w:val="clear" w:color="auto" w:fill="F5F7FB"/>
          </w:tcPr>
          <w:p>
            <w:pPr>
              <w:pStyle w:val="Compact"/>
            </w:pPr>
            <w:r>
              <w:rPr>
                <w:sz w:val="17"/>
              </w:rPr>
              <w:t xml:space="preserve">AVIA</w:t>
            </w:r>
          </w:p>
        </w:tc>
        <w:tc>
          <w:tcPr>
            <w:shd w:val="clear" w:color="auto" w:fill="F5F7FB"/>
          </w:tcPr>
          <w:p>
            <w:pPr>
              <w:pStyle w:val="Compact"/>
            </w:pPr>
            <w:r>
              <w:rPr>
                <w:sz w:val="17"/>
              </w:rPr>
              <w:t xml:space="preserve">À cadrer</w:t>
            </w:r>
          </w:p>
        </w:tc>
        <w:tc>
          <w:tcPr>
            <w:shd w:val="clear" w:color="auto" w:fill="F5F7FB"/>
          </w:tcPr>
          <w:p>
            <w:pPr>
              <w:pStyle w:val="Compact"/>
            </w:pPr>
            <w:r>
              <w:rPr>
                <w:sz w:val="17"/>
              </w:rPr>
              <w:t xml:space="preserve">R4 après J23</w:t>
            </w:r>
          </w:p>
        </w:tc>
      </w:tr>
    </w:tbl>
    <w:p>
      <w:pPr>
        <w:pStyle w:val="BodyText"/>
      </w:pPr>
      <w:r>
        <w:rPr>
          <w:b/>
          <w:bCs/>
        </w:rPr>
        <w:t xml:space="preserve">Revues mensuelles du pilote</w:t>
      </w:r>
      <w:r>
        <w:t xml:space="preserve"> </w:t>
      </w:r>
      <w:r>
        <w:t xml:space="preserve">: J30, J60, J90 (rapport intermédiaire), J120, J180 — chacune avec instrumentation, comparaison aux quartiers témoins et décisions correctives consignées.</w:t>
      </w:r>
    </w:p>
    <w:bookmarkEnd w:id="535"/>
    <w:bookmarkStart w:id="536" w:name="Xa71c2b92df3ceb6c89d62f75a3d0a61136b5267"/>
    <w:p>
      <w:pPr>
        <w:pStyle w:val="Heading3"/>
      </w:pPr>
      <w:r>
        <w:t xml:space="preserve">H.24.4 Inclusion et sous-traitance dans le pilote</w:t>
      </w:r>
    </w:p>
    <w:p>
      <w:pPr>
        <w:pStyle w:val="Compact"/>
        <w:numPr>
          <w:ilvl w:val="0"/>
          <w:numId w:val="1035"/>
        </w:numPr>
      </w:pPr>
      <w:r>
        <w:rPr>
          <w:b/>
          <w:bCs/>
        </w:rPr>
        <w:t xml:space="preserve">Au moins un guichet MOSOLO avec guichet bancaire par commune pilote</w:t>
      </w:r>
      <w:r>
        <w:t xml:space="preserve"> </w:t>
      </w:r>
      <w:r>
        <w:t xml:space="preserve">(J29 pour le financement).</w:t>
      </w:r>
    </w:p>
    <w:p>
      <w:pPr>
        <w:pStyle w:val="Compact"/>
        <w:numPr>
          <w:ilvl w:val="0"/>
          <w:numId w:val="1035"/>
        </w:numPr>
      </w:pPr>
      <w:r>
        <w:rPr>
          <w:b/>
          <w:bCs/>
        </w:rPr>
        <w:t xml:space="preserve">SVI et USSD disponibles dès l’ouverture des paiements.</w:t>
      </w:r>
    </w:p>
    <w:p>
      <w:pPr>
        <w:pStyle w:val="Compact"/>
        <w:numPr>
          <w:ilvl w:val="0"/>
          <w:numId w:val="1035"/>
        </w:numPr>
      </w:pPr>
      <w:r>
        <w:rPr>
          <w:b/>
          <w:bCs/>
        </w:rPr>
        <w:t xml:space="preserve">Un ou deux sous-traitants en période probatoire par commune</w:t>
      </w:r>
      <w:r>
        <w:t xml:space="preserve">, sur lots réduits.</w:t>
      </w:r>
    </w:p>
    <w:p>
      <w:pPr>
        <w:pStyle w:val="Compact"/>
        <w:numPr>
          <w:ilvl w:val="0"/>
          <w:numId w:val="1035"/>
        </w:numPr>
      </w:pPr>
      <w:r>
        <w:rPr>
          <w:b/>
          <w:bCs/>
        </w:rPr>
        <w:t xml:space="preserve">Les indicateurs d’inclusion sont des critères de succès</w:t>
      </w:r>
      <w:r>
        <w:t xml:space="preserve"> </w:t>
      </w:r>
      <w:r>
        <w:t xml:space="preserve">du pilote (§ H.19 : part des parcours assistés, accessibilité des points agréés, cartes actives), en complément du § 45.3.</w:t>
      </w:r>
    </w:p>
    <w:p>
      <w:pPr>
        <w:pStyle w:val="Compact"/>
        <w:numPr>
          <w:ilvl w:val="0"/>
          <w:numId w:val="1035"/>
        </w:numPr>
      </w:pPr>
      <w:r>
        <w:t xml:space="preserve">Critère de succès source ajouté :</w:t>
      </w:r>
      <w:r>
        <w:t xml:space="preserve"> </w:t>
      </w:r>
      <w:r>
        <w:rPr>
          <w:b/>
          <w:bCs/>
        </w:rPr>
        <w:t xml:space="preserve">progression des recettes pilotes significativement supérieure à celle des communes (quartiers) témoins</w:t>
      </w:r>
      <w:r>
        <w:t xml:space="preserve"> </w:t>
      </w:r>
      <w:r>
        <w:t xml:space="preserve">— déjà exprimé en RANV positive (§ 45.3).</w:t>
      </w:r>
    </w:p>
    <w:bookmarkEnd w:id="536"/>
    <w:bookmarkEnd w:id="537"/>
    <w:bookmarkStart w:id="538" w:name="Xe18ef22997196aad2f0291d0ace0011f3087ce2"/>
    <w:p>
      <w:pPr>
        <w:pStyle w:val="Heading2"/>
      </w:pPr>
      <w:r>
        <w:t xml:space="preserve">H.25 Chapitre 46 — 100 premiers jours : compléments</w:t>
      </w:r>
    </w:p>
    <w:p>
      <w:pPr>
        <w:pStyle w:val="FirstParagraph"/>
      </w:pPr>
      <w:r>
        <w:t xml:space="preserve">Le portefeuille d’actions du Cahier ajoute aux jalons du § 46 :</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Action</w:t>
            </w:r>
          </w:p>
        </w:tc>
        <w:tc>
          <w:tcPr>
            <w:shd w:val="clear" w:color="auto" w:fill="232C6B"/>
          </w:tcPr>
          <w:p>
            <w:pPr>
              <w:pStyle w:val="Compact"/>
            </w:pPr>
            <w:r>
              <w:rPr>
                <w:b/>
                <w:color w:val="FFFFFF"/>
                <w:sz w:val="17"/>
              </w:rPr>
              <w:t xml:space="preserve">Échéance</w:t>
            </w:r>
          </w:p>
        </w:tc>
        <w:tc>
          <w:tcPr>
            <w:shd w:val="clear" w:color="auto" w:fill="232C6B"/>
          </w:tcPr>
          <w:p>
            <w:pPr>
              <w:pStyle w:val="Compact"/>
            </w:pPr>
            <w:r>
              <w:rPr>
                <w:b/>
                <w:color w:val="FFFFFF"/>
                <w:sz w:val="17"/>
              </w:rPr>
              <w:t xml:space="preserve">Responsable</w:t>
            </w:r>
          </w:p>
        </w:tc>
      </w:tr>
      <w:tr>
        <w:tc>
          <w:tcPr/>
          <w:p>
            <w:pPr>
              <w:pStyle w:val="Compact"/>
            </w:pPr>
            <w:r>
              <w:rPr>
                <w:sz w:val="17"/>
              </w:rPr>
              <w:t xml:space="preserve">Registre unique des recettes +</w:t>
            </w:r>
            <w:r>
              <w:rPr>
                <w:sz w:val="17"/>
              </w:rPr>
              <w:t xml:space="preserve"> </w:t>
            </w:r>
            <w:r>
              <w:rPr>
                <w:b/>
                <w:bCs/>
                <w:sz w:val="17"/>
              </w:rPr>
              <w:t xml:space="preserve">suspension de toute règle sans propriétaire juridique</w:t>
            </w:r>
          </w:p>
        </w:tc>
        <w:tc>
          <w:tcPr/>
          <w:p>
            <w:pPr>
              <w:pStyle w:val="Compact"/>
            </w:pPr>
            <w:r>
              <w:rPr>
                <w:sz w:val="17"/>
              </w:rPr>
              <w:t xml:space="preserve">J30</w:t>
            </w:r>
          </w:p>
        </w:tc>
        <w:tc>
          <w:tcPr/>
          <w:p>
            <w:pPr>
              <w:pStyle w:val="Compact"/>
            </w:pPr>
            <w:r>
              <w:rPr>
                <w:sz w:val="17"/>
              </w:rPr>
              <w:t xml:space="preserve">Cellule juridique et tarifaire</w:t>
            </w:r>
          </w:p>
        </w:tc>
      </w:tr>
      <w:tr>
        <w:tc>
          <w:tcPr>
            <w:shd w:val="clear" w:color="auto" w:fill="F5F7FB"/>
          </w:tcPr>
          <w:p>
            <w:pPr>
              <w:pStyle w:val="Compact"/>
            </w:pPr>
            <w:r>
              <w:rPr>
                <w:sz w:val="17"/>
              </w:rPr>
              <w:t xml:space="preserve">Cartographie et sécurisation des comptes bénéficiaires (inventaire, gardiens du coffre)</w:t>
            </w:r>
          </w:p>
        </w:tc>
        <w:tc>
          <w:tcPr>
            <w:shd w:val="clear" w:color="auto" w:fill="F5F7FB"/>
          </w:tcPr>
          <w:p>
            <w:pPr>
              <w:pStyle w:val="Compact"/>
            </w:pPr>
            <w:r>
              <w:rPr>
                <w:sz w:val="17"/>
              </w:rPr>
              <w:t xml:space="preserve">J30</w:t>
            </w:r>
          </w:p>
        </w:tc>
        <w:tc>
          <w:tcPr>
            <w:shd w:val="clear" w:color="auto" w:fill="F5F7FB"/>
          </w:tcPr>
          <w:p>
            <w:pPr>
              <w:pStyle w:val="Compact"/>
            </w:pPr>
            <w:r>
              <w:rPr>
                <w:sz w:val="17"/>
              </w:rPr>
              <w:t xml:space="preserve">Trésor</w:t>
            </w:r>
          </w:p>
        </w:tc>
      </w:tr>
      <w:tr>
        <w:tc>
          <w:tcPr/>
          <w:p>
            <w:pPr>
              <w:pStyle w:val="Compact"/>
            </w:pPr>
            <w:r>
              <w:rPr>
                <w:sz w:val="17"/>
              </w:rPr>
              <w:t xml:space="preserve">Registres locatif et des commerces des quartiers échantillons</w:t>
            </w:r>
          </w:p>
        </w:tc>
        <w:tc>
          <w:tcPr/>
          <w:p>
            <w:pPr>
              <w:pStyle w:val="Compact"/>
            </w:pPr>
            <w:r>
              <w:rPr>
                <w:sz w:val="17"/>
              </w:rPr>
              <w:t xml:space="preserve">J90</w:t>
            </w:r>
          </w:p>
        </w:tc>
        <w:tc>
          <w:tcPr/>
          <w:p>
            <w:pPr>
              <w:pStyle w:val="Compact"/>
            </w:pPr>
            <w:r>
              <w:rPr>
                <w:sz w:val="17"/>
              </w:rPr>
              <w:t xml:space="preserve">Régies</w:t>
            </w:r>
          </w:p>
        </w:tc>
      </w:tr>
      <w:tr>
        <w:tc>
          <w:tcPr>
            <w:shd w:val="clear" w:color="auto" w:fill="F5F7FB"/>
          </w:tcPr>
          <w:p>
            <w:pPr>
              <w:pStyle w:val="Compact"/>
            </w:pPr>
            <w:r>
              <w:rPr>
                <w:b/>
                <w:bCs/>
                <w:sz w:val="17"/>
              </w:rPr>
              <w:t xml:space="preserve">Au moins deux canaux de paiement</w:t>
            </w:r>
            <w:r>
              <w:rPr>
                <w:sz w:val="17"/>
              </w:rPr>
              <w:t xml:space="preserve"> </w:t>
            </w:r>
            <w:r>
              <w:rPr>
                <w:sz w:val="17"/>
              </w:rPr>
              <w:t xml:space="preserve">avec règlement réel testé</w:t>
            </w:r>
          </w:p>
        </w:tc>
        <w:tc>
          <w:tcPr>
            <w:shd w:val="clear" w:color="auto" w:fill="F5F7FB"/>
          </w:tcPr>
          <w:p>
            <w:pPr>
              <w:pStyle w:val="Compact"/>
            </w:pPr>
            <w:r>
              <w:rPr>
                <w:sz w:val="17"/>
              </w:rPr>
              <w:t xml:space="preserve">J90</w:t>
            </w:r>
          </w:p>
        </w:tc>
        <w:tc>
          <w:tcPr>
            <w:shd w:val="clear" w:color="auto" w:fill="F5F7FB"/>
          </w:tcPr>
          <w:p>
            <w:pPr>
              <w:pStyle w:val="Compact"/>
            </w:pPr>
            <w:r>
              <w:rPr>
                <w:sz w:val="17"/>
              </w:rPr>
              <w:t xml:space="preserve">Trésor, programme</w:t>
            </w:r>
          </w:p>
        </w:tc>
      </w:tr>
      <w:tr>
        <w:tc>
          <w:tcPr/>
          <w:p>
            <w:pPr>
              <w:pStyle w:val="Compact"/>
            </w:pPr>
            <w:r>
              <w:rPr>
                <w:sz w:val="17"/>
              </w:rPr>
              <w:t xml:space="preserve">QR de quittance et application de vérification</w:t>
            </w:r>
          </w:p>
        </w:tc>
        <w:tc>
          <w:tcPr/>
          <w:p>
            <w:pPr>
              <w:pStyle w:val="Compact"/>
            </w:pPr>
            <w:r>
              <w:rPr>
                <w:sz w:val="17"/>
              </w:rPr>
              <w:t xml:space="preserve">J100 (R1 en avril 2027 pour la production)</w:t>
            </w:r>
          </w:p>
        </w:tc>
        <w:tc>
          <w:tcPr/>
          <w:p>
            <w:pPr>
              <w:pStyle w:val="Compact"/>
            </w:pPr>
            <w:r>
              <w:rPr>
                <w:sz w:val="17"/>
              </w:rPr>
              <w:t xml:space="preserve">Programme</w:t>
            </w:r>
          </w:p>
        </w:tc>
      </w:tr>
      <w:tr>
        <w:tc>
          <w:tcPr>
            <w:shd w:val="clear" w:color="auto" w:fill="F5F7FB"/>
          </w:tcPr>
          <w:p>
            <w:pPr>
              <w:pStyle w:val="Compact"/>
            </w:pPr>
            <w:r>
              <w:rPr>
                <w:sz w:val="17"/>
              </w:rPr>
              <w:t xml:space="preserve">Rapprochement quotidien + cellule d’exceptions (flux couverts)</w:t>
            </w:r>
          </w:p>
        </w:tc>
        <w:tc>
          <w:tcPr>
            <w:shd w:val="clear" w:color="auto" w:fill="F5F7FB"/>
          </w:tcPr>
          <w:p>
            <w:pPr>
              <w:pStyle w:val="Compact"/>
            </w:pPr>
            <w:r>
              <w:rPr>
                <w:sz w:val="17"/>
              </w:rPr>
              <w:t xml:space="preserve">Dès R1</w:t>
            </w:r>
          </w:p>
        </w:tc>
        <w:tc>
          <w:tcPr>
            <w:shd w:val="clear" w:color="auto" w:fill="F5F7FB"/>
          </w:tcPr>
          <w:p>
            <w:pPr>
              <w:pStyle w:val="Compact"/>
            </w:pPr>
            <w:r>
              <w:rPr>
                <w:sz w:val="17"/>
              </w:rPr>
              <w:t xml:space="preserve">Trésor</w:t>
            </w:r>
          </w:p>
        </w:tc>
      </w:tr>
      <w:tr>
        <w:tc>
          <w:tcPr/>
          <w:p>
            <w:pPr>
              <w:pStyle w:val="Compact"/>
            </w:pPr>
            <w:r>
              <w:rPr>
                <w:sz w:val="17"/>
              </w:rPr>
              <w:t xml:space="preserve">Revue des accès existants et</w:t>
            </w:r>
            <w:r>
              <w:rPr>
                <w:sz w:val="17"/>
              </w:rPr>
              <w:t xml:space="preserve"> </w:t>
            </w:r>
            <w:r>
              <w:rPr>
                <w:b/>
                <w:bCs/>
                <w:sz w:val="17"/>
              </w:rPr>
              <w:t xml:space="preserve">suppression des comptes partagés</w:t>
            </w:r>
          </w:p>
        </w:tc>
        <w:tc>
          <w:tcPr/>
          <w:p>
            <w:pPr>
              <w:pStyle w:val="Compact"/>
            </w:pPr>
            <w:r>
              <w:rPr>
                <w:sz w:val="17"/>
              </w:rPr>
              <w:t xml:space="preserve">J45</w:t>
            </w:r>
          </w:p>
        </w:tc>
        <w:tc>
          <w:tcPr/>
          <w:p>
            <w:pPr>
              <w:pStyle w:val="Compact"/>
            </w:pPr>
            <w:r>
              <w:rPr>
                <w:sz w:val="17"/>
              </w:rPr>
              <w:t xml:space="preserve">RSSI</w:t>
            </w:r>
          </w:p>
        </w:tc>
      </w:tr>
      <w:tr>
        <w:tc>
          <w:tcPr>
            <w:shd w:val="clear" w:color="auto" w:fill="F5F7FB"/>
          </w:tcPr>
          <w:p>
            <w:pPr>
              <w:pStyle w:val="Compact"/>
            </w:pPr>
            <w:r>
              <w:rPr>
                <w:b/>
                <w:bCs/>
                <w:sz w:val="17"/>
              </w:rPr>
              <w:t xml:space="preserve">Formation de tous les agents au non-encaissement</w:t>
            </w:r>
          </w:p>
        </w:tc>
        <w:tc>
          <w:tcPr>
            <w:shd w:val="clear" w:color="auto" w:fill="F5F7FB"/>
          </w:tcPr>
          <w:p>
            <w:pPr>
              <w:pStyle w:val="Compact"/>
            </w:pPr>
            <w:r>
              <w:rPr>
                <w:sz w:val="17"/>
              </w:rPr>
              <w:t xml:space="preserve">Avant le premier recensement</w:t>
            </w:r>
          </w:p>
        </w:tc>
        <w:tc>
          <w:tcPr>
            <w:shd w:val="clear" w:color="auto" w:fill="F5F7FB"/>
          </w:tcPr>
          <w:p>
            <w:pPr>
              <w:pStyle w:val="Compact"/>
            </w:pPr>
            <w:r>
              <w:rPr>
                <w:sz w:val="17"/>
              </w:rPr>
              <w:t xml:space="preserve">Régies</w:t>
            </w:r>
          </w:p>
        </w:tc>
      </w:tr>
      <w:tr>
        <w:tc>
          <w:tcPr/>
          <w:p>
            <w:pPr>
              <w:pStyle w:val="Compact"/>
            </w:pPr>
            <w:r>
              <w:rPr>
                <w:sz w:val="17"/>
              </w:rPr>
              <w:t xml:space="preserve">Premier tableau public agrégé</w:t>
            </w:r>
          </w:p>
        </w:tc>
        <w:tc>
          <w:tcPr/>
          <w:p>
            <w:pPr>
              <w:pStyle w:val="Compact"/>
            </w:pPr>
            <w:r>
              <w:rPr>
                <w:sz w:val="17"/>
              </w:rPr>
              <w:t xml:space="preserve">À la fin du pilote (O9)</w:t>
            </w:r>
          </w:p>
        </w:tc>
        <w:tc>
          <w:tcPr/>
          <w:p>
            <w:pPr>
              <w:pStyle w:val="Compact"/>
            </w:pPr>
            <w:r>
              <w:rPr>
                <w:sz w:val="17"/>
              </w:rPr>
              <w:t xml:space="preserve">Programme</w:t>
            </w:r>
          </w:p>
        </w:tc>
      </w:tr>
      <w:tr>
        <w:tc>
          <w:tcPr>
            <w:shd w:val="clear" w:color="auto" w:fill="F5F7FB"/>
          </w:tcPr>
          <w:p>
            <w:pPr>
              <w:pStyle w:val="Compact"/>
            </w:pPr>
            <w:r>
              <w:rPr>
                <w:sz w:val="17"/>
              </w:rPr>
              <w:t xml:space="preserve">Premier tableau de bord exécutif</w:t>
            </w:r>
          </w:p>
        </w:tc>
        <w:tc>
          <w:tcPr>
            <w:shd w:val="clear" w:color="auto" w:fill="F5F7FB"/>
          </w:tcPr>
          <w:p>
            <w:pPr>
              <w:pStyle w:val="Compact"/>
            </w:pPr>
            <w:r>
              <w:rPr>
                <w:sz w:val="17"/>
              </w:rPr>
              <w:t xml:space="preserve">J100 (maquette sur données R0)</w:t>
            </w:r>
          </w:p>
        </w:tc>
        <w:tc>
          <w:tcPr>
            <w:shd w:val="clear" w:color="auto" w:fill="F5F7FB"/>
          </w:tcPr>
          <w:p>
            <w:pPr>
              <w:pStyle w:val="Compact"/>
            </w:pPr>
            <w:r>
              <w:rPr>
                <w:sz w:val="17"/>
              </w:rPr>
              <w:t xml:space="preserve">Programme</w:t>
            </w:r>
          </w:p>
        </w:tc>
      </w:tr>
    </w:tbl>
    <w:bookmarkEnd w:id="538"/>
    <w:bookmarkStart w:id="541" w:name="X84dd8bab1c3c7d6cf4a8a22911c9ed4fae89973"/>
    <w:p>
      <w:pPr>
        <w:pStyle w:val="Heading2"/>
      </w:pPr>
      <w:r>
        <w:t xml:space="preserve">H.26 Chapitre 47 — Décisions : correspondance et décisions sectorielles différées</w:t>
      </w:r>
    </w:p>
    <w:bookmarkStart w:id="539" w:name="h.26.1-les-dix-décisions-du-cahier"/>
    <w:p>
      <w:pPr>
        <w:pStyle w:val="Heading3"/>
      </w:pPr>
      <w:r>
        <w:t xml:space="preserve">H.26.1 Les dix décisions du Cahier</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Décision Cahier (§ 47.1)</w:t>
            </w:r>
          </w:p>
        </w:tc>
        <w:tc>
          <w:tcPr>
            <w:shd w:val="clear" w:color="auto" w:fill="232C6B"/>
          </w:tcPr>
          <w:p>
            <w:pPr>
              <w:pStyle w:val="Compact"/>
            </w:pPr>
            <w:r>
              <w:rPr>
                <w:b/>
                <w:color w:val="FFFFFF"/>
                <w:sz w:val="17"/>
              </w:rPr>
              <w:t xml:space="preserve">Décision v3.0</w:t>
            </w:r>
          </w:p>
        </w:tc>
        <w:tc>
          <w:tcPr>
            <w:shd w:val="clear" w:color="auto" w:fill="232C6B"/>
          </w:tcPr>
          <w:p>
            <w:pPr>
              <w:pStyle w:val="Compact"/>
            </w:pPr>
            <w:r>
              <w:rPr>
                <w:b/>
                <w:color w:val="FFFFFF"/>
                <w:sz w:val="17"/>
              </w:rPr>
              <w:t xml:space="preserve">Position</w:t>
            </w:r>
          </w:p>
        </w:tc>
      </w:tr>
      <w:tr>
        <w:tc>
          <w:tcPr/>
          <w:p>
            <w:pPr>
              <w:pStyle w:val="Compact"/>
            </w:pPr>
            <w:r>
              <w:rPr>
                <w:sz w:val="17"/>
              </w:rPr>
              <w:t xml:space="preserve">1. Approuver MOSOLO comme système unique</w:t>
            </w:r>
          </w:p>
        </w:tc>
        <w:tc>
          <w:tcPr/>
          <w:p>
            <w:pPr>
              <w:pStyle w:val="Compact"/>
            </w:pPr>
            <w:r>
              <w:rPr>
                <w:sz w:val="17"/>
              </w:rPr>
              <w:t xml:space="preserve">1</w:t>
            </w:r>
          </w:p>
        </w:tc>
        <w:tc>
          <w:tcPr/>
          <w:p>
            <w:pPr>
              <w:pStyle w:val="Compact"/>
            </w:pPr>
            <w:r>
              <w:rPr>
                <w:sz w:val="17"/>
              </w:rPr>
              <w:t xml:space="preserve">Couverte</w:t>
            </w:r>
          </w:p>
        </w:tc>
      </w:tr>
      <w:tr>
        <w:tc>
          <w:tcPr>
            <w:shd w:val="clear" w:color="auto" w:fill="F5F7FB"/>
          </w:tcPr>
          <w:p>
            <w:pPr>
              <w:pStyle w:val="Compact"/>
            </w:pPr>
            <w:r>
              <w:rPr>
                <w:sz w:val="17"/>
              </w:rPr>
              <w:t xml:space="preserve">2. Autorité porteuse + comité de pilotage</w:t>
            </w:r>
          </w:p>
        </w:tc>
        <w:tc>
          <w:tcPr>
            <w:shd w:val="clear" w:color="auto" w:fill="F5F7FB"/>
          </w:tcPr>
          <w:p>
            <w:pPr>
              <w:pStyle w:val="Compact"/>
            </w:pPr>
            <w:r>
              <w:rPr>
                <w:sz w:val="17"/>
              </w:rPr>
              <w:t xml:space="preserve">1, 2</w:t>
            </w:r>
          </w:p>
        </w:tc>
        <w:tc>
          <w:tcPr>
            <w:shd w:val="clear" w:color="auto" w:fill="F5F7FB"/>
          </w:tcPr>
          <w:p>
            <w:pPr>
              <w:pStyle w:val="Compact"/>
            </w:pPr>
            <w:r>
              <w:rPr>
                <w:sz w:val="17"/>
              </w:rPr>
              <w:t xml:space="preserve">Couverte</w:t>
            </w:r>
          </w:p>
        </w:tc>
      </w:tr>
      <w:tr>
        <w:tc>
          <w:tcPr/>
          <w:p>
            <w:pPr>
              <w:pStyle w:val="Compact"/>
            </w:pPr>
            <w:r>
              <w:rPr>
                <w:sz w:val="17"/>
              </w:rPr>
              <w:t xml:space="preserve">3. Refondation sur l’OL 18/004 ; écarter l’OL 13/001</w:t>
            </w:r>
          </w:p>
        </w:tc>
        <w:tc>
          <w:tcPr/>
          <w:p>
            <w:pPr>
              <w:pStyle w:val="Compact"/>
            </w:pPr>
            <w:r>
              <w:rPr>
                <w:sz w:val="17"/>
              </w:rPr>
              <w:t xml:space="preserve">3</w:t>
            </w:r>
          </w:p>
        </w:tc>
        <w:tc>
          <w:tcPr/>
          <w:p>
            <w:pPr>
              <w:pStyle w:val="Compact"/>
            </w:pPr>
            <w:r>
              <w:rPr>
                <w:sz w:val="17"/>
              </w:rPr>
              <w:t xml:space="preserve">Couverte</w:t>
            </w:r>
          </w:p>
        </w:tc>
      </w:tr>
      <w:tr>
        <w:tc>
          <w:tcPr>
            <w:shd w:val="clear" w:color="auto" w:fill="F5F7FB"/>
          </w:tcPr>
          <w:p>
            <w:pPr>
              <w:pStyle w:val="Compact"/>
            </w:pPr>
            <w:r>
              <w:rPr>
                <w:sz w:val="17"/>
              </w:rPr>
              <w:t xml:space="preserve">4. Certifier les taux (IRL, retenue par rang)</w:t>
            </w:r>
          </w:p>
        </w:tc>
        <w:tc>
          <w:tcPr>
            <w:shd w:val="clear" w:color="auto" w:fill="F5F7FB"/>
          </w:tcPr>
          <w:p>
            <w:pPr>
              <w:pStyle w:val="Compact"/>
            </w:pPr>
            <w:r>
              <w:rPr>
                <w:sz w:val="17"/>
              </w:rPr>
              <w:t xml:space="preserve">3 (J3)</w:t>
            </w:r>
          </w:p>
        </w:tc>
        <w:tc>
          <w:tcPr>
            <w:shd w:val="clear" w:color="auto" w:fill="F5F7FB"/>
          </w:tcPr>
          <w:p>
            <w:pPr>
              <w:pStyle w:val="Compact"/>
            </w:pPr>
            <w:r>
              <w:rPr>
                <w:sz w:val="17"/>
              </w:rPr>
              <w:t xml:space="preserve">Couverte</w:t>
            </w:r>
          </w:p>
        </w:tc>
      </w:tr>
      <w:tr>
        <w:tc>
          <w:tcPr/>
          <w:p>
            <w:pPr>
              <w:pStyle w:val="Compact"/>
            </w:pPr>
            <w:r>
              <w:rPr>
                <w:sz w:val="17"/>
              </w:rPr>
              <w:t xml:space="preserve">5. Protocoles de données</w:t>
            </w:r>
          </w:p>
        </w:tc>
        <w:tc>
          <w:tcPr/>
          <w:p>
            <w:pPr>
              <w:pStyle w:val="Compact"/>
            </w:pPr>
            <w:r>
              <w:rPr>
                <w:sz w:val="17"/>
              </w:rPr>
              <w:t xml:space="preserve">7</w:t>
            </w:r>
          </w:p>
        </w:tc>
        <w:tc>
          <w:tcPr/>
          <w:p>
            <w:pPr>
              <w:pStyle w:val="Compact"/>
            </w:pPr>
            <w:r>
              <w:rPr>
                <w:sz w:val="17"/>
              </w:rPr>
              <w:t xml:space="preserve">Couverte</w:t>
            </w:r>
          </w:p>
        </w:tc>
      </w:tr>
      <w:tr>
        <w:tc>
          <w:tcPr>
            <w:shd w:val="clear" w:color="auto" w:fill="F5F7FB"/>
          </w:tcPr>
          <w:p>
            <w:pPr>
              <w:pStyle w:val="Compact"/>
            </w:pPr>
            <w:r>
              <w:rPr>
                <w:sz w:val="17"/>
              </w:rPr>
              <w:t xml:space="preserve">6. Quatre communes pilotes + campagne de février 2027</w:t>
            </w:r>
          </w:p>
        </w:tc>
        <w:tc>
          <w:tcPr>
            <w:shd w:val="clear" w:color="auto" w:fill="F5F7FB"/>
          </w:tcPr>
          <w:p>
            <w:pPr>
              <w:pStyle w:val="Compact"/>
            </w:pPr>
            <w:r>
              <w:rPr>
                <w:sz w:val="17"/>
              </w:rPr>
              <w:t xml:space="preserve">8</w:t>
            </w:r>
          </w:p>
        </w:tc>
        <w:tc>
          <w:tcPr>
            <w:shd w:val="clear" w:color="auto" w:fill="F5F7FB"/>
          </w:tcPr>
          <w:p>
            <w:pPr>
              <w:pStyle w:val="Compact"/>
            </w:pPr>
            <w:r>
              <w:rPr>
                <w:sz w:val="17"/>
              </w:rPr>
              <w:t xml:space="preserve">Couverte ; calendrier réaliste (ARB-38)</w:t>
            </w:r>
          </w:p>
        </w:tc>
      </w:tr>
      <w:tr>
        <w:tc>
          <w:tcPr/>
          <w:p>
            <w:pPr>
              <w:pStyle w:val="Compact"/>
            </w:pPr>
            <w:r>
              <w:rPr>
                <w:sz w:val="17"/>
              </w:rPr>
              <w:t xml:space="preserve">7. Acte autorisant le paiement fractionné mobile de l’IF et de l’IRL</w:t>
            </w:r>
          </w:p>
        </w:tc>
        <w:tc>
          <w:tcPr/>
          <w:p>
            <w:pPr>
              <w:pStyle w:val="Compact"/>
            </w:pPr>
            <w:r>
              <w:rPr>
                <w:sz w:val="17"/>
              </w:rPr>
              <w:t xml:space="preserve">—</w:t>
            </w:r>
          </w:p>
        </w:tc>
        <w:tc>
          <w:tcPr/>
          <w:p>
            <w:pPr>
              <w:pStyle w:val="Compact"/>
            </w:pPr>
            <w:r>
              <w:rPr>
                <w:b/>
                <w:bCs/>
                <w:sz w:val="17"/>
              </w:rPr>
              <w:t xml:space="preserve">D11</w:t>
            </w:r>
            <w:r>
              <w:rPr>
                <w:sz w:val="17"/>
              </w:rPr>
              <w:t xml:space="preserve"> </w:t>
            </w:r>
            <w:r>
              <w:rPr>
                <w:sz w:val="17"/>
              </w:rPr>
              <w:t xml:space="preserve">ci-dessous</w:t>
            </w:r>
          </w:p>
        </w:tc>
      </w:tr>
      <w:tr>
        <w:tc>
          <w:tcPr>
            <w:shd w:val="clear" w:color="auto" w:fill="F5F7FB"/>
          </w:tcPr>
          <w:p>
            <w:pPr>
              <w:pStyle w:val="Compact"/>
            </w:pPr>
            <w:r>
              <w:rPr>
                <w:sz w:val="17"/>
              </w:rPr>
              <w:t xml:space="preserve">8. Quitus numérique étendu aux permis de bâtir et mutations</w:t>
            </w:r>
          </w:p>
        </w:tc>
        <w:tc>
          <w:tcPr>
            <w:shd w:val="clear" w:color="auto" w:fill="F5F7FB"/>
          </w:tcPr>
          <w:p>
            <w:pPr>
              <w:pStyle w:val="Compact"/>
            </w:pPr>
            <w:r>
              <w:rPr>
                <w:sz w:val="17"/>
              </w:rPr>
              <w:t xml:space="preserve">—</w:t>
            </w:r>
          </w:p>
        </w:tc>
        <w:tc>
          <w:tcPr>
            <w:shd w:val="clear" w:color="auto" w:fill="F5F7FB"/>
          </w:tcPr>
          <w:p>
            <w:pPr>
              <w:pStyle w:val="Compact"/>
            </w:pPr>
            <w:r>
              <w:rPr>
                <w:b/>
                <w:bCs/>
                <w:sz w:val="17"/>
              </w:rPr>
              <w:t xml:space="preserve">D12</w:t>
            </w:r>
            <w:r>
              <w:rPr>
                <w:sz w:val="17"/>
              </w:rPr>
              <w:t xml:space="preserve"> </w:t>
            </w:r>
            <w:r>
              <w:rPr>
                <w:sz w:val="17"/>
              </w:rPr>
              <w:t xml:space="preserve">ci-dessous</w:t>
            </w:r>
          </w:p>
        </w:tc>
      </w:tr>
      <w:tr>
        <w:tc>
          <w:tcPr/>
          <w:p>
            <w:pPr>
              <w:pStyle w:val="Compact"/>
            </w:pPr>
            <w:r>
              <w:rPr>
                <w:sz w:val="17"/>
              </w:rPr>
              <w:t xml:space="preserve">9. Interdire toute manipulation d’espèces par les agents + régime légal des primes</w:t>
            </w:r>
          </w:p>
        </w:tc>
        <w:tc>
          <w:tcPr/>
          <w:p>
            <w:pPr>
              <w:pStyle w:val="Compact"/>
            </w:pPr>
            <w:r>
              <w:rPr>
                <w:sz w:val="17"/>
              </w:rPr>
              <w:t xml:space="preserve">P9 ; J10</w:t>
            </w:r>
          </w:p>
        </w:tc>
        <w:tc>
          <w:tcPr/>
          <w:p>
            <w:pPr>
              <w:pStyle w:val="Compact"/>
            </w:pPr>
            <w:r>
              <w:rPr>
                <w:b/>
                <w:bCs/>
                <w:sz w:val="17"/>
              </w:rPr>
              <w:t xml:space="preserve">D13</w:t>
            </w:r>
            <w:r>
              <w:rPr>
                <w:sz w:val="17"/>
              </w:rPr>
              <w:t xml:space="preserve"> </w:t>
            </w:r>
            <w:r>
              <w:rPr>
                <w:sz w:val="17"/>
              </w:rPr>
              <w:t xml:space="preserve">ci-dessous</w:t>
            </w:r>
          </w:p>
        </w:tc>
      </w:tr>
      <w:tr>
        <w:tc>
          <w:tcPr>
            <w:shd w:val="clear" w:color="auto" w:fill="F5F7FB"/>
          </w:tcPr>
          <w:p>
            <w:pPr>
              <w:pStyle w:val="Compact"/>
            </w:pPr>
            <w:r>
              <w:rPr>
                <w:sz w:val="17"/>
              </w:rPr>
              <w:t xml:space="preserve">10. Approuver le financement Nseya et le partage sur 30 ans</w:t>
            </w:r>
          </w:p>
        </w:tc>
        <w:tc>
          <w:tcPr>
            <w:shd w:val="clear" w:color="auto" w:fill="F5F7FB"/>
          </w:tcPr>
          <w:p>
            <w:pPr>
              <w:pStyle w:val="Compact"/>
            </w:pPr>
            <w:r>
              <w:rPr>
                <w:sz w:val="17"/>
              </w:rPr>
              <w:t xml:space="preserve">9 (modèle hybride)</w:t>
            </w:r>
          </w:p>
        </w:tc>
        <w:tc>
          <w:tcPr>
            <w:shd w:val="clear" w:color="auto" w:fill="F5F7FB"/>
          </w:tcPr>
          <w:p>
            <w:pPr>
              <w:pStyle w:val="Compact"/>
            </w:pPr>
            <w:r>
              <w:rPr>
                <w:b/>
                <w:bCs/>
                <w:sz w:val="17"/>
              </w:rPr>
              <w:t xml:space="preserve">Arbitrée</w:t>
            </w:r>
            <w:r>
              <w:rPr>
                <w:sz w:val="17"/>
              </w:rPr>
              <w:t xml:space="preserve"> </w:t>
            </w:r>
            <w:r>
              <w:rPr>
                <w:sz w:val="17"/>
              </w:rPr>
              <w:t xml:space="preserve">(ARB-01)</w:t>
            </w:r>
          </w:p>
        </w:tc>
      </w:tr>
    </w:tbl>
    <w:bookmarkEnd w:id="539"/>
    <w:bookmarkStart w:id="540" w:name="Xe28aeca2c0c59dff41586119e82d959f002661b"/>
    <w:p>
      <w:pPr>
        <w:pStyle w:val="Heading3"/>
      </w:pPr>
      <w:r>
        <w:t xml:space="preserve">H.26.2 Décisions complémentaires (Cahier § 47.3) et décisions sectorielles</w:t>
      </w:r>
    </w:p>
    <w:p>
      <w:pPr>
        <w:pStyle w:val="FirstParagraph"/>
      </w:pPr>
      <w:r>
        <w:t xml:space="preserve">Les décisions 11 à 25 du Cahier sont soit couvertes par les dix décisions v3.0, soit reportées aux portes d’extension,</w:t>
      </w:r>
      <w:r>
        <w:t xml:space="preserve"> </w:t>
      </w:r>
      <w:r>
        <w:rPr>
          <w:b/>
          <w:bCs/>
        </w:rPr>
        <w:t xml:space="preserve">chacune sous réserve de l’acte correspondant</w:t>
      </w:r>
      <w:r>
        <w:t xml:space="preserv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584"/>
        <w:gridCol w:w="1584"/>
        <w:gridCol w:w="1584"/>
        <w:gridCol w:w="1584"/>
        <w:gridCol w:w="1584"/>
      </w:tblGrid>
      <w:tr>
        <w:trPr>
          <w:tblHeader w:val="on"/>
        </w:trPr>
        <w:tc>
          <w:tcPr>
            <w:shd w:val="clear" w:color="auto" w:fill="232C6B"/>
          </w:tcPr>
          <w:p>
            <w:pPr>
              <w:pStyle w:val="Compact"/>
            </w:pPr>
            <w:r>
              <w:rPr>
                <w:b/>
                <w:color w:val="FFFFFF"/>
                <w:sz w:val="17"/>
              </w:rPr>
              <w:t xml:space="preserve">Réf.</w:t>
            </w:r>
          </w:p>
        </w:tc>
        <w:tc>
          <w:tcPr>
            <w:shd w:val="clear" w:color="auto" w:fill="232C6B"/>
          </w:tcPr>
          <w:p>
            <w:pPr>
              <w:pStyle w:val="Compact"/>
            </w:pPr>
            <w:r>
              <w:rPr>
                <w:b/>
                <w:color w:val="FFFFFF"/>
                <w:sz w:val="17"/>
              </w:rPr>
              <w:t xml:space="preserve">Décision</w:t>
            </w:r>
          </w:p>
        </w:tc>
        <w:tc>
          <w:tcPr>
            <w:shd w:val="clear" w:color="auto" w:fill="232C6B"/>
          </w:tcPr>
          <w:p>
            <w:pPr>
              <w:pStyle w:val="Compact"/>
            </w:pPr>
            <w:r>
              <w:rPr>
                <w:b/>
                <w:color w:val="FFFFFF"/>
                <w:sz w:val="17"/>
              </w:rPr>
              <w:t xml:space="preserve">Autorité</w:t>
            </w:r>
          </w:p>
        </w:tc>
        <w:tc>
          <w:tcPr>
            <w:shd w:val="clear" w:color="auto" w:fill="232C6B"/>
          </w:tcPr>
          <w:p>
            <w:pPr>
              <w:pStyle w:val="Compact"/>
            </w:pPr>
            <w:r>
              <w:rPr>
                <w:b/>
                <w:color w:val="FFFFFF"/>
                <w:sz w:val="17"/>
              </w:rPr>
              <w:t xml:space="preserve">Échéance v3.0</w:t>
            </w:r>
          </w:p>
        </w:tc>
        <w:tc>
          <w:tcPr>
            <w:shd w:val="clear" w:color="auto" w:fill="232C6B"/>
          </w:tcPr>
          <w:p>
            <w:pPr>
              <w:pStyle w:val="Compact"/>
            </w:pPr>
            <w:r>
              <w:rPr>
                <w:b/>
                <w:color w:val="FFFFFF"/>
                <w:sz w:val="17"/>
              </w:rPr>
              <w:t xml:space="preserve">Statut</w:t>
            </w:r>
          </w:p>
        </w:tc>
      </w:tr>
      <w:tr>
        <w:tc>
          <w:tcPr/>
          <w:p>
            <w:pPr>
              <w:pStyle w:val="Compact"/>
            </w:pPr>
            <w:r>
              <w:rPr>
                <w:sz w:val="17"/>
              </w:rPr>
              <w:t xml:space="preserve">—</w:t>
            </w:r>
          </w:p>
        </w:tc>
        <w:tc>
          <w:tcPr/>
          <w:p>
            <w:pPr>
              <w:pStyle w:val="Compact"/>
            </w:pPr>
            <w:r>
              <w:rPr>
                <w:sz w:val="17"/>
              </w:rPr>
              <w:t xml:space="preserve">Architecture faîtière ; sponsor ; baseline ; versement direct ; Constitution financière ; accès inter-administrations ; passation souveraine ; généralisation conditionnée</w:t>
            </w:r>
          </w:p>
        </w:tc>
        <w:tc>
          <w:tcPr/>
          <w:p>
            <w:pPr>
              <w:pStyle w:val="Compact"/>
            </w:pPr>
            <w:r>
              <w:rPr>
                <w:sz w:val="17"/>
              </w:rPr>
              <w:t xml:space="preserve">Gouverneur, Gouvernement</w:t>
            </w:r>
          </w:p>
        </w:tc>
        <w:tc>
          <w:tcPr/>
          <w:p>
            <w:pPr>
              <w:pStyle w:val="Compact"/>
            </w:pPr>
            <w:r>
              <w:rPr>
                <w:sz w:val="17"/>
              </w:rPr>
              <w:t xml:space="preserve">Décisions 1 à 10</w:t>
            </w:r>
          </w:p>
        </w:tc>
        <w:tc>
          <w:tcPr/>
          <w:p>
            <w:pPr>
              <w:pStyle w:val="Compact"/>
            </w:pPr>
            <w:r>
              <w:rPr>
                <w:sz w:val="17"/>
              </w:rPr>
              <w:t xml:space="preserve">Couvertes</w:t>
            </w:r>
          </w:p>
        </w:tc>
      </w:tr>
      <w:tr>
        <w:tc>
          <w:tcPr>
            <w:shd w:val="clear" w:color="auto" w:fill="F5F7FB"/>
          </w:tcPr>
          <w:p>
            <w:pPr>
              <w:pStyle w:val="Compact"/>
            </w:pPr>
            <w:r>
              <w:rPr>
                <w:sz w:val="17"/>
              </w:rPr>
              <w:t xml:space="preserve">—</w:t>
            </w:r>
          </w:p>
        </w:tc>
        <w:tc>
          <w:tcPr>
            <w:shd w:val="clear" w:color="auto" w:fill="F5F7FB"/>
          </w:tcPr>
          <w:p>
            <w:pPr>
              <w:pStyle w:val="Compact"/>
            </w:pPr>
            <w:r>
              <w:rPr>
                <w:sz w:val="17"/>
              </w:rPr>
              <w:t xml:space="preserve">Comité juridique et tarifaire permanent</w:t>
            </w:r>
          </w:p>
        </w:tc>
        <w:tc>
          <w:tcPr>
            <w:shd w:val="clear" w:color="auto" w:fill="F5F7FB"/>
          </w:tcPr>
          <w:p>
            <w:pPr>
              <w:pStyle w:val="Compact"/>
            </w:pPr>
            <w:r>
              <w:rPr>
                <w:sz w:val="17"/>
              </w:rPr>
              <w:t xml:space="preserve">Gouverneur</w:t>
            </w:r>
          </w:p>
        </w:tc>
        <w:tc>
          <w:tcPr>
            <w:shd w:val="clear" w:color="auto" w:fill="F5F7FB"/>
          </w:tcPr>
          <w:p>
            <w:pPr>
              <w:pStyle w:val="Compact"/>
            </w:pPr>
            <w:r>
              <w:rPr>
                <w:sz w:val="17"/>
              </w:rPr>
              <w:t xml:space="preserve">Phase 0</w:t>
            </w:r>
          </w:p>
        </w:tc>
        <w:tc>
          <w:tcPr>
            <w:shd w:val="clear" w:color="auto" w:fill="F5F7FB"/>
          </w:tcPr>
          <w:p>
            <w:pPr>
              <w:pStyle w:val="Compact"/>
            </w:pPr>
            <w:r>
              <w:rPr>
                <w:sz w:val="17"/>
              </w:rPr>
              <w:t xml:space="preserve">Couverte (§ 36)</w:t>
            </w:r>
          </w:p>
        </w:tc>
      </w:tr>
      <w:tr>
        <w:tc>
          <w:tcPr/>
          <w:p>
            <w:pPr>
              <w:pStyle w:val="Compact"/>
            </w:pPr>
            <w:r>
              <w:rPr>
                <w:sz w:val="17"/>
              </w:rPr>
              <w:t xml:space="preserve">D11</w:t>
            </w:r>
          </w:p>
        </w:tc>
        <w:tc>
          <w:tcPr/>
          <w:p>
            <w:pPr>
              <w:pStyle w:val="Compact"/>
            </w:pPr>
            <w:r>
              <w:rPr>
                <w:sz w:val="17"/>
              </w:rPr>
              <w:t xml:space="preserve">Acte autorisant le paiement fractionné (échéanciers) de l’IF et de l’IRL par monnaie mobile</w:t>
            </w:r>
          </w:p>
        </w:tc>
        <w:tc>
          <w:tcPr/>
          <w:p>
            <w:pPr>
              <w:pStyle w:val="Compact"/>
            </w:pPr>
            <w:r>
              <w:rPr>
                <w:sz w:val="17"/>
              </w:rPr>
              <w:t xml:space="preserve">Assemblée provinciale ou Gouvernement</w:t>
            </w:r>
          </w:p>
        </w:tc>
        <w:tc>
          <w:tcPr/>
          <w:p>
            <w:pPr>
              <w:pStyle w:val="Compact"/>
            </w:pPr>
            <w:r>
              <w:rPr>
                <w:sz w:val="17"/>
              </w:rPr>
              <w:t xml:space="preserve">Avant la campagne 2028</w:t>
            </w:r>
          </w:p>
        </w:tc>
        <w:tc>
          <w:tcPr/>
          <w:p>
            <w:pPr>
              <w:pStyle w:val="Compact"/>
            </w:pPr>
            <w:r>
              <w:rPr>
                <w:sz w:val="17"/>
              </w:rPr>
              <w:t xml:space="preserve">[ACTE REQUIS J14]</w:t>
            </w:r>
          </w:p>
        </w:tc>
      </w:tr>
      <w:tr>
        <w:tc>
          <w:tcPr>
            <w:shd w:val="clear" w:color="auto" w:fill="F5F7FB"/>
          </w:tcPr>
          <w:p>
            <w:pPr>
              <w:pStyle w:val="Compact"/>
            </w:pPr>
            <w:r>
              <w:rPr>
                <w:sz w:val="17"/>
              </w:rPr>
              <w:t xml:space="preserve">D12</w:t>
            </w:r>
          </w:p>
        </w:tc>
        <w:tc>
          <w:tcPr>
            <w:shd w:val="clear" w:color="auto" w:fill="F5F7FB"/>
          </w:tcPr>
          <w:p>
            <w:pPr>
              <w:pStyle w:val="Compact"/>
            </w:pPr>
            <w:r>
              <w:rPr>
                <w:sz w:val="17"/>
              </w:rPr>
              <w:t xml:space="preserve">Extension du quitus numérique aux permis de bâtir, mutations foncières et mutations de véhicules</w:t>
            </w:r>
          </w:p>
        </w:tc>
        <w:tc>
          <w:tcPr>
            <w:shd w:val="clear" w:color="auto" w:fill="F5F7FB"/>
          </w:tcPr>
          <w:p>
            <w:pPr>
              <w:pStyle w:val="Compact"/>
            </w:pPr>
            <w:r>
              <w:rPr>
                <w:sz w:val="17"/>
              </w:rPr>
              <w:t xml:space="preserve">Gouvernement provincial</w:t>
            </w:r>
          </w:p>
        </w:tc>
        <w:tc>
          <w:tcPr>
            <w:shd w:val="clear" w:color="auto" w:fill="F5F7FB"/>
          </w:tcPr>
          <w:p>
            <w:pPr>
              <w:pStyle w:val="Compact"/>
            </w:pPr>
            <w:r>
              <w:rPr>
                <w:sz w:val="17"/>
              </w:rPr>
              <w:t xml:space="preserve">Phase 4</w:t>
            </w:r>
          </w:p>
        </w:tc>
        <w:tc>
          <w:tcPr>
            <w:shd w:val="clear" w:color="auto" w:fill="F5F7FB"/>
          </w:tcPr>
          <w:p>
            <w:pPr>
              <w:pStyle w:val="Compact"/>
            </w:pPr>
            <w:r>
              <w:rPr>
                <w:sz w:val="17"/>
              </w:rPr>
              <w:t xml:space="preserve">[ACTE REQUIS J6]</w:t>
            </w:r>
          </w:p>
        </w:tc>
      </w:tr>
      <w:tr>
        <w:tc>
          <w:tcPr/>
          <w:p>
            <w:pPr>
              <w:pStyle w:val="Compact"/>
            </w:pPr>
            <w:r>
              <w:rPr>
                <w:sz w:val="17"/>
              </w:rPr>
              <w:t xml:space="preserve">D13</w:t>
            </w:r>
          </w:p>
        </w:tc>
        <w:tc>
          <w:tcPr/>
          <w:p>
            <w:pPr>
              <w:pStyle w:val="Compact"/>
            </w:pPr>
            <w:r>
              <w:rPr>
                <w:sz w:val="17"/>
              </w:rPr>
              <w:t xml:space="preserve">Interdiction réglementaire de toute manipulation d’espèces par les agents et réseau de points de paiement agréés</w:t>
            </w:r>
          </w:p>
        </w:tc>
        <w:tc>
          <w:tcPr/>
          <w:p>
            <w:pPr>
              <w:pStyle w:val="Compact"/>
            </w:pPr>
            <w:r>
              <w:rPr>
                <w:sz w:val="17"/>
              </w:rPr>
              <w:t xml:space="preserve">Gouvernement ; Finances</w:t>
            </w:r>
          </w:p>
        </w:tc>
        <w:tc>
          <w:tcPr/>
          <w:p>
            <w:pPr>
              <w:pStyle w:val="Compact"/>
            </w:pPr>
            <w:r>
              <w:rPr>
                <w:sz w:val="17"/>
              </w:rPr>
              <w:t xml:space="preserve">Avant le pilote</w:t>
            </w:r>
          </w:p>
        </w:tc>
        <w:tc>
          <w:tcPr/>
          <w:p>
            <w:pPr>
              <w:pStyle w:val="Compact"/>
            </w:pPr>
            <w:r>
              <w:rPr>
                <w:sz w:val="17"/>
              </w:rPr>
              <w:t xml:space="preserve">[ACTE REQUIS J20]</w:t>
            </w:r>
          </w:p>
        </w:tc>
      </w:tr>
      <w:tr>
        <w:tc>
          <w:tcPr>
            <w:shd w:val="clear" w:color="auto" w:fill="F5F7FB"/>
          </w:tcPr>
          <w:p>
            <w:pPr>
              <w:pStyle w:val="Compact"/>
            </w:pPr>
            <w:r>
              <w:rPr>
                <w:sz w:val="17"/>
              </w:rPr>
              <w:t xml:space="preserve">D14</w:t>
            </w:r>
          </w:p>
        </w:tc>
        <w:tc>
          <w:tcPr>
            <w:shd w:val="clear" w:color="auto" w:fill="F5F7FB"/>
          </w:tcPr>
          <w:p>
            <w:pPr>
              <w:pStyle w:val="Compact"/>
            </w:pPr>
            <w:r>
              <w:rPr>
                <w:sz w:val="17"/>
              </w:rPr>
              <w:t xml:space="preserve">Cadre d’accréditation des sous-traitants et désignation d’un responsable par module</w:t>
            </w:r>
          </w:p>
        </w:tc>
        <w:tc>
          <w:tcPr>
            <w:shd w:val="clear" w:color="auto" w:fill="F5F7FB"/>
          </w:tcPr>
          <w:p>
            <w:pPr>
              <w:pStyle w:val="Compact"/>
            </w:pPr>
            <w:r>
              <w:rPr>
                <w:sz w:val="17"/>
              </w:rPr>
              <w:t xml:space="preserve">Finances ; régies</w:t>
            </w:r>
          </w:p>
        </w:tc>
        <w:tc>
          <w:tcPr>
            <w:shd w:val="clear" w:color="auto" w:fill="F5F7FB"/>
          </w:tcPr>
          <w:p>
            <w:pPr>
              <w:pStyle w:val="Compact"/>
            </w:pPr>
            <w:r>
              <w:rPr>
                <w:sz w:val="17"/>
              </w:rPr>
              <w:t xml:space="preserve">Avant R2</w:t>
            </w:r>
          </w:p>
        </w:tc>
        <w:tc>
          <w:tcPr>
            <w:shd w:val="clear" w:color="auto" w:fill="F5F7FB"/>
          </w:tcPr>
          <w:p>
            <w:pPr>
              <w:pStyle w:val="Compact"/>
            </w:pPr>
            <w:r>
              <w:rPr>
                <w:sz w:val="17"/>
              </w:rPr>
              <w:t xml:space="preserve">[ACTE REQUIS J19]</w:t>
            </w:r>
          </w:p>
        </w:tc>
      </w:tr>
      <w:tr>
        <w:tc>
          <w:tcPr/>
          <w:p>
            <w:pPr>
              <w:pStyle w:val="Compact"/>
            </w:pPr>
            <w:r>
              <w:rPr>
                <w:sz w:val="17"/>
              </w:rPr>
              <w:t xml:space="preserve">D15</w:t>
            </w:r>
          </w:p>
        </w:tc>
        <w:tc>
          <w:tcPr/>
          <w:p>
            <w:pPr>
              <w:pStyle w:val="Compact"/>
            </w:pPr>
            <w:r>
              <w:rPr>
                <w:sz w:val="17"/>
              </w:rPr>
              <w:t xml:space="preserve">Gratuité de l’enrôlement, de l’USSD et du SVI ; un guichet MOSOLO par commune pilote</w:t>
            </w:r>
          </w:p>
        </w:tc>
        <w:tc>
          <w:tcPr/>
          <w:p>
            <w:pPr>
              <w:pStyle w:val="Compact"/>
            </w:pPr>
            <w:r>
              <w:rPr>
                <w:sz w:val="17"/>
              </w:rPr>
              <w:t xml:space="preserve">Gouvernement ; opérateurs</w:t>
            </w:r>
          </w:p>
        </w:tc>
        <w:tc>
          <w:tcPr/>
          <w:p>
            <w:pPr>
              <w:pStyle w:val="Compact"/>
            </w:pPr>
            <w:r>
              <w:rPr>
                <w:sz w:val="17"/>
              </w:rPr>
              <w:t xml:space="preserve">Avant le pilote</w:t>
            </w:r>
          </w:p>
        </w:tc>
        <w:tc>
          <w:tcPr/>
          <w:p>
            <w:pPr>
              <w:pStyle w:val="Compact"/>
            </w:pPr>
            <w:r>
              <w:rPr>
                <w:sz w:val="17"/>
              </w:rPr>
              <w:t xml:space="preserve">Liée à la décision 10 et à J29</w:t>
            </w:r>
          </w:p>
        </w:tc>
      </w:tr>
      <w:tr>
        <w:tc>
          <w:tcPr>
            <w:shd w:val="clear" w:color="auto" w:fill="F5F7FB"/>
          </w:tcPr>
          <w:p>
            <w:pPr>
              <w:pStyle w:val="Compact"/>
            </w:pPr>
            <w:r>
              <w:rPr>
                <w:sz w:val="17"/>
              </w:rPr>
              <w:t xml:space="preserve">D16</w:t>
            </w:r>
          </w:p>
        </w:tc>
        <w:tc>
          <w:tcPr>
            <w:shd w:val="clear" w:color="auto" w:fill="F5F7FB"/>
          </w:tcPr>
          <w:p>
            <w:pPr>
              <w:pStyle w:val="Compact"/>
            </w:pPr>
            <w:r>
              <w:rPr>
                <w:sz w:val="17"/>
              </w:rPr>
              <w:t xml:space="preserve">Ligne de signalement et contrôles mystère</w:t>
            </w:r>
          </w:p>
        </w:tc>
        <w:tc>
          <w:tcPr>
            <w:shd w:val="clear" w:color="auto" w:fill="F5F7FB"/>
          </w:tcPr>
          <w:p>
            <w:pPr>
              <w:pStyle w:val="Compact"/>
            </w:pPr>
            <w:r>
              <w:rPr>
                <w:sz w:val="17"/>
              </w:rPr>
              <w:t xml:space="preserve">Gouvernement ; inspection</w:t>
            </w:r>
          </w:p>
        </w:tc>
        <w:tc>
          <w:tcPr>
            <w:shd w:val="clear" w:color="auto" w:fill="F5F7FB"/>
          </w:tcPr>
          <w:p>
            <w:pPr>
              <w:pStyle w:val="Compact"/>
            </w:pPr>
            <w:r>
              <w:rPr>
                <w:sz w:val="17"/>
              </w:rPr>
              <w:t xml:space="preserve">R2</w:t>
            </w:r>
          </w:p>
        </w:tc>
        <w:tc>
          <w:tcPr>
            <w:shd w:val="clear" w:color="auto" w:fill="F5F7FB"/>
          </w:tcPr>
          <w:p>
            <w:pPr>
              <w:pStyle w:val="Compact"/>
            </w:pPr>
            <w:r>
              <w:rPr>
                <w:sz w:val="17"/>
              </w:rPr>
              <w:t xml:space="preserve">À prendre</w:t>
            </w:r>
          </w:p>
        </w:tc>
      </w:tr>
      <w:tr>
        <w:tc>
          <w:tcPr/>
          <w:p>
            <w:pPr>
              <w:pStyle w:val="Compact"/>
            </w:pPr>
            <w:r>
              <w:rPr>
                <w:sz w:val="17"/>
              </w:rPr>
              <w:t xml:space="preserve">D17</w:t>
            </w:r>
          </w:p>
        </w:tc>
        <w:tc>
          <w:tcPr/>
          <w:p>
            <w:pPr>
              <w:pStyle w:val="Compact"/>
            </w:pPr>
            <w:r>
              <w:rPr>
                <w:sz w:val="17"/>
              </w:rPr>
              <w:t xml:space="preserve">Principe « socle commun, espaces propres » et procédure d’arbitrage opposable</w:t>
            </w:r>
          </w:p>
        </w:tc>
        <w:tc>
          <w:tcPr/>
          <w:p>
            <w:pPr>
              <w:pStyle w:val="Compact"/>
            </w:pPr>
            <w:r>
              <w:rPr>
                <w:sz w:val="17"/>
              </w:rPr>
              <w:t xml:space="preserve">Gouvernement</w:t>
            </w:r>
          </w:p>
        </w:tc>
        <w:tc>
          <w:tcPr/>
          <w:p>
            <w:pPr>
              <w:pStyle w:val="Compact"/>
            </w:pPr>
            <w:r>
              <w:rPr>
                <w:sz w:val="17"/>
              </w:rPr>
              <w:t xml:space="preserve">Phase 1</w:t>
            </w:r>
          </w:p>
        </w:tc>
        <w:tc>
          <w:tcPr/>
          <w:p>
            <w:pPr>
              <w:pStyle w:val="Compact"/>
            </w:pPr>
            <w:r>
              <w:rPr>
                <w:sz w:val="17"/>
              </w:rPr>
              <w:t xml:space="preserve">[ACTE REQUIS J22]</w:t>
            </w:r>
          </w:p>
        </w:tc>
      </w:tr>
      <w:tr>
        <w:tc>
          <w:tcPr>
            <w:shd w:val="clear" w:color="auto" w:fill="F5F7FB"/>
          </w:tcPr>
          <w:p>
            <w:pPr>
              <w:pStyle w:val="Compact"/>
            </w:pPr>
            <w:r>
              <w:rPr>
                <w:sz w:val="17"/>
              </w:rPr>
              <w:t xml:space="preserve">D18</w:t>
            </w:r>
          </w:p>
        </w:tc>
        <w:tc>
          <w:tcPr>
            <w:shd w:val="clear" w:color="auto" w:fill="F5F7FB"/>
          </w:tcPr>
          <w:p>
            <w:pPr>
              <w:pStyle w:val="Compact"/>
            </w:pPr>
            <w:r>
              <w:rPr>
                <w:sz w:val="17"/>
              </w:rPr>
              <w:t xml:space="preserve">Standard des titres ; obligation pour les opérateurs délégués d’émettre par MOSOLO</w:t>
            </w:r>
          </w:p>
        </w:tc>
        <w:tc>
          <w:tcPr>
            <w:shd w:val="clear" w:color="auto" w:fill="F5F7FB"/>
          </w:tcPr>
          <w:p>
            <w:pPr>
              <w:pStyle w:val="Compact"/>
            </w:pPr>
            <w:r>
              <w:rPr>
                <w:sz w:val="17"/>
              </w:rPr>
              <w:t xml:space="preserve">Gouvernement</w:t>
            </w:r>
          </w:p>
        </w:tc>
        <w:tc>
          <w:tcPr>
            <w:shd w:val="clear" w:color="auto" w:fill="F5F7FB"/>
          </w:tcPr>
          <w:p>
            <w:pPr>
              <w:pStyle w:val="Compact"/>
            </w:pPr>
            <w:r>
              <w:rPr>
                <w:sz w:val="17"/>
              </w:rPr>
              <w:t xml:space="preserve">R2</w:t>
            </w:r>
          </w:p>
        </w:tc>
        <w:tc>
          <w:tcPr>
            <w:shd w:val="clear" w:color="auto" w:fill="F5F7FB"/>
          </w:tcPr>
          <w:p>
            <w:pPr>
              <w:pStyle w:val="Compact"/>
            </w:pPr>
            <w:r>
              <w:rPr>
                <w:sz w:val="17"/>
              </w:rPr>
              <w:t xml:space="preserve">[ACTE REQUIS J21]</w:t>
            </w:r>
          </w:p>
        </w:tc>
      </w:tr>
      <w:tr>
        <w:tc>
          <w:tcPr/>
          <w:p>
            <w:pPr>
              <w:pStyle w:val="Compact"/>
            </w:pPr>
            <w:r>
              <w:rPr>
                <w:sz w:val="17"/>
              </w:rPr>
              <w:t xml:space="preserve">D19</w:t>
            </w:r>
          </w:p>
        </w:tc>
        <w:tc>
          <w:tcPr/>
          <w:p>
            <w:pPr>
              <w:pStyle w:val="Compact"/>
            </w:pPr>
            <w:r>
              <w:rPr>
                <w:sz w:val="17"/>
              </w:rPr>
              <w:t xml:space="preserve">Politique d’accès (invitations en cascade, seconde validation)</w:t>
            </w:r>
          </w:p>
        </w:tc>
        <w:tc>
          <w:tcPr/>
          <w:p>
            <w:pPr>
              <w:pStyle w:val="Compact"/>
            </w:pPr>
            <w:r>
              <w:rPr>
                <w:sz w:val="17"/>
              </w:rPr>
              <w:t xml:space="preserve">Comité de pilotage</w:t>
            </w:r>
          </w:p>
        </w:tc>
        <w:tc>
          <w:tcPr/>
          <w:p>
            <w:pPr>
              <w:pStyle w:val="Compact"/>
            </w:pPr>
            <w:r>
              <w:rPr>
                <w:sz w:val="17"/>
              </w:rPr>
              <w:t xml:space="preserve">Phase 1</w:t>
            </w:r>
          </w:p>
        </w:tc>
        <w:tc>
          <w:tcPr/>
          <w:p>
            <w:pPr>
              <w:pStyle w:val="Compact"/>
            </w:pPr>
            <w:r>
              <w:rPr>
                <w:sz w:val="17"/>
              </w:rPr>
              <w:t xml:space="preserve">À adopter</w:t>
            </w:r>
          </w:p>
        </w:tc>
      </w:tr>
      <w:tr>
        <w:tc>
          <w:tcPr>
            <w:shd w:val="clear" w:color="auto" w:fill="F5F7FB"/>
          </w:tcPr>
          <w:p>
            <w:pPr>
              <w:pStyle w:val="Compact"/>
            </w:pPr>
            <w:r>
              <w:rPr>
                <w:sz w:val="17"/>
              </w:rPr>
              <w:t xml:space="preserve">D20</w:t>
            </w:r>
          </w:p>
        </w:tc>
        <w:tc>
          <w:tcPr>
            <w:shd w:val="clear" w:color="auto" w:fill="F5F7FB"/>
          </w:tcPr>
          <w:p>
            <w:pPr>
              <w:pStyle w:val="Compact"/>
            </w:pPr>
            <w:r>
              <w:rPr>
                <w:sz w:val="17"/>
              </w:rPr>
              <w:t xml:space="preserve">ParkSmart : zones payantes (axes principaux, Gombe intégrale), barème, protocole</w:t>
            </w:r>
          </w:p>
        </w:tc>
        <w:tc>
          <w:tcPr>
            <w:shd w:val="clear" w:color="auto" w:fill="F5F7FB"/>
          </w:tcPr>
          <w:p>
            <w:pPr>
              <w:pStyle w:val="Compact"/>
            </w:pPr>
            <w:r>
              <w:rPr>
                <w:sz w:val="17"/>
              </w:rPr>
              <w:t xml:space="preserve">Gouvernement ; Transports</w:t>
            </w:r>
          </w:p>
        </w:tc>
        <w:tc>
          <w:tcPr>
            <w:shd w:val="clear" w:color="auto" w:fill="F5F7FB"/>
          </w:tcPr>
          <w:p>
            <w:pPr>
              <w:pStyle w:val="Compact"/>
            </w:pPr>
            <w:r>
              <w:rPr>
                <w:sz w:val="17"/>
              </w:rPr>
              <w:t xml:space="preserve">Phase 4</w:t>
            </w:r>
          </w:p>
        </w:tc>
        <w:tc>
          <w:tcPr>
            <w:shd w:val="clear" w:color="auto" w:fill="F5F7FB"/>
          </w:tcPr>
          <w:p>
            <w:pPr>
              <w:pStyle w:val="Compact"/>
            </w:pPr>
            <w:r>
              <w:rPr>
                <w:sz w:val="17"/>
              </w:rPr>
              <w:t xml:space="preserve">[ACTE REQUIS J24]</w:t>
            </w:r>
          </w:p>
        </w:tc>
      </w:tr>
      <w:tr>
        <w:tc>
          <w:tcPr/>
          <w:p>
            <w:pPr>
              <w:pStyle w:val="Compact"/>
            </w:pPr>
            <w:r>
              <w:rPr>
                <w:sz w:val="17"/>
              </w:rPr>
              <w:t xml:space="preserve">D21</w:t>
            </w:r>
          </w:p>
        </w:tc>
        <w:tc>
          <w:tcPr/>
          <w:p>
            <w:pPr>
              <w:pStyle w:val="Compact"/>
            </w:pPr>
            <w:r>
              <w:rPr>
                <w:sz w:val="17"/>
              </w:rPr>
              <w:t xml:space="preserve">Arrêtés AVIA</w:t>
            </w:r>
          </w:p>
        </w:tc>
        <w:tc>
          <w:tcPr/>
          <w:p>
            <w:pPr>
              <w:pStyle w:val="Compact"/>
            </w:pPr>
            <w:r>
              <w:rPr>
                <w:sz w:val="17"/>
              </w:rPr>
              <w:t xml:space="preserve">Gouvernement ; autorités aéroportuaires</w:t>
            </w:r>
          </w:p>
        </w:tc>
        <w:tc>
          <w:tcPr/>
          <w:p>
            <w:pPr>
              <w:pStyle w:val="Compact"/>
            </w:pPr>
            <w:r>
              <w:rPr>
                <w:sz w:val="17"/>
              </w:rPr>
              <w:t xml:space="preserve">Phase 5</w:t>
            </w:r>
          </w:p>
        </w:tc>
        <w:tc>
          <w:tcPr/>
          <w:p>
            <w:pPr>
              <w:pStyle w:val="Compact"/>
            </w:pPr>
            <w:r>
              <w:rPr>
                <w:sz w:val="17"/>
              </w:rPr>
              <w:t xml:space="preserve">[ACTE REQUIS J23]</w:t>
            </w:r>
          </w:p>
        </w:tc>
      </w:tr>
      <w:tr>
        <w:tc>
          <w:tcPr>
            <w:shd w:val="clear" w:color="auto" w:fill="F5F7FB"/>
          </w:tcPr>
          <w:p>
            <w:pPr>
              <w:pStyle w:val="Compact"/>
            </w:pPr>
            <w:r>
              <w:rPr>
                <w:sz w:val="17"/>
              </w:rPr>
              <w:t xml:space="preserve">D22</w:t>
            </w:r>
          </w:p>
        </w:tc>
        <w:tc>
          <w:tcPr>
            <w:shd w:val="clear" w:color="auto" w:fill="F5F7FB"/>
          </w:tcPr>
          <w:p>
            <w:pPr>
              <w:pStyle w:val="Compact"/>
            </w:pPr>
            <w:r>
              <w:rPr>
                <w:sz w:val="17"/>
              </w:rPr>
              <w:t xml:space="preserve">KIN PUB CONTROL : accréditation des contrôleurs, procédure de constat</w:t>
            </w:r>
          </w:p>
        </w:tc>
        <w:tc>
          <w:tcPr>
            <w:shd w:val="clear" w:color="auto" w:fill="F5F7FB"/>
          </w:tcPr>
          <w:p>
            <w:pPr>
              <w:pStyle w:val="Compact"/>
            </w:pPr>
            <w:r>
              <w:rPr>
                <w:sz w:val="17"/>
              </w:rPr>
              <w:t xml:space="preserve">Gouvernement</w:t>
            </w:r>
          </w:p>
        </w:tc>
        <w:tc>
          <w:tcPr>
            <w:shd w:val="clear" w:color="auto" w:fill="F5F7FB"/>
          </w:tcPr>
          <w:p>
            <w:pPr>
              <w:pStyle w:val="Compact"/>
            </w:pPr>
            <w:r>
              <w:rPr>
                <w:sz w:val="17"/>
              </w:rPr>
              <w:t xml:space="preserve">R2</w:t>
            </w:r>
          </w:p>
        </w:tc>
        <w:tc>
          <w:tcPr>
            <w:shd w:val="clear" w:color="auto" w:fill="F5F7FB"/>
          </w:tcPr>
          <w:p>
            <w:pPr>
              <w:pStyle w:val="Compact"/>
            </w:pPr>
            <w:r>
              <w:rPr>
                <w:sz w:val="17"/>
              </w:rPr>
              <w:t xml:space="preserve">[ACTE REQUIS J19]</w:t>
            </w:r>
          </w:p>
        </w:tc>
      </w:tr>
      <w:tr>
        <w:tc>
          <w:tcPr/>
          <w:p>
            <w:pPr>
              <w:pStyle w:val="Compact"/>
            </w:pPr>
            <w:r>
              <w:rPr>
                <w:sz w:val="17"/>
              </w:rPr>
              <w:t xml:space="preserve">D23</w:t>
            </w:r>
          </w:p>
        </w:tc>
        <w:tc>
          <w:tcPr/>
          <w:p>
            <w:pPr>
              <w:pStyle w:val="Compact"/>
            </w:pPr>
            <w:r>
              <w:rPr>
                <w:sz w:val="17"/>
              </w:rPr>
              <w:t xml:space="preserve">Plaque fiscale immobilière obligatoire</w:t>
            </w:r>
          </w:p>
        </w:tc>
        <w:tc>
          <w:tcPr/>
          <w:p>
            <w:pPr>
              <w:pStyle w:val="Compact"/>
            </w:pPr>
            <w:r>
              <w:rPr>
                <w:sz w:val="17"/>
              </w:rPr>
              <w:t xml:space="preserve">Assemblée provinciale ou Gouvernement</w:t>
            </w:r>
          </w:p>
        </w:tc>
        <w:tc>
          <w:tcPr/>
          <w:p>
            <w:pPr>
              <w:pStyle w:val="Compact"/>
            </w:pPr>
            <w:r>
              <w:rPr>
                <w:sz w:val="17"/>
              </w:rPr>
              <w:t xml:space="preserve">Phase 4</w:t>
            </w:r>
          </w:p>
        </w:tc>
        <w:tc>
          <w:tcPr/>
          <w:p>
            <w:pPr>
              <w:pStyle w:val="Compact"/>
            </w:pPr>
            <w:r>
              <w:rPr>
                <w:sz w:val="17"/>
              </w:rPr>
              <w:t xml:space="preserve">[ACTE REQUIS J27]</w:t>
            </w:r>
          </w:p>
        </w:tc>
      </w:tr>
      <w:tr>
        <w:tc>
          <w:tcPr>
            <w:shd w:val="clear" w:color="auto" w:fill="F5F7FB"/>
          </w:tcPr>
          <w:p>
            <w:pPr>
              <w:pStyle w:val="Compact"/>
            </w:pPr>
            <w:r>
              <w:rPr>
                <w:sz w:val="17"/>
              </w:rPr>
              <w:t xml:space="preserve">D24</w:t>
            </w:r>
          </w:p>
        </w:tc>
        <w:tc>
          <w:tcPr>
            <w:shd w:val="clear" w:color="auto" w:fill="F5F7FB"/>
          </w:tcPr>
          <w:p>
            <w:pPr>
              <w:pStyle w:val="Compact"/>
            </w:pPr>
            <w:r>
              <w:rPr>
                <w:sz w:val="17"/>
              </w:rPr>
              <w:t xml:space="preserve">CALCU : registre obligatoire des comptes publics</w:t>
            </w:r>
          </w:p>
        </w:tc>
        <w:tc>
          <w:tcPr>
            <w:shd w:val="clear" w:color="auto" w:fill="F5F7FB"/>
          </w:tcPr>
          <w:p>
            <w:pPr>
              <w:pStyle w:val="Compact"/>
            </w:pPr>
            <w:r>
              <w:rPr>
                <w:sz w:val="17"/>
              </w:rPr>
              <w:t xml:space="preserve">Gouvernement ; niveau national le cas échéant</w:t>
            </w:r>
          </w:p>
        </w:tc>
        <w:tc>
          <w:tcPr>
            <w:shd w:val="clear" w:color="auto" w:fill="F5F7FB"/>
          </w:tcPr>
          <w:p>
            <w:pPr>
              <w:pStyle w:val="Compact"/>
            </w:pPr>
            <w:r>
              <w:rPr>
                <w:sz w:val="17"/>
              </w:rPr>
              <w:t xml:space="preserve">Phase 5</w:t>
            </w:r>
          </w:p>
        </w:tc>
        <w:tc>
          <w:tcPr>
            <w:shd w:val="clear" w:color="auto" w:fill="F5F7FB"/>
          </w:tcPr>
          <w:p>
            <w:pPr>
              <w:pStyle w:val="Compact"/>
            </w:pPr>
            <w:r>
              <w:rPr>
                <w:sz w:val="17"/>
              </w:rPr>
              <w:t xml:space="preserve">[ACTE REQUIS J26]</w:t>
            </w:r>
          </w:p>
        </w:tc>
      </w:tr>
      <w:tr>
        <w:tc>
          <w:tcPr/>
          <w:p>
            <w:pPr>
              <w:pStyle w:val="Compact"/>
            </w:pPr>
            <w:r>
              <w:rPr>
                <w:sz w:val="17"/>
              </w:rPr>
              <w:t xml:space="preserve">D25</w:t>
            </w:r>
          </w:p>
        </w:tc>
        <w:tc>
          <w:tcPr/>
          <w:p>
            <w:pPr>
              <w:pStyle w:val="Compact"/>
            </w:pPr>
            <w:r>
              <w:rPr>
                <w:sz w:val="17"/>
              </w:rPr>
              <w:t xml:space="preserve">Billetterie multi-opérateurs : accréditation des opérateurs, vendeurs, séparation des circuits</w:t>
            </w:r>
          </w:p>
        </w:tc>
        <w:tc>
          <w:tcPr/>
          <w:p>
            <w:pPr>
              <w:pStyle w:val="Compact"/>
            </w:pPr>
            <w:r>
              <w:rPr>
                <w:sz w:val="17"/>
              </w:rPr>
              <w:t xml:space="preserve">Gouvernement ; Transports</w:t>
            </w:r>
          </w:p>
        </w:tc>
        <w:tc>
          <w:tcPr/>
          <w:p>
            <w:pPr>
              <w:pStyle w:val="Compact"/>
            </w:pPr>
            <w:r>
              <w:rPr>
                <w:sz w:val="17"/>
              </w:rPr>
              <w:t xml:space="preserve">R3</w:t>
            </w:r>
          </w:p>
        </w:tc>
        <w:tc>
          <w:tcPr/>
          <w:p>
            <w:pPr>
              <w:pStyle w:val="Compact"/>
            </w:pPr>
            <w:r>
              <w:rPr>
                <w:sz w:val="17"/>
              </w:rPr>
              <w:t xml:space="preserve">[ACTE REQUIS J25]</w:t>
            </w:r>
          </w:p>
        </w:tc>
      </w:tr>
      <w:tr>
        <w:tc>
          <w:tcPr>
            <w:shd w:val="clear" w:color="auto" w:fill="F5F7FB"/>
          </w:tcPr>
          <w:p>
            <w:pPr>
              <w:pStyle w:val="Compact"/>
            </w:pPr>
            <w:r>
              <w:rPr>
                <w:sz w:val="17"/>
              </w:rPr>
              <w:t xml:space="preserve">D26</w:t>
            </w:r>
          </w:p>
        </w:tc>
        <w:tc>
          <w:tcPr>
            <w:shd w:val="clear" w:color="auto" w:fill="F5F7FB"/>
          </w:tcPr>
          <w:p>
            <w:pPr>
              <w:pStyle w:val="Compact"/>
            </w:pPr>
            <w:r>
              <w:rPr>
                <w:sz w:val="17"/>
              </w:rPr>
              <w:t xml:space="preserve">Pass wewa : base légale, tarif, supports, coopératives</w:t>
            </w:r>
          </w:p>
        </w:tc>
        <w:tc>
          <w:tcPr>
            <w:shd w:val="clear" w:color="auto" w:fill="F5F7FB"/>
          </w:tcPr>
          <w:p>
            <w:pPr>
              <w:pStyle w:val="Compact"/>
            </w:pPr>
            <w:r>
              <w:rPr>
                <w:sz w:val="17"/>
              </w:rPr>
              <w:t xml:space="preserve">Gouvernement ; Transports ; communes</w:t>
            </w:r>
          </w:p>
        </w:tc>
        <w:tc>
          <w:tcPr>
            <w:shd w:val="clear" w:color="auto" w:fill="F5F7FB"/>
          </w:tcPr>
          <w:p>
            <w:pPr>
              <w:pStyle w:val="Compact"/>
            </w:pPr>
            <w:r>
              <w:rPr>
                <w:sz w:val="17"/>
              </w:rPr>
              <w:t xml:space="preserve">R3</w:t>
            </w:r>
          </w:p>
        </w:tc>
        <w:tc>
          <w:tcPr>
            <w:shd w:val="clear" w:color="auto" w:fill="F5F7FB"/>
          </w:tcPr>
          <w:p>
            <w:pPr>
              <w:pStyle w:val="Compact"/>
            </w:pPr>
            <w:r>
              <w:rPr>
                <w:sz w:val="17"/>
              </w:rPr>
              <w:t xml:space="preserve">[ACTE REQUIS J28]</w:t>
            </w:r>
          </w:p>
        </w:tc>
      </w:tr>
      <w:tr>
        <w:tc>
          <w:tcPr/>
          <w:p>
            <w:pPr>
              <w:pStyle w:val="Compact"/>
            </w:pPr>
            <w:r>
              <w:rPr>
                <w:sz w:val="17"/>
              </w:rPr>
              <w:t xml:space="preserve">—</w:t>
            </w:r>
          </w:p>
        </w:tc>
        <w:tc>
          <w:tcPr/>
          <w:p>
            <w:pPr>
              <w:pStyle w:val="Compact"/>
            </w:pPr>
            <w:r>
              <w:rPr>
                <w:sz w:val="17"/>
              </w:rPr>
              <w:t xml:space="preserve">Acte instituant la clé 10/10/10/70 et convention tripartite</w:t>
            </w:r>
          </w:p>
        </w:tc>
        <w:tc>
          <w:tcPr/>
          <w:p>
            <w:pPr>
              <w:pStyle w:val="Compact"/>
            </w:pPr>
            <w:r>
              <w:rPr>
                <w:sz w:val="17"/>
              </w:rPr>
              <w:t xml:space="preserve">—</w:t>
            </w:r>
          </w:p>
        </w:tc>
        <w:tc>
          <w:tcPr/>
          <w:p>
            <w:pPr>
              <w:pStyle w:val="Compact"/>
            </w:pPr>
            <w:r>
              <w:rPr>
                <w:sz w:val="17"/>
              </w:rPr>
              <w:t xml:space="preserve">—</w:t>
            </w:r>
          </w:p>
        </w:tc>
        <w:tc>
          <w:tcPr/>
          <w:p>
            <w:pPr>
              <w:pStyle w:val="Compact"/>
            </w:pPr>
            <w:r>
              <w:rPr>
                <w:b/>
                <w:bCs/>
                <w:sz w:val="17"/>
              </w:rPr>
              <w:t xml:space="preserve">Non retenue</w:t>
            </w:r>
            <w:r>
              <w:rPr>
                <w:sz w:val="17"/>
              </w:rPr>
              <w:t xml:space="preserve"> </w:t>
            </w:r>
            <w:r>
              <w:rPr>
                <w:sz w:val="17"/>
              </w:rPr>
              <w:t xml:space="preserve">(ARB-01)</w:t>
            </w:r>
          </w:p>
        </w:tc>
      </w:tr>
    </w:tbl>
    <w:bookmarkEnd w:id="540"/>
    <w:bookmarkEnd w:id="541"/>
    <w:bookmarkStart w:id="568" w:name="h.27-verticales-sectorielles-détaillées"/>
    <w:p>
      <w:pPr>
        <w:pStyle w:val="Heading2"/>
      </w:pPr>
      <w:r>
        <w:t xml:space="preserve">H.27 Verticales sectorielles détaillées</w:t>
      </w:r>
    </w:p>
    <w:p>
      <w:pPr>
        <w:pStyle w:val="FirstParagraph"/>
      </w:pPr>
      <w:r>
        <w:t xml:space="preserve">Chaque verticale est décrite selon la même grille : finalité, modules, flux de bout en bout, titres, contrôles, indicateurs, prérequis juridiques, release.</w:t>
      </w:r>
      <w:r>
        <w:t xml:space="preserve"> </w:t>
      </w:r>
      <w:r>
        <w:rPr>
          <w:b/>
          <w:bCs/>
        </w:rPr>
        <w:t xml:space="preserve">Doctrine commune</w:t>
      </w:r>
      <w:r>
        <w:t xml:space="preserve"> </w:t>
      </w:r>
      <w:r>
        <w:t xml:space="preserve">: aucune verticale ne possède son propre compte contribuable, ses propres règles hors registre ni son propre circuit de paiement ; l’agent constate, l’autorité décide (RW1) ; zéro espèce entre les mains des agents (RW2) ; aucune activation sans certification (RW3) ; chiffres des dossiers sources marqués (RW4).</w:t>
      </w:r>
    </w:p>
    <w:bookmarkStart w:id="542" w:name="Xa94b32800d0a65e4127d75694e50309e09610e5"/>
    <w:p>
      <w:pPr>
        <w:pStyle w:val="Heading3"/>
      </w:pPr>
      <w:r>
        <w:t xml:space="preserve">H.27.1 Property — foncier et plaque fiscale immobilière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Rubrique</w:t>
            </w:r>
          </w:p>
        </w:tc>
        <w:tc>
          <w:tcPr>
            <w:shd w:val="clear" w:color="auto" w:fill="232C6B"/>
          </w:tcPr>
          <w:p>
            <w:pPr>
              <w:pStyle w:val="Compact"/>
            </w:pPr>
            <w:r>
              <w:rPr>
                <w:b/>
                <w:color w:val="FFFFFF"/>
                <w:sz w:val="17"/>
              </w:rPr>
              <w:t xml:space="preserve">Contenu</w:t>
            </w:r>
          </w:p>
        </w:tc>
      </w:tr>
      <w:tr>
        <w:tc>
          <w:tcPr/>
          <w:p>
            <w:pPr>
              <w:pStyle w:val="Compact"/>
            </w:pPr>
            <w:r>
              <w:rPr>
                <w:sz w:val="17"/>
              </w:rPr>
              <w:t xml:space="preserve">Finalité</w:t>
            </w:r>
          </w:p>
        </w:tc>
        <w:tc>
          <w:tcPr/>
          <w:p>
            <w:pPr>
              <w:pStyle w:val="Compact"/>
            </w:pPr>
            <w:r>
              <w:rPr>
                <w:sz w:val="17"/>
              </w:rPr>
              <w:t xml:space="preserve">Identifier chaque parcelle et chaque bâtiment, les rattacher à un redevable vérifié et liquider l’impôt foncier sur des faits établis</w:t>
            </w:r>
          </w:p>
        </w:tc>
      </w:tr>
      <w:tr>
        <w:tc>
          <w:tcPr>
            <w:shd w:val="clear" w:color="auto" w:fill="F5F7FB"/>
          </w:tcPr>
          <w:p>
            <w:pPr>
              <w:pStyle w:val="Compact"/>
            </w:pPr>
            <w:r>
              <w:rPr>
                <w:sz w:val="17"/>
              </w:rPr>
              <w:t xml:space="preserve">Modules</w:t>
            </w:r>
          </w:p>
        </w:tc>
        <w:tc>
          <w:tcPr>
            <w:shd w:val="clear" w:color="auto" w:fill="F5F7FB"/>
          </w:tcPr>
          <w:p>
            <w:pPr>
              <w:pStyle w:val="Compact"/>
            </w:pPr>
            <w:r>
              <w:rPr>
                <w:sz w:val="17"/>
              </w:rPr>
              <w:t xml:space="preserve">7, 8, 9, 34, 79, 82</w:t>
            </w:r>
          </w:p>
        </w:tc>
      </w:tr>
      <w:tr>
        <w:tc>
          <w:tcPr/>
          <w:p>
            <w:pPr>
              <w:pStyle w:val="Compact"/>
            </w:pPr>
            <w:r>
              <w:rPr>
                <w:sz w:val="17"/>
              </w:rPr>
              <w:t xml:space="preserve">Flux</w:t>
            </w:r>
          </w:p>
        </w:tc>
        <w:tc>
          <w:tcPr/>
          <w:p>
            <w:pPr>
              <w:pStyle w:val="Compact"/>
            </w:pPr>
            <w:r>
              <w:rPr>
                <w:sz w:val="17"/>
              </w:rPr>
              <w:t xml:space="preserve">Recensement de la parcelle et des bâtiments (34) → géolocalisation et IGF (8) → rattachement du propriétaire avec preuve (7) → pose de la plaque (79) → liquidation IF sur règle active (26, 27) → paiement, quittance, statut « payé » au scan agent (28, 31, 71) → quitus (82)</w:t>
            </w:r>
          </w:p>
        </w:tc>
      </w:tr>
      <w:tr>
        <w:tc>
          <w:tcPr>
            <w:shd w:val="clear" w:color="auto" w:fill="F5F7FB"/>
          </w:tcPr>
          <w:p>
            <w:pPr>
              <w:pStyle w:val="Compact"/>
            </w:pPr>
            <w:r>
              <w:rPr>
                <w:sz w:val="17"/>
              </w:rPr>
              <w:t xml:space="preserve">Titres</w:t>
            </w:r>
          </w:p>
        </w:tc>
        <w:tc>
          <w:tcPr>
            <w:shd w:val="clear" w:color="auto" w:fill="F5F7FB"/>
          </w:tcPr>
          <w:p>
            <w:pPr>
              <w:pStyle w:val="Compact"/>
            </w:pPr>
            <w:r>
              <w:rPr>
                <w:sz w:val="17"/>
              </w:rPr>
              <w:t xml:space="preserve">Quittance annuelle IF + statut de l’objet ; quitus fiscal</w:t>
            </w:r>
          </w:p>
        </w:tc>
      </w:tr>
      <w:tr>
        <w:tc>
          <w:tcPr/>
          <w:p>
            <w:pPr>
              <w:pStyle w:val="Compact"/>
            </w:pPr>
            <w:r>
              <w:rPr>
                <w:sz w:val="17"/>
              </w:rPr>
              <w:t xml:space="preserve">Contrôles</w:t>
            </w:r>
          </w:p>
        </w:tc>
        <w:tc>
          <w:tcPr/>
          <w:p>
            <w:pPr>
              <w:pStyle w:val="Compact"/>
            </w:pPr>
            <w:r>
              <w:rPr>
                <w:sz w:val="17"/>
              </w:rPr>
              <w:t xml:space="preserve">Propriété déclarée / observée / vérifiée / contestée ;</w:t>
            </w:r>
            <w:r>
              <w:rPr>
                <w:sz w:val="17"/>
              </w:rPr>
              <w:t xml:space="preserve"> </w:t>
            </w:r>
            <w:r>
              <w:rPr>
                <w:b/>
                <w:bCs/>
                <w:sz w:val="17"/>
              </w:rPr>
              <w:t xml:space="preserve">blocage des mutations sans quitus seulement si l’acte le prévoit</w:t>
            </w:r>
            <w:r>
              <w:rPr>
                <w:sz w:val="17"/>
              </w:rPr>
              <w:t xml:space="preserve"> </w:t>
            </w:r>
            <w:r>
              <w:rPr>
                <w:sz w:val="17"/>
              </w:rPr>
              <w:t xml:space="preserve">(J6) ; requalification bâti / non bâti</w:t>
            </w:r>
            <w:r>
              <w:rPr>
                <w:sz w:val="17"/>
              </w:rPr>
              <w:t xml:space="preserve"> </w:t>
            </w:r>
            <w:r>
              <w:rPr>
                <w:b/>
                <w:bCs/>
                <w:sz w:val="17"/>
              </w:rPr>
              <w:t xml:space="preserve">après visite</w:t>
            </w:r>
            <w:r>
              <w:rPr>
                <w:sz w:val="17"/>
              </w:rPr>
              <w:t xml:space="preserve"> </w:t>
            </w:r>
            <w:r>
              <w:rPr>
                <w:sz w:val="17"/>
              </w:rPr>
              <w:t xml:space="preserve">; scan public minimal (§ H.9.1)</w:t>
            </w:r>
          </w:p>
        </w:tc>
      </w:tr>
      <w:tr>
        <w:tc>
          <w:tcPr>
            <w:shd w:val="clear" w:color="auto" w:fill="F5F7FB"/>
          </w:tcPr>
          <w:p>
            <w:pPr>
              <w:pStyle w:val="Compact"/>
            </w:pPr>
            <w:r>
              <w:rPr>
                <w:sz w:val="17"/>
              </w:rPr>
              <w:t xml:space="preserve">Indicateurs</w:t>
            </w:r>
          </w:p>
        </w:tc>
        <w:tc>
          <w:tcPr>
            <w:shd w:val="clear" w:color="auto" w:fill="F5F7FB"/>
          </w:tcPr>
          <w:p>
            <w:pPr>
              <w:pStyle w:val="Compact"/>
            </w:pPr>
            <w:r>
              <w:rPr>
                <w:sz w:val="17"/>
              </w:rPr>
              <w:t xml:space="preserve">Parcelles recensées / estimées ; rattachement N2+ ; conformité IF ; maisons immatriculées (plaques posées)</w:t>
            </w:r>
          </w:p>
        </w:tc>
      </w:tr>
      <w:tr>
        <w:tc>
          <w:tcPr/>
          <w:p>
            <w:pPr>
              <w:pStyle w:val="Compact"/>
            </w:pPr>
            <w:r>
              <w:rPr>
                <w:sz w:val="17"/>
              </w:rPr>
              <w:t xml:space="preserve">Prérequis juridiques</w:t>
            </w:r>
          </w:p>
        </w:tc>
        <w:tc>
          <w:tcPr/>
          <w:p>
            <w:pPr>
              <w:pStyle w:val="Compact"/>
            </w:pPr>
            <w:r>
              <w:rPr>
                <w:sz w:val="17"/>
              </w:rPr>
              <w:t xml:space="preserve">Barèmes IF 2026 (J3) ; Édit n° 005/2021 (J4) ; acte NFIU pour l’obligation de plaque (J27) ; quitus (J6)</w:t>
            </w:r>
          </w:p>
        </w:tc>
      </w:tr>
      <w:tr>
        <w:tc>
          <w:tcPr>
            <w:shd w:val="clear" w:color="auto" w:fill="F5F7FB"/>
          </w:tcPr>
          <w:p>
            <w:pPr>
              <w:pStyle w:val="Compact"/>
            </w:pPr>
            <w:r>
              <w:rPr>
                <w:sz w:val="17"/>
              </w:rPr>
              <w:t xml:space="preserve">Release</w:t>
            </w:r>
          </w:p>
        </w:tc>
        <w:tc>
          <w:tcPr>
            <w:shd w:val="clear" w:color="auto" w:fill="F5F7FB"/>
          </w:tcPr>
          <w:p>
            <w:pPr>
              <w:pStyle w:val="Compact"/>
            </w:pPr>
            <w:r>
              <w:rPr>
                <w:sz w:val="17"/>
              </w:rPr>
              <w:t xml:space="preserve">SF : R1 (7, 8, 9), R1–R2 (79) → v3.0 : R0 (recensement, plaques dans les quartiers échantillons), R1 (liquidation IF), R2 (module 79 complet)</w:t>
            </w:r>
          </w:p>
        </w:tc>
      </w:tr>
    </w:tbl>
    <w:bookmarkEnd w:id="542"/>
    <w:bookmarkStart w:id="543" w:name="h.27.2-rental-revenus-locatifs"/>
    <w:p>
      <w:pPr>
        <w:pStyle w:val="Heading3"/>
      </w:pPr>
      <w:r>
        <w:t xml:space="preserve">H.27.2 Rental — revenus locatifs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Rubrique</w:t>
            </w:r>
          </w:p>
        </w:tc>
        <w:tc>
          <w:tcPr>
            <w:shd w:val="clear" w:color="auto" w:fill="232C6B"/>
          </w:tcPr>
          <w:p>
            <w:pPr>
              <w:pStyle w:val="Compact"/>
            </w:pPr>
            <w:r>
              <w:rPr>
                <w:b/>
                <w:color w:val="FFFFFF"/>
                <w:sz w:val="17"/>
              </w:rPr>
              <w:t xml:space="preserve">Contenu</w:t>
            </w:r>
          </w:p>
        </w:tc>
      </w:tr>
      <w:tr>
        <w:tc>
          <w:tcPr/>
          <w:p>
            <w:pPr>
              <w:pStyle w:val="Compact"/>
            </w:pPr>
            <w:r>
              <w:rPr>
                <w:sz w:val="17"/>
              </w:rPr>
              <w:t xml:space="preserve">Finalité</w:t>
            </w:r>
          </w:p>
        </w:tc>
        <w:tc>
          <w:tcPr/>
          <w:p>
            <w:pPr>
              <w:pStyle w:val="Compact"/>
            </w:pPr>
            <w:r>
              <w:rPr>
                <w:sz w:val="17"/>
              </w:rPr>
              <w:t xml:space="preserve">Porter à la connaissance de la Ville les unités louées et les loyers, gisement le plus élevé (§ 16)</w:t>
            </w:r>
          </w:p>
        </w:tc>
      </w:tr>
      <w:tr>
        <w:tc>
          <w:tcPr>
            <w:shd w:val="clear" w:color="auto" w:fill="F5F7FB"/>
          </w:tcPr>
          <w:p>
            <w:pPr>
              <w:pStyle w:val="Compact"/>
            </w:pPr>
            <w:r>
              <w:rPr>
                <w:sz w:val="17"/>
              </w:rPr>
              <w:t xml:space="preserve">Modules</w:t>
            </w:r>
          </w:p>
        </w:tc>
        <w:tc>
          <w:tcPr>
            <w:shd w:val="clear" w:color="auto" w:fill="F5F7FB"/>
          </w:tcPr>
          <w:p>
            <w:pPr>
              <w:pStyle w:val="Compact"/>
            </w:pPr>
            <w:r>
              <w:rPr>
                <w:sz w:val="17"/>
              </w:rPr>
              <w:t xml:space="preserve">9, 61, 79</w:t>
            </w:r>
          </w:p>
        </w:tc>
      </w:tr>
      <w:tr>
        <w:tc>
          <w:tcPr/>
          <w:p>
            <w:pPr>
              <w:pStyle w:val="Compact"/>
            </w:pPr>
            <w:r>
              <w:rPr>
                <w:sz w:val="17"/>
              </w:rPr>
              <w:t xml:space="preserve">Flux</w:t>
            </w:r>
          </w:p>
        </w:tc>
        <w:tc>
          <w:tcPr/>
          <w:p>
            <w:pPr>
              <w:pStyle w:val="Compact"/>
            </w:pPr>
            <w:r>
              <w:rPr>
                <w:sz w:val="17"/>
              </w:rPr>
              <w:t xml:space="preserve">Signal (compteurs multiples, indemnités de logement, imagerie, annonces) → dossier de vérification (61) → déclaration du bail (bailleur ou locataire, attestation QR) → calcul de la retenue et de l’IRL → attestation au locataire → campagne pré-remplie de février → rapprochement annuel retenues ↔ déclaration du bailleur</w:t>
            </w:r>
          </w:p>
        </w:tc>
      </w:tr>
      <w:tr>
        <w:tc>
          <w:tcPr>
            <w:shd w:val="clear" w:color="auto" w:fill="F5F7FB"/>
          </w:tcPr>
          <w:p>
            <w:pPr>
              <w:pStyle w:val="Compact"/>
            </w:pPr>
            <w:r>
              <w:rPr>
                <w:sz w:val="17"/>
              </w:rPr>
              <w:t xml:space="preserve">Titres</w:t>
            </w:r>
          </w:p>
        </w:tc>
        <w:tc>
          <w:tcPr>
            <w:shd w:val="clear" w:color="auto" w:fill="F5F7FB"/>
          </w:tcPr>
          <w:p>
            <w:pPr>
              <w:pStyle w:val="Compact"/>
            </w:pPr>
            <w:r>
              <w:rPr>
                <w:sz w:val="17"/>
              </w:rPr>
              <w:t xml:space="preserve">Attestation de bail enregistré ; attestation de retenue ; quittance IRL</w:t>
            </w:r>
          </w:p>
        </w:tc>
      </w:tr>
      <w:tr>
        <w:tc>
          <w:tcPr/>
          <w:p>
            <w:pPr>
              <w:pStyle w:val="Compact"/>
            </w:pPr>
            <w:r>
              <w:rPr>
                <w:sz w:val="17"/>
              </w:rPr>
              <w:t xml:space="preserve">Contrôles</w:t>
            </w:r>
          </w:p>
        </w:tc>
        <w:tc>
          <w:tcPr/>
          <w:p>
            <w:pPr>
              <w:pStyle w:val="Compact"/>
            </w:pPr>
            <w:r>
              <w:rPr>
                <w:b/>
                <w:bCs/>
                <w:sz w:val="17"/>
              </w:rPr>
              <w:t xml:space="preserve">Aucune dette sur un signal</w:t>
            </w:r>
            <w:r>
              <w:rPr>
                <w:sz w:val="17"/>
              </w:rPr>
              <w:t xml:space="preserve"> </w:t>
            </w:r>
            <w:r>
              <w:rPr>
                <w:sz w:val="17"/>
              </w:rPr>
              <w:t xml:space="preserve">; taux 22 % / 17 % et retenue 20 % / 15 % par rang (§ 6.4) ; loyer et identité du locataire visibles des seuls rôles habilités ; protection du locataire déclarant (§ H.7.7)</w:t>
            </w:r>
          </w:p>
        </w:tc>
      </w:tr>
      <w:tr>
        <w:tc>
          <w:tcPr>
            <w:shd w:val="clear" w:color="auto" w:fill="F5F7FB"/>
          </w:tcPr>
          <w:p>
            <w:pPr>
              <w:pStyle w:val="Compact"/>
            </w:pPr>
            <w:r>
              <w:rPr>
                <w:sz w:val="17"/>
              </w:rPr>
              <w:t xml:space="preserve">Indicateurs</w:t>
            </w:r>
          </w:p>
        </w:tc>
        <w:tc>
          <w:tcPr>
            <w:shd w:val="clear" w:color="auto" w:fill="F5F7FB"/>
          </w:tcPr>
          <w:p>
            <w:pPr>
              <w:pStyle w:val="Compact"/>
            </w:pPr>
            <w:r>
              <w:rPr>
                <w:sz w:val="17"/>
              </w:rPr>
              <w:t xml:space="preserve">Baux enregistrés ; couverture locative ; assiette IRL vérifiée ; conformité ; unités louables recensées</w:t>
            </w:r>
          </w:p>
        </w:tc>
      </w:tr>
      <w:tr>
        <w:tc>
          <w:tcPr/>
          <w:p>
            <w:pPr>
              <w:pStyle w:val="Compact"/>
            </w:pPr>
            <w:r>
              <w:rPr>
                <w:sz w:val="17"/>
              </w:rPr>
              <w:t xml:space="preserve">Prérequis juridiques</w:t>
            </w:r>
          </w:p>
        </w:tc>
        <w:tc>
          <w:tcPr/>
          <w:p>
            <w:pPr>
              <w:pStyle w:val="Compact"/>
            </w:pPr>
            <w:r>
              <w:rPr>
                <w:sz w:val="17"/>
              </w:rPr>
              <w:t xml:space="preserve">Arrêté des taux (J3) ; agents de retenue (J3) ; élargissement 2026 (édit, J3) ; protocoles énergie, eau, employeurs (J13)</w:t>
            </w:r>
          </w:p>
        </w:tc>
      </w:tr>
      <w:tr>
        <w:tc>
          <w:tcPr>
            <w:shd w:val="clear" w:color="auto" w:fill="F5F7FB"/>
          </w:tcPr>
          <w:p>
            <w:pPr>
              <w:pStyle w:val="Compact"/>
            </w:pPr>
            <w:r>
              <w:rPr>
                <w:sz w:val="17"/>
              </w:rPr>
              <w:t xml:space="preserve">Release</w:t>
            </w:r>
          </w:p>
        </w:tc>
        <w:tc>
          <w:tcPr>
            <w:shd w:val="clear" w:color="auto" w:fill="F5F7FB"/>
          </w:tcPr>
          <w:p>
            <w:pPr>
              <w:pStyle w:val="Compact"/>
            </w:pPr>
            <w:r>
              <w:rPr>
                <w:sz w:val="17"/>
              </w:rPr>
              <w:t xml:space="preserve">SF : R1 → v3.0 : R0 (recensement), R1 (liquidation)</w:t>
            </w:r>
          </w:p>
        </w:tc>
      </w:tr>
    </w:tbl>
    <w:bookmarkEnd w:id="543"/>
    <w:bookmarkStart w:id="544" w:name="Xd90e560107b2a93965f90becdc29a5a88f6c4f4"/>
    <w:p>
      <w:pPr>
        <w:pStyle w:val="Heading3"/>
      </w:pPr>
      <w:r>
        <w:t xml:space="preserve">H.27.3 Business — activités, patentes, débits de boissons, grands redevables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Rubrique</w:t>
            </w:r>
          </w:p>
        </w:tc>
        <w:tc>
          <w:tcPr>
            <w:shd w:val="clear" w:color="auto" w:fill="232C6B"/>
          </w:tcPr>
          <w:p>
            <w:pPr>
              <w:pStyle w:val="Compact"/>
            </w:pPr>
            <w:r>
              <w:rPr>
                <w:b/>
                <w:color w:val="FFFFFF"/>
                <w:sz w:val="17"/>
              </w:rPr>
              <w:t xml:space="preserve">Contenu</w:t>
            </w:r>
          </w:p>
        </w:tc>
      </w:tr>
      <w:tr>
        <w:tc>
          <w:tcPr/>
          <w:p>
            <w:pPr>
              <w:pStyle w:val="Compact"/>
            </w:pPr>
            <w:r>
              <w:rPr>
                <w:sz w:val="17"/>
              </w:rPr>
              <w:t xml:space="preserve">Finalité</w:t>
            </w:r>
          </w:p>
        </w:tc>
        <w:tc>
          <w:tcPr/>
          <w:p>
            <w:pPr>
              <w:pStyle w:val="Compact"/>
            </w:pPr>
            <w:r>
              <w:rPr>
                <w:sz w:val="17"/>
              </w:rPr>
              <w:t xml:space="preserve">Recenser établissements et activités, délivrer patentes et autorisations, fiabiliser les recettes concentrées</w:t>
            </w:r>
          </w:p>
        </w:tc>
      </w:tr>
      <w:tr>
        <w:tc>
          <w:tcPr>
            <w:shd w:val="clear" w:color="auto" w:fill="F5F7FB"/>
          </w:tcPr>
          <w:p>
            <w:pPr>
              <w:pStyle w:val="Compact"/>
            </w:pPr>
            <w:r>
              <w:rPr>
                <w:sz w:val="17"/>
              </w:rPr>
              <w:t xml:space="preserve">Modules</w:t>
            </w:r>
          </w:p>
        </w:tc>
        <w:tc>
          <w:tcPr>
            <w:shd w:val="clear" w:color="auto" w:fill="F5F7FB"/>
          </w:tcPr>
          <w:p>
            <w:pPr>
              <w:pStyle w:val="Compact"/>
            </w:pPr>
            <w:r>
              <w:rPr>
                <w:sz w:val="17"/>
              </w:rPr>
              <w:t xml:space="preserve">10, 17, 56</w:t>
            </w:r>
          </w:p>
        </w:tc>
      </w:tr>
      <w:tr>
        <w:tc>
          <w:tcPr/>
          <w:p>
            <w:pPr>
              <w:pStyle w:val="Compact"/>
            </w:pPr>
            <w:r>
              <w:rPr>
                <w:sz w:val="17"/>
              </w:rPr>
              <w:t xml:space="preserve">Flux</w:t>
            </w:r>
          </w:p>
        </w:tc>
        <w:tc>
          <w:tcPr/>
          <w:p>
            <w:pPr>
              <w:pStyle w:val="Compact"/>
            </w:pPr>
            <w:r>
              <w:rPr>
                <w:sz w:val="17"/>
              </w:rPr>
              <w:t xml:space="preserve">Établissement + dirigeants → obligations par activité, lieu, catégorie, période → patente et autorisations avec QR « en règle » sur devanture → recoupements (codes marchands de monnaie mobile, livraisons des brasseries à moins de 50 m, RCCM) → cellule grands redevables (déclarations mensuelles de volumes rapprochées des accises et de la facturation)</w:t>
            </w:r>
          </w:p>
        </w:tc>
      </w:tr>
      <w:tr>
        <w:tc>
          <w:tcPr>
            <w:shd w:val="clear" w:color="auto" w:fill="F5F7FB"/>
          </w:tcPr>
          <w:p>
            <w:pPr>
              <w:pStyle w:val="Compact"/>
            </w:pPr>
            <w:r>
              <w:rPr>
                <w:sz w:val="17"/>
              </w:rPr>
              <w:t xml:space="preserve">Titres</w:t>
            </w:r>
          </w:p>
        </w:tc>
        <w:tc>
          <w:tcPr>
            <w:shd w:val="clear" w:color="auto" w:fill="F5F7FB"/>
          </w:tcPr>
          <w:p>
            <w:pPr>
              <w:pStyle w:val="Compact"/>
            </w:pPr>
            <w:r>
              <w:rPr>
                <w:sz w:val="17"/>
              </w:rPr>
              <w:t xml:space="preserve">Certificat de patente ; autorisation de débit de boissons (catégorie, horaires)</w:t>
            </w:r>
          </w:p>
        </w:tc>
      </w:tr>
      <w:tr>
        <w:tc>
          <w:tcPr/>
          <w:p>
            <w:pPr>
              <w:pStyle w:val="Compact"/>
            </w:pPr>
            <w:r>
              <w:rPr>
                <w:sz w:val="17"/>
              </w:rPr>
              <w:t xml:space="preserve">Contrôles</w:t>
            </w:r>
          </w:p>
        </w:tc>
        <w:tc>
          <w:tcPr/>
          <w:p>
            <w:pPr>
              <w:pStyle w:val="Compact"/>
            </w:pPr>
            <w:r>
              <w:rPr>
                <w:b/>
                <w:bCs/>
                <w:sz w:val="17"/>
              </w:rPr>
              <w:t xml:space="preserve">L’existence d’une activité ne vaut pas assujettissement</w:t>
            </w:r>
            <w:r>
              <w:rPr>
                <w:sz w:val="17"/>
              </w:rPr>
              <w:t xml:space="preserve"> </w:t>
            </w:r>
            <w:r>
              <w:rPr>
                <w:sz w:val="17"/>
              </w:rPr>
              <w:t xml:space="preserve">(seuils, régimes) ; aucune visite sans mission autorisée ; rotation des gestionnaires de grands redevables ; accès restreint aux données commerciales sensibles</w:t>
            </w:r>
          </w:p>
        </w:tc>
      </w:tr>
      <w:tr>
        <w:tc>
          <w:tcPr>
            <w:shd w:val="clear" w:color="auto" w:fill="F5F7FB"/>
          </w:tcPr>
          <w:p>
            <w:pPr>
              <w:pStyle w:val="Compact"/>
            </w:pPr>
            <w:r>
              <w:rPr>
                <w:sz w:val="17"/>
              </w:rPr>
              <w:t xml:space="preserve">Indicateurs</w:t>
            </w:r>
          </w:p>
        </w:tc>
        <w:tc>
          <w:tcPr>
            <w:shd w:val="clear" w:color="auto" w:fill="F5F7FB"/>
          </w:tcPr>
          <w:p>
            <w:pPr>
              <w:pStyle w:val="Compact"/>
            </w:pPr>
            <w:r>
              <w:rPr>
                <w:sz w:val="17"/>
              </w:rPr>
              <w:t xml:space="preserve">Établissements recensés ; patentes actives ; renouvellements à temps ; commerces non enregistrés détectés ; volumes déclarés vs rapprochés ; recettes grands redevables</w:t>
            </w:r>
          </w:p>
        </w:tc>
      </w:tr>
      <w:tr>
        <w:tc>
          <w:tcPr/>
          <w:p>
            <w:pPr>
              <w:pStyle w:val="Compact"/>
            </w:pPr>
            <w:r>
              <w:rPr>
                <w:sz w:val="17"/>
              </w:rPr>
              <w:t xml:space="preserve">Prérequis juridiques</w:t>
            </w:r>
          </w:p>
        </w:tc>
        <w:tc>
          <w:tcPr/>
          <w:p>
            <w:pPr>
              <w:pStyle w:val="Compact"/>
            </w:pPr>
            <w:r>
              <w:rPr>
                <w:sz w:val="17"/>
              </w:rPr>
              <w:t xml:space="preserve">Liste des taxes d’intérêt commun et clés (J1) ; protocoles brasseries et opérateurs (J13) ; conventions de déclaration des grands redevables</w:t>
            </w:r>
          </w:p>
        </w:tc>
      </w:tr>
      <w:tr>
        <w:tc>
          <w:tcPr>
            <w:shd w:val="clear" w:color="auto" w:fill="F5F7FB"/>
          </w:tcPr>
          <w:p>
            <w:pPr>
              <w:pStyle w:val="Compact"/>
            </w:pPr>
            <w:r>
              <w:rPr>
                <w:sz w:val="17"/>
              </w:rPr>
              <w:t xml:space="preserve">Release</w:t>
            </w:r>
          </w:p>
        </w:tc>
        <w:tc>
          <w:tcPr>
            <w:shd w:val="clear" w:color="auto" w:fill="F5F7FB"/>
          </w:tcPr>
          <w:p>
            <w:pPr>
              <w:pStyle w:val="Compact"/>
            </w:pPr>
            <w:r>
              <w:rPr>
                <w:sz w:val="17"/>
              </w:rPr>
              <w:t xml:space="preserve">SF : R1–R2 (10), R2 (17, 56) → v3.0 : R2</w:t>
            </w:r>
          </w:p>
        </w:tc>
      </w:tr>
    </w:tbl>
    <w:bookmarkEnd w:id="544"/>
    <w:bookmarkStart w:id="545" w:name="Xf6754684ba7d951f70a67080eb6b98ad2f268f5"/>
    <w:p>
      <w:pPr>
        <w:pStyle w:val="Heading3"/>
      </w:pPr>
      <w:r>
        <w:t xml:space="preserve">H.27.4 Mobility — véhicules, circulation, autorisations de transport, péage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Rubrique</w:t>
            </w:r>
          </w:p>
        </w:tc>
        <w:tc>
          <w:tcPr>
            <w:shd w:val="clear" w:color="auto" w:fill="232C6B"/>
          </w:tcPr>
          <w:p>
            <w:pPr>
              <w:pStyle w:val="Compact"/>
            </w:pPr>
            <w:r>
              <w:rPr>
                <w:b/>
                <w:color w:val="FFFFFF"/>
                <w:sz w:val="17"/>
              </w:rPr>
              <w:t xml:space="preserve">Contenu</w:t>
            </w:r>
          </w:p>
        </w:tc>
      </w:tr>
      <w:tr>
        <w:tc>
          <w:tcPr/>
          <w:p>
            <w:pPr>
              <w:pStyle w:val="Compact"/>
            </w:pPr>
            <w:r>
              <w:rPr>
                <w:sz w:val="17"/>
              </w:rPr>
              <w:t xml:space="preserve">Finalité</w:t>
            </w:r>
          </w:p>
        </w:tc>
        <w:tc>
          <w:tcPr/>
          <w:p>
            <w:pPr>
              <w:pStyle w:val="Compact"/>
            </w:pPr>
            <w:r>
              <w:rPr>
                <w:sz w:val="17"/>
              </w:rPr>
              <w:t xml:space="preserve">Rapprocher le parc immatriculé, la vignette, la taxe de circulation et les autorisations de transport, avec contrôle par plaque</w:t>
            </w:r>
          </w:p>
        </w:tc>
      </w:tr>
      <w:tr>
        <w:tc>
          <w:tcPr>
            <w:shd w:val="clear" w:color="auto" w:fill="F5F7FB"/>
          </w:tcPr>
          <w:p>
            <w:pPr>
              <w:pStyle w:val="Compact"/>
            </w:pPr>
            <w:r>
              <w:rPr>
                <w:sz w:val="17"/>
              </w:rPr>
              <w:t xml:space="preserve">Modules</w:t>
            </w:r>
          </w:p>
        </w:tc>
        <w:tc>
          <w:tcPr>
            <w:shd w:val="clear" w:color="auto" w:fill="F5F7FB"/>
          </w:tcPr>
          <w:p>
            <w:pPr>
              <w:pStyle w:val="Compact"/>
            </w:pPr>
            <w:r>
              <w:rPr>
                <w:sz w:val="17"/>
              </w:rPr>
              <w:t xml:space="preserve">11, 12, 25, 76, 82</w:t>
            </w:r>
          </w:p>
        </w:tc>
      </w:tr>
      <w:tr>
        <w:tc>
          <w:tcPr/>
          <w:p>
            <w:pPr>
              <w:pStyle w:val="Compact"/>
            </w:pPr>
            <w:r>
              <w:rPr>
                <w:sz w:val="17"/>
              </w:rPr>
              <w:t xml:space="preserve">Flux</w:t>
            </w:r>
          </w:p>
        </w:tc>
        <w:tc>
          <w:tcPr/>
          <w:p>
            <w:pPr>
              <w:pStyle w:val="Compact"/>
            </w:pPr>
            <w:r>
              <w:rPr>
                <w:sz w:val="17"/>
              </w:rPr>
              <w:t xml:space="preserve">Import et rapprochement du fichier des immatriculations (protocole) → liquidation vignette + taxe de circulation par catégorie et exercice (même objet, même scan) → autorisations de transport (taxi, bus, minibus, moto-taxi, poids lourds ; corridors et zones) conditionnées à la vignette si la règle l’exige → péage lié à la plaque → contrôle par plaque en ligne et hors ligne</w:t>
            </w:r>
          </w:p>
        </w:tc>
      </w:tr>
      <w:tr>
        <w:tc>
          <w:tcPr>
            <w:shd w:val="clear" w:color="auto" w:fill="F5F7FB"/>
          </w:tcPr>
          <w:p>
            <w:pPr>
              <w:pStyle w:val="Compact"/>
            </w:pPr>
            <w:r>
              <w:rPr>
                <w:sz w:val="17"/>
              </w:rPr>
              <w:t xml:space="preserve">Titres</w:t>
            </w:r>
          </w:p>
        </w:tc>
        <w:tc>
          <w:tcPr>
            <w:shd w:val="clear" w:color="auto" w:fill="F5F7FB"/>
          </w:tcPr>
          <w:p>
            <w:pPr>
              <w:pStyle w:val="Compact"/>
            </w:pPr>
            <w:r>
              <w:rPr>
                <w:sz w:val="17"/>
              </w:rPr>
              <w:t xml:space="preserve">Vignette autocollante QR ; autorisation de transport + carte conducteur ; titres de péage (passage, carnet, abonnement)</w:t>
            </w:r>
          </w:p>
        </w:tc>
      </w:tr>
      <w:tr>
        <w:tc>
          <w:tcPr/>
          <w:p>
            <w:pPr>
              <w:pStyle w:val="Compact"/>
            </w:pPr>
            <w:r>
              <w:rPr>
                <w:sz w:val="17"/>
              </w:rPr>
              <w:t xml:space="preserve">Contrôles</w:t>
            </w:r>
          </w:p>
        </w:tc>
        <w:tc>
          <w:tcPr/>
          <w:p>
            <w:pPr>
              <w:pStyle w:val="Compact"/>
            </w:pPr>
            <w:r>
              <w:rPr>
                <w:sz w:val="17"/>
              </w:rPr>
              <w:t xml:space="preserve">Mutations conditionnées au quitus seulement si l’acte le prévoit ;</w:t>
            </w:r>
            <w:r>
              <w:rPr>
                <w:sz w:val="17"/>
              </w:rPr>
              <w:t xml:space="preserve"> </w:t>
            </w:r>
            <w:r>
              <w:rPr>
                <w:b/>
                <w:bCs/>
                <w:sz w:val="17"/>
              </w:rPr>
              <w:t xml:space="preserve">aucune immobilisation algorithmique</w:t>
            </w:r>
            <w:r>
              <w:rPr>
                <w:sz w:val="17"/>
              </w:rPr>
              <w:t xml:space="preserve"> </w:t>
            </w:r>
            <w:r>
              <w:rPr>
                <w:sz w:val="17"/>
              </w:rPr>
              <w:t xml:space="preserve">; suspension d’autorisation uniquement par décision motivée ; consultation par plaque journalisée</w:t>
            </w:r>
          </w:p>
        </w:tc>
      </w:tr>
      <w:tr>
        <w:tc>
          <w:tcPr>
            <w:shd w:val="clear" w:color="auto" w:fill="F5F7FB"/>
          </w:tcPr>
          <w:p>
            <w:pPr>
              <w:pStyle w:val="Compact"/>
            </w:pPr>
            <w:r>
              <w:rPr>
                <w:sz w:val="17"/>
              </w:rPr>
              <w:t xml:space="preserve">Indicateurs</w:t>
            </w:r>
          </w:p>
        </w:tc>
        <w:tc>
          <w:tcPr>
            <w:shd w:val="clear" w:color="auto" w:fill="F5F7FB"/>
          </w:tcPr>
          <w:p>
            <w:pPr>
              <w:pStyle w:val="Compact"/>
            </w:pPr>
            <w:r>
              <w:rPr>
                <w:sz w:val="17"/>
              </w:rPr>
              <w:t xml:space="preserve">Couverture du parc ; taux de paiement ; contrôles par jour ; mutations bloquées puis régularisées ; autorisations actives ; renouvellements à temps ; passages et recettes par axe</w:t>
            </w:r>
          </w:p>
        </w:tc>
      </w:tr>
      <w:tr>
        <w:tc>
          <w:tcPr/>
          <w:p>
            <w:pPr>
              <w:pStyle w:val="Compact"/>
            </w:pPr>
            <w:r>
              <w:rPr>
                <w:sz w:val="17"/>
              </w:rPr>
              <w:t xml:space="preserve">Prérequis juridiques</w:t>
            </w:r>
          </w:p>
        </w:tc>
        <w:tc>
          <w:tcPr/>
          <w:p>
            <w:pPr>
              <w:pStyle w:val="Compact"/>
            </w:pPr>
            <w:r>
              <w:rPr>
                <w:sz w:val="17"/>
              </w:rPr>
              <w:t xml:space="preserve">Barèmes véhicules (J3) ; clé de la taxe spéciale de circulation (J1) ; protocole avec le pouvoir central (immatriculations) ; péage (acte, J1)</w:t>
            </w:r>
          </w:p>
        </w:tc>
      </w:tr>
      <w:tr>
        <w:tc>
          <w:tcPr>
            <w:shd w:val="clear" w:color="auto" w:fill="F5F7FB"/>
          </w:tcPr>
          <w:p>
            <w:pPr>
              <w:pStyle w:val="Compact"/>
            </w:pPr>
            <w:r>
              <w:rPr>
                <w:sz w:val="17"/>
              </w:rPr>
              <w:t xml:space="preserve">Release</w:t>
            </w:r>
          </w:p>
        </w:tc>
        <w:tc>
          <w:tcPr>
            <w:shd w:val="clear" w:color="auto" w:fill="F5F7FB"/>
          </w:tcPr>
          <w:p>
            <w:pPr>
              <w:pStyle w:val="Compact"/>
            </w:pPr>
            <w:r>
              <w:rPr>
                <w:sz w:val="17"/>
              </w:rPr>
              <w:t xml:space="preserve">SF : R1–R2 (11), R2 (12), R3 (25) → v3.0 : R2 (11, 12), R4 (25) ; véhicules dans le pilote à J90–J150</w:t>
            </w:r>
          </w:p>
        </w:tc>
      </w:tr>
    </w:tbl>
    <w:bookmarkEnd w:id="545"/>
    <w:bookmarkStart w:id="549" w:name="X73b7dcb484c5db5670e3a817a7231ca89abc229"/>
    <w:p>
      <w:pPr>
        <w:pStyle w:val="Heading3"/>
      </w:pPr>
      <w:r>
        <w:t xml:space="preserve">H.27.5 Parking — stationnement intelligent (ParkSmart)</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Rubrique</w:t>
            </w:r>
          </w:p>
        </w:tc>
        <w:tc>
          <w:tcPr>
            <w:shd w:val="clear" w:color="auto" w:fill="232C6B"/>
          </w:tcPr>
          <w:p>
            <w:pPr>
              <w:pStyle w:val="Compact"/>
            </w:pPr>
            <w:r>
              <w:rPr>
                <w:b/>
                <w:color w:val="FFFFFF"/>
                <w:sz w:val="17"/>
              </w:rPr>
              <w:t xml:space="preserve">Contenu</w:t>
            </w:r>
          </w:p>
        </w:tc>
      </w:tr>
      <w:tr>
        <w:tc>
          <w:tcPr/>
          <w:p>
            <w:pPr>
              <w:pStyle w:val="Compact"/>
            </w:pPr>
            <w:r>
              <w:rPr>
                <w:sz w:val="17"/>
              </w:rPr>
              <w:t xml:space="preserve">Finalité</w:t>
            </w:r>
          </w:p>
        </w:tc>
        <w:tc>
          <w:tcPr/>
          <w:p>
            <w:pPr>
              <w:pStyle w:val="Compact"/>
            </w:pPr>
            <w:r>
              <w:rPr>
                <w:sz w:val="17"/>
              </w:rPr>
              <w:t xml:space="preserve">Transformer le stationnement, aujourd’hui actif public non exploité (stationnement sauvage, trottoirs occupés, absence de rotation, collecte manuelle non auditée), en redevance de service traçable</w:t>
            </w:r>
          </w:p>
        </w:tc>
      </w:tr>
      <w:tr>
        <w:tc>
          <w:tcPr>
            <w:shd w:val="clear" w:color="auto" w:fill="F5F7FB"/>
          </w:tcPr>
          <w:p>
            <w:pPr>
              <w:pStyle w:val="Compact"/>
            </w:pPr>
            <w:r>
              <w:rPr>
                <w:sz w:val="17"/>
              </w:rPr>
              <w:t xml:space="preserve">Modules</w:t>
            </w:r>
          </w:p>
        </w:tc>
        <w:tc>
          <w:tcPr>
            <w:shd w:val="clear" w:color="auto" w:fill="F5F7FB"/>
          </w:tcPr>
          <w:p>
            <w:pPr>
              <w:pStyle w:val="Compact"/>
            </w:pPr>
            <w:r>
              <w:rPr>
                <w:sz w:val="17"/>
              </w:rPr>
              <w:t xml:space="preserve">14, 70, 71, 75, 76</w:t>
            </w:r>
          </w:p>
        </w:tc>
      </w:tr>
      <w:tr>
        <w:tc>
          <w:tcPr/>
          <w:p>
            <w:pPr>
              <w:pStyle w:val="Compact"/>
            </w:pPr>
            <w:r>
              <w:rPr>
                <w:sz w:val="17"/>
              </w:rPr>
              <w:t xml:space="preserve">Flux</w:t>
            </w:r>
          </w:p>
        </w:tc>
        <w:tc>
          <w:tcPr/>
          <w:p>
            <w:pPr>
              <w:pStyle w:val="Compact"/>
            </w:pPr>
            <w:r>
              <w:rPr>
                <w:sz w:val="17"/>
              </w:rPr>
              <w:t xml:space="preserve">Zones délimitées par acte → ticket lié à la plaque (achat, prolongation à distance : application, USSD, point agréé) → rappel ambre → contrôle par terminal ou caméra → constat par agent habilité + SMS → amende selon barème, contestable</w:t>
            </w:r>
          </w:p>
        </w:tc>
      </w:tr>
      <w:tr>
        <w:tc>
          <w:tcPr>
            <w:shd w:val="clear" w:color="auto" w:fill="F5F7FB"/>
          </w:tcPr>
          <w:p>
            <w:pPr>
              <w:pStyle w:val="Compact"/>
            </w:pPr>
            <w:r>
              <w:rPr>
                <w:sz w:val="17"/>
              </w:rPr>
              <w:t xml:space="preserve">Titres</w:t>
            </w:r>
          </w:p>
        </w:tc>
        <w:tc>
          <w:tcPr>
            <w:shd w:val="clear" w:color="auto" w:fill="F5F7FB"/>
          </w:tcPr>
          <w:p>
            <w:pPr>
              <w:pStyle w:val="Compact"/>
            </w:pPr>
            <w:r>
              <w:rPr>
                <w:sz w:val="17"/>
              </w:rPr>
              <w:t xml:space="preserve">Tickets 1 à 24 h, 7, 15, 30 jours ; abonnements résidentiels et professionnels virtuels liés à la plaque ; réservations de voirie</w:t>
            </w:r>
          </w:p>
        </w:tc>
      </w:tr>
      <w:tr>
        <w:tc>
          <w:tcPr/>
          <w:p>
            <w:pPr>
              <w:pStyle w:val="Compact"/>
            </w:pPr>
            <w:r>
              <w:rPr>
                <w:sz w:val="17"/>
              </w:rPr>
              <w:t xml:space="preserve">Contrôles</w:t>
            </w:r>
          </w:p>
        </w:tc>
        <w:tc>
          <w:tcPr/>
          <w:p>
            <w:pPr>
              <w:pStyle w:val="Compact"/>
            </w:pPr>
            <w:r>
              <w:rPr>
                <w:sz w:val="17"/>
              </w:rPr>
              <w:t xml:space="preserve">Pénalité uniquement selon le barème de l’acte, par constat humain ;</w:t>
            </w:r>
            <w:r>
              <w:rPr>
                <w:sz w:val="17"/>
              </w:rPr>
              <w:t xml:space="preserve"> </w:t>
            </w:r>
            <w:r>
              <w:rPr>
                <w:b/>
                <w:bCs/>
                <w:sz w:val="17"/>
              </w:rPr>
              <w:t xml:space="preserve">blocage administratif et mise en fourrière décidés par l’autorité compétente, jamais par l’algorithme</w:t>
            </w:r>
            <w:r>
              <w:rPr>
                <w:sz w:val="17"/>
              </w:rPr>
              <w:t xml:space="preserve"> </w:t>
            </w:r>
            <w:r>
              <w:rPr>
                <w:sz w:val="17"/>
              </w:rPr>
              <w:t xml:space="preserve">(le score de récidive sert seulement à prioriser les patrouilles) ; aucun agent n’encaisse</w:t>
            </w:r>
          </w:p>
        </w:tc>
      </w:tr>
      <w:tr>
        <w:tc>
          <w:tcPr>
            <w:shd w:val="clear" w:color="auto" w:fill="F5F7FB"/>
          </w:tcPr>
          <w:p>
            <w:pPr>
              <w:pStyle w:val="Compact"/>
            </w:pPr>
            <w:r>
              <w:rPr>
                <w:sz w:val="17"/>
              </w:rPr>
              <w:t xml:space="preserve">Indicateurs</w:t>
            </w:r>
          </w:p>
        </w:tc>
        <w:tc>
          <w:tcPr>
            <w:shd w:val="clear" w:color="auto" w:fill="F5F7FB"/>
          </w:tcPr>
          <w:p>
            <w:pPr>
              <w:pStyle w:val="Compact"/>
            </w:pPr>
            <w:r>
              <w:rPr>
                <w:sz w:val="17"/>
              </w:rPr>
              <w:t xml:space="preserve">Occupation (cible : 15 à 25 % de places libres) ; rotation ; véhicules payants par place et par jour ; recettes par mètre linéaire ; pénalités contestées</w:t>
            </w:r>
          </w:p>
        </w:tc>
      </w:tr>
      <w:tr>
        <w:tc>
          <w:tcPr/>
          <w:p>
            <w:pPr>
              <w:pStyle w:val="Compact"/>
            </w:pPr>
            <w:r>
              <w:rPr>
                <w:sz w:val="17"/>
              </w:rPr>
              <w:t xml:space="preserve">Prérequis juridiques</w:t>
            </w:r>
          </w:p>
        </w:tc>
        <w:tc>
          <w:tcPr/>
          <w:p>
            <w:pPr>
              <w:pStyle w:val="Compact"/>
            </w:pPr>
            <w:r>
              <w:rPr>
                <w:sz w:val="17"/>
              </w:rPr>
              <w:t xml:space="preserve">Acte de zonage et barème (J24) ; surréservation (J24) ; affectation (J24)</w:t>
            </w:r>
          </w:p>
        </w:tc>
      </w:tr>
      <w:tr>
        <w:tc>
          <w:tcPr>
            <w:shd w:val="clear" w:color="auto" w:fill="F5F7FB"/>
          </w:tcPr>
          <w:p>
            <w:pPr>
              <w:pStyle w:val="Compact"/>
            </w:pPr>
            <w:r>
              <w:rPr>
                <w:sz w:val="17"/>
              </w:rPr>
              <w:t xml:space="preserve">Release</w:t>
            </w:r>
          </w:p>
        </w:tc>
        <w:tc>
          <w:tcPr>
            <w:shd w:val="clear" w:color="auto" w:fill="F5F7FB"/>
          </w:tcPr>
          <w:p>
            <w:pPr>
              <w:pStyle w:val="Compact"/>
            </w:pPr>
            <w:r>
              <w:rPr>
                <w:sz w:val="17"/>
              </w:rPr>
              <w:t xml:space="preserve">SF : R1–R2 (14), R1–R3 (75) → v3.0 : R2,</w:t>
            </w:r>
            <w:r>
              <w:rPr>
                <w:sz w:val="17"/>
              </w:rPr>
              <w:t xml:space="preserve"> </w:t>
            </w:r>
            <w:r>
              <w:rPr>
                <w:b/>
                <w:bCs/>
                <w:sz w:val="17"/>
              </w:rPr>
              <w:t xml:space="preserve">après acte</w:t>
            </w:r>
          </w:p>
        </w:tc>
      </w:tr>
    </w:tbl>
    <w:p>
      <w:pPr>
        <w:pStyle w:val="BodyText"/>
      </w:pPr>
      <w:r>
        <w:rPr>
          <w:b/>
          <w:bCs/>
        </w:rPr>
        <w:t xml:space="preserve">Décision structurante proposée par le dossier source</w:t>
      </w:r>
      <w:r>
        <w:t xml:space="preserve"> </w:t>
      </w:r>
      <w:r>
        <w:t xml:space="preserve">(décision D20, [ACTE REQUIS J24]) : toutes les artères principales en zones de stationnement payant réglementé ;</w:t>
      </w:r>
      <w:r>
        <w:t xml:space="preserve"> </w:t>
      </w:r>
      <w:r>
        <w:rPr>
          <w:b/>
          <w:bCs/>
        </w:rPr>
        <w:t xml:space="preserve">intégralité des voiries de la Gombe en zone payante</w:t>
      </w:r>
      <w:r>
        <w:t xml:space="preserve"> </w:t>
      </w:r>
      <w:r>
        <w:t xml:space="preserve">; tarification contrôlée et traçable.</w:t>
      </w:r>
    </w:p>
    <w:tbl>
      <w:tblPr>
        <w:tblStyle w:val="Table"/>
        <w:tblW w:type="auto" w:w="0"/>
        <w:tblBorders>
          <w:top w:val="single" w:sz="4" w:color="CFE9E4"/>
          <w:left w:val="single" w:sz="4" w:color="CFE9E4"/>
          <w:bottom w:val="single" w:sz="4" w:color="CFE9E4"/>
          <w:right w:val="single" w:sz="4" w:color="CFE9E4"/>
          <w:insideH w:val="single" w:sz="4" w:color="CFE9E4"/>
          <w:insideV w:val="single" w:sz="4" w:color="CFE9E4"/>
        </w:tblBorders>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Mode de tarification</w:t>
            </w:r>
          </w:p>
        </w:tc>
        <w:tc>
          <w:tcPr>
            <w:shd w:val="clear" w:color="auto" w:fill="232C6B"/>
          </w:tcPr>
          <w:p>
            <w:pPr>
              <w:pStyle w:val="Compact"/>
            </w:pPr>
            <w:r>
              <w:rPr>
                <w:b/>
                <w:color w:val="FFFFFF"/>
                <w:sz w:val="17"/>
              </w:rPr>
              <w:t xml:space="preserve">Usage</w:t>
            </w:r>
          </w:p>
        </w:tc>
      </w:tr>
      <w:tr>
        <w:tc>
          <w:tcPr/>
          <w:p>
            <w:pPr>
              <w:pStyle w:val="Compact"/>
            </w:pPr>
            <w:r>
              <w:rPr>
                <w:sz w:val="17"/>
              </w:rPr>
              <w:t xml:space="preserve">Horaire, journalière, par zone</w:t>
            </w:r>
          </w:p>
        </w:tc>
        <w:tc>
          <w:tcPr/>
          <w:p>
            <w:pPr>
              <w:pStyle w:val="Compact"/>
            </w:pPr>
            <w:r>
              <w:rPr>
                <w:sz w:val="17"/>
              </w:rPr>
              <w:t xml:space="preserve">Base tarifaire</w:t>
            </w:r>
          </w:p>
        </w:tc>
      </w:tr>
      <w:tr>
        <w:tc>
          <w:tcPr>
            <w:shd w:val="clear" w:color="auto" w:fill="F5F7FB"/>
          </w:tcPr>
          <w:p>
            <w:pPr>
              <w:pStyle w:val="Compact"/>
            </w:pPr>
            <w:r>
              <w:rPr>
                <w:sz w:val="17"/>
              </w:rPr>
              <w:t xml:space="preserve">Différenciée selon la demande</w:t>
            </w:r>
          </w:p>
        </w:tc>
        <w:tc>
          <w:tcPr>
            <w:shd w:val="clear" w:color="auto" w:fill="F5F7FB"/>
          </w:tcPr>
          <w:p>
            <w:pPr>
              <w:pStyle w:val="Compact"/>
            </w:pPr>
            <w:r>
              <w:rPr>
                <w:sz w:val="17"/>
              </w:rPr>
              <w:t xml:space="preserve">Zones et heures de forte demande</w:t>
            </w:r>
          </w:p>
        </w:tc>
      </w:tr>
      <w:tr>
        <w:tc>
          <w:tcPr/>
          <w:p>
            <w:pPr>
              <w:pStyle w:val="Compact"/>
            </w:pPr>
            <w:r>
              <w:rPr>
                <w:sz w:val="17"/>
              </w:rPr>
              <w:t xml:space="preserve">Événements</w:t>
            </w:r>
          </w:p>
        </w:tc>
        <w:tc>
          <w:tcPr/>
          <w:p>
            <w:pPr>
              <w:pStyle w:val="Compact"/>
            </w:pPr>
            <w:r>
              <w:rPr>
                <w:sz w:val="17"/>
              </w:rPr>
              <w:t xml:space="preserve">Tarif spécial ponctuel</w:t>
            </w:r>
          </w:p>
        </w:tc>
      </w:tr>
      <w:tr>
        <w:tc>
          <w:tcPr>
            <w:shd w:val="clear" w:color="auto" w:fill="F5F7FB"/>
          </w:tcPr>
          <w:p>
            <w:pPr>
              <w:pStyle w:val="Compact"/>
            </w:pPr>
            <w:r>
              <w:rPr>
                <w:sz w:val="17"/>
              </w:rPr>
              <w:t xml:space="preserve">Pré-réservation premium</w:t>
            </w:r>
          </w:p>
        </w:tc>
        <w:tc>
          <w:tcPr>
            <w:shd w:val="clear" w:color="auto" w:fill="F5F7FB"/>
          </w:tcPr>
          <w:p>
            <w:pPr>
              <w:pStyle w:val="Compact"/>
            </w:pPr>
            <w:r>
              <w:rPr>
                <w:sz w:val="17"/>
              </w:rPr>
              <w:t xml:space="preserve">Place garantie avec prime</w:t>
            </w:r>
          </w:p>
        </w:tc>
      </w:tr>
      <w:tr>
        <w:tc>
          <w:tcPr/>
          <w:p>
            <w:pPr>
              <w:pStyle w:val="Compact"/>
            </w:pPr>
            <w:r>
              <w:rPr>
                <w:sz w:val="17"/>
              </w:rPr>
              <w:t xml:space="preserve">Résidentielle numérique</w:t>
            </w:r>
          </w:p>
        </w:tc>
        <w:tc>
          <w:tcPr/>
          <w:p>
            <w:pPr>
              <w:pStyle w:val="Compact"/>
            </w:pPr>
            <w:r>
              <w:rPr>
                <w:sz w:val="17"/>
              </w:rPr>
              <w:t xml:space="preserve">Abonnement virtuel lié à la plaque</w:t>
            </w:r>
          </w:p>
        </w:tc>
      </w:tr>
      <w:tr>
        <w:tc>
          <w:tcPr>
            <w:shd w:val="clear" w:color="auto" w:fill="F5F7FB"/>
          </w:tcPr>
          <w:p>
            <w:pPr>
              <w:pStyle w:val="Compact"/>
            </w:pPr>
            <w:r>
              <w:rPr>
                <w:sz w:val="17"/>
              </w:rPr>
              <w:t xml:space="preserve">Entreprises et zones commerciales</w:t>
            </w:r>
          </w:p>
        </w:tc>
        <w:tc>
          <w:tcPr>
            <w:shd w:val="clear" w:color="auto" w:fill="F5F7FB"/>
          </w:tcPr>
          <w:p>
            <w:pPr>
              <w:pStyle w:val="Compact"/>
            </w:pPr>
            <w:r>
              <w:rPr>
                <w:sz w:val="17"/>
              </w:rPr>
              <w:t xml:space="preserve">Abonnements professionnels</w:t>
            </w:r>
          </w:p>
        </w:tc>
      </w:tr>
      <w:tr>
        <w:tc>
          <w:tcPr/>
          <w:p>
            <w:pPr>
              <w:pStyle w:val="Compact"/>
            </w:pPr>
            <w:r>
              <w:rPr>
                <w:sz w:val="17"/>
              </w:rPr>
              <w:t xml:space="preserve">Courte durée</w:t>
            </w:r>
          </w:p>
        </w:tc>
        <w:tc>
          <w:tcPr/>
          <w:p>
            <w:pPr>
              <w:pStyle w:val="Compact"/>
            </w:pPr>
            <w:r>
              <w:rPr>
                <w:sz w:val="17"/>
              </w:rPr>
              <w:t xml:space="preserve">Rotation rapide devant les commerces</w:t>
            </w:r>
          </w:p>
        </w:tc>
      </w:tr>
      <w:tr>
        <w:tc>
          <w:tcPr>
            <w:shd w:val="clear" w:color="auto" w:fill="F5F7FB"/>
          </w:tcPr>
          <w:p>
            <w:pPr>
              <w:pStyle w:val="Compact"/>
            </w:pPr>
            <w:r>
              <w:rPr>
                <w:sz w:val="17"/>
              </w:rPr>
              <w:t xml:space="preserve">Longue durée majorée</w:t>
            </w:r>
          </w:p>
        </w:tc>
        <w:tc>
          <w:tcPr>
            <w:shd w:val="clear" w:color="auto" w:fill="F5F7FB"/>
          </w:tcPr>
          <w:p>
            <w:pPr>
              <w:pStyle w:val="Compact"/>
            </w:pPr>
            <w:r>
              <w:rPr>
                <w:sz w:val="17"/>
              </w:rPr>
              <w:t xml:space="preserve">Dissuader l’occupation prolongée</w:t>
            </w:r>
          </w:p>
        </w:tc>
      </w:tr>
    </w:tbl>
    <w:p>
      <w:pPr>
        <w:pStyle w:val="BodyText"/>
      </w:pPr>
      <w:r>
        <w:t xml:space="preserve">Toute grille tarifaire est une</w:t>
      </w:r>
      <w:r>
        <w:t xml:space="preserve"> </w:t>
      </w:r>
      <w:r>
        <w:rPr>
          <w:b/>
          <w:bCs/>
        </w:rPr>
        <w:t xml:space="preserve">règle du registre juridique</w:t>
      </w:r>
      <w:r>
        <w:t xml:space="preserve"> </w:t>
      </w:r>
      <w:r>
        <w:t xml:space="preserve">approuvée avant activation (§ 6.12) ; la tarification « dynamique » ne peut faire varier le prix qu’</w:t>
      </w:r>
      <w:r>
        <w:rPr>
          <w:b/>
          <w:bCs/>
        </w:rPr>
        <w:t xml:space="preserve">entre des valeurs fixées par l’acte</w:t>
      </w:r>
      <w:r>
        <w:t xml:space="preserve">, selon des plages horaires et des zones publiées.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Source de recettes</w:t>
            </w:r>
          </w:p>
        </w:tc>
        <w:tc>
          <w:tcPr>
            <w:shd w:val="clear" w:color="auto" w:fill="232C6B"/>
          </w:tcPr>
          <w:p>
            <w:pPr>
              <w:pStyle w:val="Compact"/>
            </w:pPr>
            <w:r>
              <w:rPr>
                <w:b/>
                <w:color w:val="FFFFFF"/>
                <w:sz w:val="17"/>
              </w:rPr>
              <w:t xml:space="preserve">Contenu</w:t>
            </w:r>
          </w:p>
        </w:tc>
        <w:tc>
          <w:tcPr>
            <w:shd w:val="clear" w:color="auto" w:fill="232C6B"/>
          </w:tcPr>
          <w:p>
            <w:pPr>
              <w:pStyle w:val="Compact"/>
            </w:pPr>
            <w:r>
              <w:rPr>
                <w:b/>
                <w:color w:val="FFFFFF"/>
                <w:sz w:val="17"/>
              </w:rPr>
              <w:t xml:space="preserve">Condition</w:t>
            </w:r>
          </w:p>
        </w:tc>
      </w:tr>
      <w:tr>
        <w:tc>
          <w:tcPr/>
          <w:p>
            <w:pPr>
              <w:pStyle w:val="Compact"/>
            </w:pPr>
            <w:r>
              <w:rPr>
                <w:sz w:val="17"/>
              </w:rPr>
              <w:t xml:space="preserve">Redevances</w:t>
            </w:r>
          </w:p>
        </w:tc>
        <w:tc>
          <w:tcPr/>
          <w:p>
            <w:pPr>
              <w:pStyle w:val="Compact"/>
            </w:pPr>
            <w:r>
              <w:rPr>
                <w:sz w:val="17"/>
              </w:rPr>
              <w:t xml:space="preserve">Horaire, journalier, anticipé ; prolongation à distance ; abonnements</w:t>
            </w:r>
          </w:p>
        </w:tc>
        <w:tc>
          <w:tcPr/>
          <w:p>
            <w:pPr>
              <w:pStyle w:val="Compact"/>
            </w:pPr>
            <w:r>
              <w:rPr>
                <w:sz w:val="17"/>
              </w:rPr>
              <w:t xml:space="preserve">Acte J24</w:t>
            </w:r>
          </w:p>
        </w:tc>
      </w:tr>
      <w:tr>
        <w:tc>
          <w:tcPr>
            <w:shd w:val="clear" w:color="auto" w:fill="F5F7FB"/>
          </w:tcPr>
          <w:p>
            <w:pPr>
              <w:pStyle w:val="Compact"/>
            </w:pPr>
            <w:r>
              <w:rPr>
                <w:sz w:val="17"/>
              </w:rPr>
              <w:t xml:space="preserve">Pénalités</w:t>
            </w:r>
          </w:p>
        </w:tc>
        <w:tc>
          <w:tcPr>
            <w:shd w:val="clear" w:color="auto" w:fill="F5F7FB"/>
          </w:tcPr>
          <w:p>
            <w:pPr>
              <w:pStyle w:val="Compact"/>
            </w:pPr>
            <w:r>
              <w:rPr>
                <w:sz w:val="17"/>
              </w:rPr>
              <w:t xml:space="preserve">Non-paiement, dépassement, stationnement interdit, récidive majorée</w:t>
            </w:r>
          </w:p>
        </w:tc>
        <w:tc>
          <w:tcPr>
            <w:shd w:val="clear" w:color="auto" w:fill="F5F7FB"/>
          </w:tcPr>
          <w:p>
            <w:pPr>
              <w:pStyle w:val="Compact"/>
            </w:pPr>
            <w:r>
              <w:rPr>
                <w:sz w:val="17"/>
              </w:rPr>
              <w:t xml:space="preserve">Barème de l’acte ; circuit RW1</w:t>
            </w:r>
          </w:p>
        </w:tc>
      </w:tr>
      <w:tr>
        <w:tc>
          <w:tcPr/>
          <w:p>
            <w:pPr>
              <w:pStyle w:val="Compact"/>
            </w:pPr>
            <w:r>
              <w:rPr>
                <w:sz w:val="17"/>
              </w:rPr>
              <w:t xml:space="preserve">Réservations temporaires de voirie</w:t>
            </w:r>
          </w:p>
        </w:tc>
        <w:tc>
          <w:tcPr/>
          <w:p>
            <w:pPr>
              <w:pStyle w:val="Compact"/>
            </w:pPr>
            <w:r>
              <w:rPr>
                <w:sz w:val="17"/>
              </w:rPr>
              <w:t xml:space="preserve">Déménagements, chantiers, livraisons, événements</w:t>
            </w:r>
          </w:p>
        </w:tc>
        <w:tc>
          <w:tcPr/>
          <w:p>
            <w:pPr>
              <w:pStyle w:val="Compact"/>
            </w:pPr>
            <w:r>
              <w:rPr>
                <w:sz w:val="17"/>
              </w:rPr>
              <w:t xml:space="preserve">Acte</w:t>
            </w:r>
          </w:p>
        </w:tc>
      </w:tr>
      <w:tr>
        <w:tc>
          <w:tcPr>
            <w:shd w:val="clear" w:color="auto" w:fill="F5F7FB"/>
          </w:tcPr>
          <w:p>
            <w:pPr>
              <w:pStyle w:val="Compact"/>
            </w:pPr>
            <w:r>
              <w:rPr>
                <w:sz w:val="17"/>
              </w:rPr>
              <w:t xml:space="preserve">Zones premium</w:t>
            </w:r>
          </w:p>
        </w:tc>
        <w:tc>
          <w:tcPr>
            <w:shd w:val="clear" w:color="auto" w:fill="F5F7FB"/>
          </w:tcPr>
          <w:p>
            <w:pPr>
              <w:pStyle w:val="Compact"/>
            </w:pPr>
            <w:r>
              <w:rPr>
                <w:sz w:val="17"/>
              </w:rPr>
              <w:t xml:space="preserve">Zones commerciales, administratives, gouvernementales</w:t>
            </w:r>
          </w:p>
        </w:tc>
        <w:tc>
          <w:tcPr>
            <w:shd w:val="clear" w:color="auto" w:fill="F5F7FB"/>
          </w:tcPr>
          <w:p>
            <w:pPr>
              <w:pStyle w:val="Compact"/>
            </w:pPr>
            <w:r>
              <w:rPr>
                <w:sz w:val="17"/>
              </w:rPr>
              <w:t xml:space="preserve">Acte</w:t>
            </w:r>
          </w:p>
        </w:tc>
      </w:tr>
      <w:tr>
        <w:tc>
          <w:tcPr/>
          <w:p>
            <w:pPr>
              <w:pStyle w:val="Compact"/>
            </w:pPr>
            <w:r>
              <w:rPr>
                <w:sz w:val="17"/>
              </w:rPr>
              <w:t xml:space="preserve">Services à valeur ajoutée</w:t>
            </w:r>
          </w:p>
        </w:tc>
        <w:tc>
          <w:tcPr/>
          <w:p>
            <w:pPr>
              <w:pStyle w:val="Compact"/>
            </w:pPr>
            <w:r>
              <w:rPr>
                <w:sz w:val="17"/>
              </w:rPr>
              <w:t xml:space="preserve">Pré-réservation garantie, zone VIP, recharge électrique (phase future), partenariats commerciaux</w:t>
            </w:r>
          </w:p>
        </w:tc>
        <w:tc>
          <w:tcPr/>
          <w:p>
            <w:pPr>
              <w:pStyle w:val="Compact"/>
            </w:pPr>
            <w:r>
              <w:rPr>
                <w:sz w:val="17"/>
              </w:rPr>
              <w:t xml:space="preserve">Acte ; mise en concurrence</w:t>
            </w:r>
          </w:p>
        </w:tc>
      </w:tr>
      <w:tr>
        <w:tc>
          <w:tcPr>
            <w:shd w:val="clear" w:color="auto" w:fill="F5F7FB"/>
          </w:tcPr>
          <w:p>
            <w:pPr>
              <w:pStyle w:val="Compact"/>
            </w:pPr>
            <w:r>
              <w:rPr>
                <w:sz w:val="17"/>
              </w:rPr>
              <w:t xml:space="preserve">Données urbaines</w:t>
            </w:r>
          </w:p>
        </w:tc>
        <w:tc>
          <w:tcPr>
            <w:shd w:val="clear" w:color="auto" w:fill="F5F7FB"/>
          </w:tcPr>
          <w:p>
            <w:pPr>
              <w:pStyle w:val="Compact"/>
            </w:pPr>
            <w:r>
              <w:rPr>
                <w:sz w:val="17"/>
              </w:rPr>
              <w:t xml:space="preserve">Flux, congestion, appui à la planification</w:t>
            </w:r>
          </w:p>
        </w:tc>
        <w:tc>
          <w:tcPr>
            <w:shd w:val="clear" w:color="auto" w:fill="F5F7FB"/>
          </w:tcPr>
          <w:p>
            <w:pPr>
              <w:pStyle w:val="Compact"/>
            </w:pPr>
            <w:r>
              <w:rPr>
                <w:b/>
                <w:bCs/>
                <w:sz w:val="17"/>
              </w:rPr>
              <w:t xml:space="preserve">Agrégées et anonymisées uniquement</w:t>
            </w:r>
            <w:r>
              <w:rPr>
                <w:sz w:val="17"/>
              </w:rPr>
              <w:t xml:space="preserve"> </w:t>
            </w:r>
            <w:r>
              <w:rPr>
                <w:sz w:val="17"/>
              </w:rPr>
              <w:t xml:space="preserve">; pas avant 2028 (G24)</w:t>
            </w:r>
          </w:p>
        </w:tc>
      </w:tr>
    </w:tbl>
    <w:p>
      <w:pPr>
        <w:pStyle w:val="BodyText"/>
      </w:pPr>
      <w:r>
        <w:rPr>
          <w:b/>
          <w:bCs/>
        </w:rPr>
        <w:t xml:space="preserve">Technologie</w:t>
      </w:r>
      <w:r>
        <w:t xml:space="preserve"> </w:t>
      </w:r>
      <w:r>
        <w:t xml:space="preserve">: paiement par QR, monnaie mobile, USSD, carte, portefeuille électronique ; reçus numériques ; la</w:t>
      </w:r>
      <w:r>
        <w:t xml:space="preserve"> </w:t>
      </w:r>
      <w:r>
        <w:rPr>
          <w:b/>
          <w:bCs/>
        </w:rPr>
        <w:t xml:space="preserve">plaque d’immatriculation est l’identifiant central</w:t>
      </w:r>
      <w:r>
        <w:t xml:space="preserve"> </w:t>
      </w:r>
      <w:r>
        <w:t xml:space="preserve">(historique, profil de récidive, score de conformité ; aucun papier à montrer) ; déploiement progressif de capteurs d’occupation, de caméras de lecture automatique des plaques et de patrouilles guidées par la donnée.</w:t>
      </w:r>
    </w:p>
    <w:p>
      <w:pPr>
        <w:pStyle w:val="BodyText"/>
      </w:pPr>
      <w:r>
        <w:rPr>
          <w:b/>
          <w:bCs/>
        </w:rPr>
        <w:t xml:space="preserve">Optimisation des espaces</w:t>
      </w:r>
      <w:r>
        <w:t xml:space="preserve"> </w:t>
      </w:r>
      <w:r>
        <w:t xml:space="preserve">: passage du stationnement parallèle au stationnement en épi sur les axes compatibles ; nouvelles baies ; zones de livraison ; zones de rotation rapide ; longue durée en périphérie.</w:t>
      </w:r>
      <w:r>
        <w:t xml:space="preserve"> </w:t>
      </w:r>
      <w:r>
        <w:rPr>
          <w:b/>
          <w:bCs/>
        </w:rPr>
        <w:t xml:space="preserve">Surréservation de 10 à 15 %</w:t>
      </w:r>
      <w:r>
        <w:t xml:space="preserve"> </w:t>
      </w:r>
      <w:r>
        <w:t xml:space="preserve">sur l’historique réel :</w:t>
      </w:r>
      <w:r>
        <w:t xml:space="preserve"> </w:t>
      </w:r>
      <w:r>
        <w:rPr>
          <w:b/>
          <w:bCs/>
        </w:rPr>
        <w:t xml:space="preserve">désactivée</w:t>
      </w:r>
      <w:r>
        <w:t xml:space="preserve"> </w:t>
      </w:r>
      <w:r>
        <w:t xml:space="preserve">jusqu’à validation juridique au regard de la protection du consommateur, avec garantie de place ou compensation (J24, ARB-14).</w:t>
      </w:r>
    </w:p>
    <w:p>
      <w:pPr>
        <w:pStyle w:val="BodyText"/>
      </w:pPr>
      <w:r>
        <w:rPr>
          <w:b/>
          <w:bCs/>
        </w:rPr>
        <w:t xml:space="preserve">Impact annoncé</w:t>
      </w:r>
      <w:r>
        <w:t xml:space="preserve"> </w:t>
      </w:r>
      <w:r>
        <w:t xml:space="preserve">: hausse potentielle de</w:t>
      </w:r>
      <w:r>
        <w:t xml:space="preserve"> </w:t>
      </w:r>
      <w:r>
        <w:rPr>
          <w:b/>
          <w:bCs/>
        </w:rPr>
        <w:t xml:space="preserve">20 à 40 %</w:t>
      </w:r>
      <w:r>
        <w:t xml:space="preserve"> </w:t>
      </w:r>
      <w:r>
        <w:t xml:space="preserve">des recettes de stationnement [À VÉRIFIER — estimation du dossier source, à mesurer par le pilote]. Affectation proposée (entretien routier, signalisation, sécurité urbaine, mobilité) : seulement par acte compatible avec l’universalité budgétaire, sinon engagement de programmation publié (§ H.15.1).</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Phase (source)</w:t>
            </w:r>
          </w:p>
        </w:tc>
        <w:tc>
          <w:tcPr>
            <w:shd w:val="clear" w:color="auto" w:fill="232C6B"/>
          </w:tcPr>
          <w:p>
            <w:pPr>
              <w:pStyle w:val="Compact"/>
            </w:pPr>
            <w:r>
              <w:rPr>
                <w:b/>
                <w:color w:val="FFFFFF"/>
                <w:sz w:val="17"/>
              </w:rPr>
              <w:t xml:space="preserve">Durée</w:t>
            </w:r>
          </w:p>
        </w:tc>
        <w:tc>
          <w:tcPr>
            <w:shd w:val="clear" w:color="auto" w:fill="232C6B"/>
          </w:tcPr>
          <w:p>
            <w:pPr>
              <w:pStyle w:val="Compact"/>
            </w:pPr>
            <w:r>
              <w:rPr>
                <w:b/>
                <w:color w:val="FFFFFF"/>
                <w:sz w:val="17"/>
              </w:rPr>
              <w:t xml:space="preserve">Périmètre</w:t>
            </w:r>
          </w:p>
        </w:tc>
      </w:tr>
      <w:tr>
        <w:tc>
          <w:tcPr/>
          <w:p>
            <w:pPr>
              <w:pStyle w:val="Compact"/>
            </w:pPr>
            <w:r>
              <w:rPr>
                <w:sz w:val="17"/>
              </w:rPr>
              <w:t xml:space="preserve">1 — Activation</w:t>
            </w:r>
          </w:p>
        </w:tc>
        <w:tc>
          <w:tcPr/>
          <w:p>
            <w:pPr>
              <w:pStyle w:val="Compact"/>
            </w:pPr>
            <w:r>
              <w:rPr>
                <w:sz w:val="17"/>
              </w:rPr>
              <w:t xml:space="preserve">3 mois [À VÉRIFIER]</w:t>
            </w:r>
          </w:p>
        </w:tc>
        <w:tc>
          <w:tcPr/>
          <w:p>
            <w:pPr>
              <w:pStyle w:val="Compact"/>
            </w:pPr>
            <w:r>
              <w:rPr>
                <w:sz w:val="17"/>
              </w:rPr>
              <w:t xml:space="preserve">Gombe intégrale et axes structurants pilotes</w:t>
            </w:r>
          </w:p>
        </w:tc>
      </w:tr>
      <w:tr>
        <w:tc>
          <w:tcPr>
            <w:shd w:val="clear" w:color="auto" w:fill="F5F7FB"/>
          </w:tcPr>
          <w:p>
            <w:pPr>
              <w:pStyle w:val="Compact"/>
            </w:pPr>
            <w:r>
              <w:rPr>
                <w:sz w:val="17"/>
              </w:rPr>
              <w:t xml:space="preserve">2 — Extension</w:t>
            </w:r>
          </w:p>
        </w:tc>
        <w:tc>
          <w:tcPr>
            <w:shd w:val="clear" w:color="auto" w:fill="F5F7FB"/>
          </w:tcPr>
          <w:p>
            <w:pPr>
              <w:pStyle w:val="Compact"/>
            </w:pPr>
            <w:r>
              <w:rPr>
                <w:sz w:val="17"/>
              </w:rPr>
              <w:t xml:space="preserve">6 mois [À VÉRIFIER]</w:t>
            </w:r>
          </w:p>
        </w:tc>
        <w:tc>
          <w:tcPr>
            <w:shd w:val="clear" w:color="auto" w:fill="F5F7FB"/>
          </w:tcPr>
          <w:p>
            <w:pPr>
              <w:pStyle w:val="Compact"/>
            </w:pPr>
            <w:r>
              <w:rPr>
                <w:sz w:val="17"/>
              </w:rPr>
              <w:t xml:space="preserve">Routes commerciales majeures, zones administratives</w:t>
            </w:r>
          </w:p>
        </w:tc>
      </w:tr>
      <w:tr>
        <w:tc>
          <w:tcPr/>
          <w:p>
            <w:pPr>
              <w:pStyle w:val="Compact"/>
            </w:pPr>
            <w:r>
              <w:rPr>
                <w:sz w:val="17"/>
              </w:rPr>
              <w:t xml:space="preserve">3 — Généralisation</w:t>
            </w:r>
          </w:p>
        </w:tc>
        <w:tc>
          <w:tcPr/>
          <w:p>
            <w:pPr>
              <w:pStyle w:val="Compact"/>
            </w:pPr>
            <w:r>
              <w:rPr>
                <w:sz w:val="17"/>
              </w:rPr>
              <w:t xml:space="preserve">Progressive</w:t>
            </w:r>
          </w:p>
        </w:tc>
        <w:tc>
          <w:tcPr/>
          <w:p>
            <w:pPr>
              <w:pStyle w:val="Compact"/>
            </w:pPr>
            <w:r>
              <w:rPr>
                <w:sz w:val="17"/>
              </w:rPr>
              <w:t xml:space="preserve">Extension communale, zones à forte densité</w:t>
            </w:r>
          </w:p>
        </w:tc>
      </w:tr>
    </w:tbl>
    <w:p>
      <w:pPr>
        <w:pStyle w:val="BodyText"/>
      </w:pPr>
      <w:r>
        <w:drawing>
          <wp:inline>
            <wp:extent cx="6108700" cy="1184339"/>
            <wp:effectExtent b="0" l="0" r="0" t="0"/>
            <wp:docPr descr="" title="" id="547" name="Picture"/>
            <a:graphic>
              <a:graphicData uri="http://schemas.openxmlformats.org/drawingml/2006/picture">
                <pic:pic>
                  <pic:nvPicPr>
                    <pic:cNvPr descr="figures/mermaid/mmd-29064cdfbad6.png" id="548" name="Picture"/>
                    <pic:cNvPicPr>
                      <a:picLocks noChangeArrowheads="1" noChangeAspect="1"/>
                    </pic:cNvPicPr>
                  </pic:nvPicPr>
                  <pic:blipFill>
                    <a:blip r:embed="rId546"/>
                    <a:stretch>
                      <a:fillRect/>
                    </a:stretch>
                  </pic:blipFill>
                  <pic:spPr bwMode="auto">
                    <a:xfrm>
                      <a:off x="0" y="0"/>
                      <a:ext cx="6108700" cy="1184339"/>
                    </a:xfrm>
                    <a:prstGeom prst="rect">
                      <a:avLst/>
                    </a:prstGeom>
                    <a:noFill/>
                    <a:ln w="9525">
                      <a:noFill/>
                      <a:headEnd/>
                      <a:tailEnd/>
                    </a:ln>
                  </pic:spPr>
                </pic:pic>
              </a:graphicData>
            </a:graphic>
          </wp:inline>
        </w:drawing>
      </w:r>
    </w:p>
    <w:bookmarkEnd w:id="549"/>
    <w:bookmarkStart w:id="550" w:name="X2b30b7bc072686c1ed589d707a3509aa5176b88"/>
    <w:p>
      <w:pPr>
        <w:pStyle w:val="Heading3"/>
      </w:pPr>
      <w:r>
        <w:t xml:space="preserve">H.27.6 Advertising — publicité extérieure (KIN PUB CONTROL)</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Rubrique</w:t>
            </w:r>
          </w:p>
        </w:tc>
        <w:tc>
          <w:tcPr>
            <w:shd w:val="clear" w:color="auto" w:fill="232C6B"/>
          </w:tcPr>
          <w:p>
            <w:pPr>
              <w:pStyle w:val="Compact"/>
            </w:pPr>
            <w:r>
              <w:rPr>
                <w:b/>
                <w:color w:val="FFFFFF"/>
                <w:sz w:val="17"/>
              </w:rPr>
              <w:t xml:space="preserve">Contenu</w:t>
            </w:r>
          </w:p>
        </w:tc>
      </w:tr>
      <w:tr>
        <w:tc>
          <w:tcPr/>
          <w:p>
            <w:pPr>
              <w:pStyle w:val="Compact"/>
            </w:pPr>
            <w:r>
              <w:rPr>
                <w:sz w:val="17"/>
              </w:rPr>
              <w:t xml:space="preserve">Finalité</w:t>
            </w:r>
          </w:p>
        </w:tc>
        <w:tc>
          <w:tcPr/>
          <w:p>
            <w:pPr>
              <w:pStyle w:val="Compact"/>
            </w:pPr>
            <w:r>
              <w:rPr>
                <w:sz w:val="17"/>
              </w:rPr>
              <w:t xml:space="preserve">Connaître chaque support, savoir s’il est autorisé et qui l’exploite, suivre sa situation, sécuriser les recettes ;</w:t>
            </w:r>
            <w:r>
              <w:rPr>
                <w:sz w:val="17"/>
              </w:rPr>
              <w:t xml:space="preserve"> </w:t>
            </w:r>
            <w:r>
              <w:rPr>
                <w:b/>
                <w:bCs/>
                <w:sz w:val="17"/>
              </w:rPr>
              <w:t xml:space="preserve">le contrôleur est un collecteur de preuves, l’autorité décide, la technologie trace</w:t>
            </w:r>
          </w:p>
        </w:tc>
      </w:tr>
      <w:tr>
        <w:tc>
          <w:tcPr>
            <w:shd w:val="clear" w:color="auto" w:fill="F5F7FB"/>
          </w:tcPr>
          <w:p>
            <w:pPr>
              <w:pStyle w:val="Compact"/>
            </w:pPr>
            <w:r>
              <w:rPr>
                <w:sz w:val="17"/>
              </w:rPr>
              <w:t xml:space="preserve">Modules</w:t>
            </w:r>
          </w:p>
        </w:tc>
        <w:tc>
          <w:tcPr>
            <w:shd w:val="clear" w:color="auto" w:fill="F5F7FB"/>
          </w:tcPr>
          <w:p>
            <w:pPr>
              <w:pStyle w:val="Compact"/>
            </w:pPr>
            <w:r>
              <w:rPr>
                <w:sz w:val="17"/>
              </w:rPr>
              <w:t xml:space="preserve">15, 35, 77</w:t>
            </w:r>
          </w:p>
        </w:tc>
      </w:tr>
      <w:tr>
        <w:tc>
          <w:tcPr/>
          <w:p>
            <w:pPr>
              <w:pStyle w:val="Compact"/>
            </w:pPr>
            <w:r>
              <w:rPr>
                <w:sz w:val="17"/>
              </w:rPr>
              <w:t xml:space="preserve">Flux</w:t>
            </w:r>
          </w:p>
        </w:tc>
        <w:tc>
          <w:tcPr/>
          <w:p>
            <w:pPr>
              <w:pStyle w:val="Compact"/>
            </w:pPr>
            <w:r>
              <w:rPr>
                <w:sz w:val="17"/>
              </w:rPr>
              <w:t xml:space="preserve">Recensement + plaque QR → autorisation + liquidation (surface, faces, zone) → contrôle (photo, GPS et horodatage automatiques, OCR des références, recherche de l’autorisation) → dossier de constat → superviseur → autorité compétente → notification à l’exploitant → paiement par canaux officiels</w:t>
            </w:r>
          </w:p>
        </w:tc>
      </w:tr>
      <w:tr>
        <w:tc>
          <w:tcPr>
            <w:shd w:val="clear" w:color="auto" w:fill="F5F7FB"/>
          </w:tcPr>
          <w:p>
            <w:pPr>
              <w:pStyle w:val="Compact"/>
            </w:pPr>
            <w:r>
              <w:rPr>
                <w:sz w:val="17"/>
              </w:rPr>
              <w:t xml:space="preserve">Titres</w:t>
            </w:r>
          </w:p>
        </w:tc>
        <w:tc>
          <w:tcPr>
            <w:shd w:val="clear" w:color="auto" w:fill="F5F7FB"/>
          </w:tcPr>
          <w:p>
            <w:pPr>
              <w:pStyle w:val="Compact"/>
            </w:pPr>
            <w:r>
              <w:rPr>
                <w:sz w:val="17"/>
              </w:rPr>
              <w:t xml:space="preserve">Autorisation annuelle ; plaque QR sur le support (sans plaque = présumé non enregistré)</w:t>
            </w:r>
          </w:p>
        </w:tc>
      </w:tr>
      <w:tr>
        <w:tc>
          <w:tcPr/>
          <w:p>
            <w:pPr>
              <w:pStyle w:val="Compact"/>
            </w:pPr>
            <w:r>
              <w:rPr>
                <w:sz w:val="17"/>
              </w:rPr>
              <w:t xml:space="preserve">Contrôles</w:t>
            </w:r>
          </w:p>
        </w:tc>
        <w:tc>
          <w:tcPr/>
          <w:p>
            <w:pPr>
              <w:pStyle w:val="Compact"/>
            </w:pPr>
            <w:r>
              <w:rPr>
                <w:sz w:val="17"/>
              </w:rPr>
              <w:t xml:space="preserve">Identité et accréditation du contrôleur vérifiées par le système ;</w:t>
            </w:r>
            <w:r>
              <w:rPr>
                <w:sz w:val="17"/>
              </w:rPr>
              <w:t xml:space="preserve"> </w:t>
            </w:r>
            <w:r>
              <w:rPr>
                <w:b/>
                <w:bCs/>
                <w:sz w:val="17"/>
              </w:rPr>
              <w:t xml:space="preserve">aucune sanction prononcée par l’application</w:t>
            </w:r>
            <w:r>
              <w:rPr>
                <w:sz w:val="17"/>
              </w:rPr>
              <w:t xml:space="preserve"> </w:t>
            </w:r>
            <w:r>
              <w:rPr>
                <w:sz w:val="17"/>
              </w:rPr>
              <w:t xml:space="preserve">; contrôleur sans pouvoir de modifier ou supprimer un constat (AC-PUB-01) ; séparation constat / vérification / décision ; badge vérifiable par les exploitants ; le contrôleur ne collecte jamais d’argent</w:t>
            </w:r>
          </w:p>
        </w:tc>
      </w:tr>
      <w:tr>
        <w:tc>
          <w:tcPr>
            <w:shd w:val="clear" w:color="auto" w:fill="F5F7FB"/>
          </w:tcPr>
          <w:p>
            <w:pPr>
              <w:pStyle w:val="Compact"/>
            </w:pPr>
            <w:r>
              <w:rPr>
                <w:sz w:val="17"/>
              </w:rPr>
              <w:t xml:space="preserve">Indicateurs</w:t>
            </w:r>
          </w:p>
        </w:tc>
        <w:tc>
          <w:tcPr>
            <w:shd w:val="clear" w:color="auto" w:fill="F5F7FB"/>
          </w:tcPr>
          <w:p>
            <w:pPr>
              <w:pStyle w:val="Compact"/>
            </w:pPr>
            <w:r>
              <w:rPr>
                <w:sz w:val="17"/>
              </w:rPr>
              <w:t xml:space="preserve">Supports enregistrés et actifs ; taux de supports autorisés ; autorisations expirées ; contrôles ; dossiers validés ; supports régularisés ou retirés ; recettes par m² ; performance des équipes</w:t>
            </w:r>
          </w:p>
        </w:tc>
      </w:tr>
      <w:tr>
        <w:tc>
          <w:tcPr/>
          <w:p>
            <w:pPr>
              <w:pStyle w:val="Compact"/>
            </w:pPr>
            <w:r>
              <w:rPr>
                <w:sz w:val="17"/>
              </w:rPr>
              <w:t xml:space="preserve">Prérequis juridiques</w:t>
            </w:r>
          </w:p>
        </w:tc>
        <w:tc>
          <w:tcPr/>
          <w:p>
            <w:pPr>
              <w:pStyle w:val="Compact"/>
            </w:pPr>
            <w:r>
              <w:rPr>
                <w:sz w:val="17"/>
              </w:rPr>
              <w:t xml:space="preserve">Base légale de la taxe (J1) ; procédure de constat et d’accréditation des contrôleurs (J19, D22)</w:t>
            </w:r>
          </w:p>
        </w:tc>
      </w:tr>
      <w:tr>
        <w:tc>
          <w:tcPr>
            <w:shd w:val="clear" w:color="auto" w:fill="F5F7FB"/>
          </w:tcPr>
          <w:p>
            <w:pPr>
              <w:pStyle w:val="Compact"/>
            </w:pPr>
            <w:r>
              <w:rPr>
                <w:sz w:val="17"/>
              </w:rPr>
              <w:t xml:space="preserve">Release</w:t>
            </w:r>
          </w:p>
        </w:tc>
        <w:tc>
          <w:tcPr>
            <w:shd w:val="clear" w:color="auto" w:fill="F5F7FB"/>
          </w:tcPr>
          <w:p>
            <w:pPr>
              <w:pStyle w:val="Compact"/>
            </w:pPr>
            <w:r>
              <w:rPr>
                <w:sz w:val="17"/>
              </w:rPr>
              <w:t xml:space="preserve">SF : R2 → v3.0 : R2</w:t>
            </w:r>
          </w:p>
        </w:tc>
      </w:tr>
    </w:tbl>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Élément</w:t>
            </w:r>
          </w:p>
        </w:tc>
        <w:tc>
          <w:tcPr>
            <w:shd w:val="clear" w:color="auto" w:fill="232C6B"/>
          </w:tcPr>
          <w:p>
            <w:pPr>
              <w:pStyle w:val="Compact"/>
            </w:pPr>
            <w:r>
              <w:rPr>
                <w:b/>
                <w:color w:val="FFFFFF"/>
                <w:sz w:val="17"/>
              </w:rPr>
              <w:t xml:space="preserve">Exigence</w:t>
            </w:r>
          </w:p>
        </w:tc>
      </w:tr>
      <w:tr>
        <w:tc>
          <w:tcPr/>
          <w:p>
            <w:pPr>
              <w:pStyle w:val="Compact"/>
            </w:pPr>
            <w:r>
              <w:rPr>
                <w:sz w:val="17"/>
              </w:rPr>
              <w:t xml:space="preserve">Enregistrement d’un support</w:t>
            </w:r>
          </w:p>
        </w:tc>
        <w:tc>
          <w:tcPr/>
          <w:p>
            <w:pPr>
              <w:pStyle w:val="Compact"/>
            </w:pPr>
            <w:r>
              <w:rPr>
                <w:sz w:val="17"/>
              </w:rPr>
              <w:t xml:space="preserve">Identité de l’exploitant, référence de l’autorisation, localisation et GPS, dimensions, type de publicité, durée et échéance, photographies, situation des droits ; identifiant unique + plaque QR</w:t>
            </w:r>
          </w:p>
        </w:tc>
      </w:tr>
      <w:tr>
        <w:tc>
          <w:tcPr>
            <w:shd w:val="clear" w:color="auto" w:fill="F5F7FB"/>
          </w:tcPr>
          <w:p>
            <w:pPr>
              <w:pStyle w:val="Compact"/>
            </w:pPr>
            <w:r>
              <w:rPr>
                <w:sz w:val="17"/>
              </w:rPr>
              <w:t xml:space="preserve">Carte</w:t>
            </w:r>
          </w:p>
        </w:tc>
        <w:tc>
          <w:tcPr>
            <w:shd w:val="clear" w:color="auto" w:fill="F5F7FB"/>
          </w:tcPr>
          <w:p>
            <w:pPr>
              <w:pStyle w:val="Compact"/>
            </w:pPr>
            <w:r>
              <w:rPr>
                <w:sz w:val="17"/>
              </w:rPr>
              <w:t xml:space="preserve">Supports autorisés ; autorisations arrivant à expiration ; zones saturées ; zones à contrôler ; supports signalés ; interventions réalisées</w:t>
            </w:r>
          </w:p>
        </w:tc>
      </w:tr>
      <w:tr>
        <w:tc>
          <w:tcPr/>
          <w:p>
            <w:pPr>
              <w:pStyle w:val="Compact"/>
            </w:pPr>
            <w:r>
              <w:rPr>
                <w:sz w:val="17"/>
              </w:rPr>
              <w:t xml:space="preserve">Dossier de constat</w:t>
            </w:r>
          </w:p>
        </w:tc>
        <w:tc>
          <w:tcPr/>
          <w:p>
            <w:pPr>
              <w:pStyle w:val="Compact"/>
            </w:pPr>
            <w:r>
              <w:rPr>
                <w:sz w:val="17"/>
              </w:rPr>
              <w:t xml:space="preserve">Contrôleur, localisation, date, photos, référence, exploitant, nature présumée, observations</w:t>
            </w:r>
          </w:p>
        </w:tc>
      </w:tr>
      <w:tr>
        <w:tc>
          <w:tcPr>
            <w:shd w:val="clear" w:color="auto" w:fill="F5F7FB"/>
          </w:tcPr>
          <w:p>
            <w:pPr>
              <w:pStyle w:val="Compact"/>
            </w:pPr>
            <w:r>
              <w:rPr>
                <w:sz w:val="17"/>
              </w:rPr>
              <w:t xml:space="preserve">Notification après validation</w:t>
            </w:r>
          </w:p>
        </w:tc>
        <w:tc>
          <w:tcPr>
            <w:shd w:val="clear" w:color="auto" w:fill="F5F7FB"/>
          </w:tcPr>
          <w:p>
            <w:pPr>
              <w:pStyle w:val="Compact"/>
            </w:pPr>
            <w:r>
              <w:rPr>
                <w:sz w:val="17"/>
              </w:rPr>
              <w:t xml:space="preserve">Référence du dossier, support, nature du constat, preuves, démarches, délais, voies de contestation, modalités officielles de paiement</w:t>
            </w:r>
          </w:p>
        </w:tc>
      </w:tr>
      <w:tr>
        <w:tc>
          <w:tcPr/>
          <w:p>
            <w:pPr>
              <w:pStyle w:val="Compact"/>
            </w:pPr>
            <w:r>
              <w:rPr>
                <w:sz w:val="17"/>
              </w:rPr>
              <w:t xml:space="preserve">Contrôleurs</w:t>
            </w:r>
          </w:p>
        </w:tc>
        <w:tc>
          <w:tcPr/>
          <w:p>
            <w:pPr>
              <w:pStyle w:val="Compact"/>
            </w:pPr>
            <w:r>
              <w:rPr>
                <w:sz w:val="17"/>
              </w:rPr>
              <w:t xml:space="preserve">Formés, identifiés, accrédités, limités à l’application officielle, évalués, révocables ;</w:t>
            </w:r>
            <w:r>
              <w:rPr>
                <w:sz w:val="17"/>
              </w:rPr>
              <w:t xml:space="preserve"> </w:t>
            </w:r>
            <w:r>
              <w:rPr>
                <w:b/>
                <w:bCs/>
                <w:sz w:val="17"/>
              </w:rPr>
              <w:t xml:space="preserve">ne constituent pas une administration parallèle</w:t>
            </w:r>
            <w:r>
              <w:rPr>
                <w:sz w:val="17"/>
              </w:rPr>
              <w:t xml:space="preserve"> </w:t>
            </w:r>
            <w:r>
              <w:rPr>
                <w:sz w:val="17"/>
              </w:rPr>
              <w:t xml:space="preserve">(J19)</w:t>
            </w:r>
          </w:p>
        </w:tc>
      </w:tr>
      <w:tr>
        <w:tc>
          <w:tcPr>
            <w:shd w:val="clear" w:color="auto" w:fill="F5F7FB"/>
          </w:tcPr>
          <w:p>
            <w:pPr>
              <w:pStyle w:val="Compact"/>
            </w:pPr>
            <w:r>
              <w:rPr>
                <w:sz w:val="17"/>
              </w:rPr>
              <w:t xml:space="preserve">Évaluation des contrôleurs</w:t>
            </w:r>
          </w:p>
        </w:tc>
        <w:tc>
          <w:tcPr>
            <w:shd w:val="clear" w:color="auto" w:fill="F5F7FB"/>
          </w:tcPr>
          <w:p>
            <w:pPr>
              <w:pStyle w:val="Compact"/>
            </w:pPr>
            <w:r>
              <w:rPr>
                <w:sz w:val="17"/>
              </w:rPr>
              <w:t xml:space="preserve">Qualité des preuves, exactitude, absence de faux signalements, constats validés, respect des procédures, comportement —</w:t>
            </w:r>
            <w:r>
              <w:rPr>
                <w:sz w:val="17"/>
              </w:rPr>
              <w:t xml:space="preserve"> </w:t>
            </w:r>
            <w:r>
              <w:rPr>
                <w:b/>
                <w:bCs/>
                <w:sz w:val="17"/>
              </w:rPr>
              <w:t xml:space="preserve">jamais le nombre de sanctions</w:t>
            </w:r>
            <w:r>
              <w:rPr>
                <w:sz w:val="17"/>
              </w:rPr>
              <w:t xml:space="preserve"> </w:t>
            </w:r>
            <w:r>
              <w:rPr>
                <w:sz w:val="17"/>
              </w:rPr>
              <w:t xml:space="preserve">; rémunération éventuelle selon § H.8.6</w:t>
            </w:r>
          </w:p>
        </w:tc>
      </w:tr>
      <w:tr>
        <w:tc>
          <w:tcPr/>
          <w:p>
            <w:pPr>
              <w:pStyle w:val="Compact"/>
            </w:pPr>
            <w:r>
              <w:rPr>
                <w:sz w:val="17"/>
              </w:rPr>
              <w:t xml:space="preserve">Pilote en sept étapes</w:t>
            </w:r>
          </w:p>
        </w:tc>
        <w:tc>
          <w:tcPr/>
          <w:p>
            <w:pPr>
              <w:pStyle w:val="Compact"/>
            </w:pPr>
            <w:r>
              <w:rPr>
                <w:sz w:val="17"/>
              </w:rPr>
              <w:t xml:space="preserve">Sélection de communes ou d’axes à forte concentration (axes de la Gombe, G09) → recensement numérique → enregistrement des autorisations existantes → formation et accréditation → déploiement de l’application → évaluation → extension</w:t>
            </w:r>
          </w:p>
        </w:tc>
      </w:tr>
      <w:tr>
        <w:tc>
          <w:tcPr>
            <w:shd w:val="clear" w:color="auto" w:fill="F5F7FB"/>
          </w:tcPr>
          <w:p>
            <w:pPr>
              <w:pStyle w:val="Compact"/>
            </w:pPr>
            <w:r>
              <w:rPr>
                <w:sz w:val="17"/>
              </w:rPr>
              <w:t xml:space="preserve">Vision</w:t>
            </w:r>
          </w:p>
        </w:tc>
        <w:tc>
          <w:tcPr>
            <w:shd w:val="clear" w:color="auto" w:fill="F5F7FB"/>
          </w:tcPr>
          <w:p>
            <w:pPr>
              <w:pStyle w:val="Compact"/>
            </w:pPr>
            <w:r>
              <w:rPr>
                <w:sz w:val="17"/>
              </w:rPr>
              <w:t xml:space="preserve">Demande et renouvellement en ligne ; paiement des droits ; cartographie des espaces disponibles ; contrats publicitaires ; échéances ; statistiques par commune ; portail des entreprises publicitaires ; portail citoyen de signalement ; analyse d’images par IA pour</w:t>
            </w:r>
            <w:r>
              <w:rPr>
                <w:sz w:val="17"/>
              </w:rPr>
              <w:t xml:space="preserve"> </w:t>
            </w:r>
            <w:r>
              <w:rPr>
                <w:b/>
                <w:bCs/>
                <w:sz w:val="17"/>
              </w:rPr>
              <w:t xml:space="preserve">signaler</w:t>
            </w:r>
            <w:r>
              <w:rPr>
                <w:sz w:val="17"/>
              </w:rPr>
              <w:t xml:space="preserve"> </w:t>
            </w:r>
            <w:r>
              <w:rPr>
                <w:sz w:val="17"/>
              </w:rPr>
              <w:t xml:space="preserve">(jamais sanctionner) les supports non enregistrés</w:t>
            </w:r>
          </w:p>
        </w:tc>
      </w:tr>
    </w:tbl>
    <w:bookmarkEnd w:id="550"/>
    <w:bookmarkStart w:id="551" w:name="Xe6877cd6a6f1f51fe43f78d6aefa30264288cf4"/>
    <w:p>
      <w:pPr>
        <w:pStyle w:val="Heading3"/>
      </w:pPr>
      <w:r>
        <w:t xml:space="preserve">H.27.7 Telecom — antennes et infrastructures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Rubrique</w:t>
            </w:r>
          </w:p>
        </w:tc>
        <w:tc>
          <w:tcPr>
            <w:shd w:val="clear" w:color="auto" w:fill="232C6B"/>
          </w:tcPr>
          <w:p>
            <w:pPr>
              <w:pStyle w:val="Compact"/>
            </w:pPr>
            <w:r>
              <w:rPr>
                <w:b/>
                <w:color w:val="FFFFFF"/>
                <w:sz w:val="17"/>
              </w:rPr>
              <w:t xml:space="preserve">Contenu</w:t>
            </w:r>
          </w:p>
        </w:tc>
      </w:tr>
      <w:tr>
        <w:tc>
          <w:tcPr/>
          <w:p>
            <w:pPr>
              <w:pStyle w:val="Compact"/>
            </w:pPr>
            <w:r>
              <w:rPr>
                <w:sz w:val="17"/>
              </w:rPr>
              <w:t xml:space="preserve">Finalité</w:t>
            </w:r>
          </w:p>
        </w:tc>
        <w:tc>
          <w:tcPr/>
          <w:p>
            <w:pPr>
              <w:pStyle w:val="Compact"/>
            </w:pPr>
            <w:r>
              <w:rPr>
                <w:sz w:val="17"/>
              </w:rPr>
              <w:t xml:space="preserve">Inventaire contradictoire des sites et liquidation annuelle</w:t>
            </w:r>
          </w:p>
        </w:tc>
      </w:tr>
      <w:tr>
        <w:tc>
          <w:tcPr>
            <w:shd w:val="clear" w:color="auto" w:fill="F5F7FB"/>
          </w:tcPr>
          <w:p>
            <w:pPr>
              <w:pStyle w:val="Compact"/>
            </w:pPr>
            <w:r>
              <w:rPr>
                <w:sz w:val="17"/>
              </w:rPr>
              <w:t xml:space="preserve">Modules</w:t>
            </w:r>
          </w:p>
        </w:tc>
        <w:tc>
          <w:tcPr>
            <w:shd w:val="clear" w:color="auto" w:fill="F5F7FB"/>
          </w:tcPr>
          <w:p>
            <w:pPr>
              <w:pStyle w:val="Compact"/>
            </w:pPr>
            <w:r>
              <w:rPr>
                <w:sz w:val="17"/>
              </w:rPr>
              <w:t xml:space="preserve">16, 56</w:t>
            </w:r>
          </w:p>
        </w:tc>
      </w:tr>
      <w:tr>
        <w:tc>
          <w:tcPr/>
          <w:p>
            <w:pPr>
              <w:pStyle w:val="Compact"/>
            </w:pPr>
            <w:r>
              <w:rPr>
                <w:sz w:val="17"/>
              </w:rPr>
              <w:t xml:space="preserve">Flux</w:t>
            </w:r>
          </w:p>
        </w:tc>
        <w:tc>
          <w:tcPr/>
          <w:p>
            <w:pPr>
              <w:pStyle w:val="Compact"/>
            </w:pPr>
            <w:r>
              <w:rPr>
                <w:sz w:val="17"/>
              </w:rPr>
              <w:t xml:space="preserve">Import des listes des opérateurs et du régulateur → rapprochement sites déclarés ↔ observés ↔ payés → avis annuel automatique par site (après règle active) → suivi par la cellule grands redevables ; mutations de sites entre opérateurs</w:t>
            </w:r>
          </w:p>
        </w:tc>
      </w:tr>
      <w:tr>
        <w:tc>
          <w:tcPr>
            <w:shd w:val="clear" w:color="auto" w:fill="F5F7FB"/>
          </w:tcPr>
          <w:p>
            <w:pPr>
              <w:pStyle w:val="Compact"/>
            </w:pPr>
            <w:r>
              <w:rPr>
                <w:sz w:val="17"/>
              </w:rPr>
              <w:t xml:space="preserve">Titres</w:t>
            </w:r>
          </w:p>
        </w:tc>
        <w:tc>
          <w:tcPr>
            <w:shd w:val="clear" w:color="auto" w:fill="F5F7FB"/>
          </w:tcPr>
          <w:p>
            <w:pPr>
              <w:pStyle w:val="Compact"/>
            </w:pPr>
            <w:r>
              <w:rPr>
                <w:sz w:val="17"/>
              </w:rPr>
              <w:t xml:space="preserve">Autorisation annuelle ; plaque QR sur le site</w:t>
            </w:r>
          </w:p>
        </w:tc>
      </w:tr>
      <w:tr>
        <w:tc>
          <w:tcPr/>
          <w:p>
            <w:pPr>
              <w:pStyle w:val="Compact"/>
            </w:pPr>
            <w:r>
              <w:rPr>
                <w:sz w:val="17"/>
              </w:rPr>
              <w:t xml:space="preserve">Contrôles</w:t>
            </w:r>
          </w:p>
        </w:tc>
        <w:tc>
          <w:tcPr/>
          <w:p>
            <w:pPr>
              <w:pStyle w:val="Compact"/>
            </w:pPr>
            <w:r>
              <w:rPr>
                <w:sz w:val="17"/>
              </w:rPr>
              <w:t xml:space="preserve">Données des opérateurs</w:t>
            </w:r>
            <w:r>
              <w:rPr>
                <w:sz w:val="17"/>
              </w:rPr>
              <w:t xml:space="preserve"> </w:t>
            </w:r>
            <w:r>
              <w:rPr>
                <w:b/>
                <w:bCs/>
                <w:sz w:val="17"/>
              </w:rPr>
              <w:t xml:space="preserve">sous protocole</w:t>
            </w:r>
            <w:r>
              <w:rPr>
                <w:sz w:val="17"/>
              </w:rPr>
              <w:t xml:space="preserve"> </w:t>
            </w:r>
            <w:r>
              <w:rPr>
                <w:sz w:val="17"/>
              </w:rPr>
              <w:t xml:space="preserve">; site observé absent des listes → vérification contradictoire, jamais taxation automatique</w:t>
            </w:r>
          </w:p>
        </w:tc>
      </w:tr>
      <w:tr>
        <w:tc>
          <w:tcPr>
            <w:shd w:val="clear" w:color="auto" w:fill="F5F7FB"/>
          </w:tcPr>
          <w:p>
            <w:pPr>
              <w:pStyle w:val="Compact"/>
            </w:pPr>
            <w:r>
              <w:rPr>
                <w:sz w:val="17"/>
              </w:rPr>
              <w:t xml:space="preserve">Indicateurs</w:t>
            </w:r>
          </w:p>
        </w:tc>
        <w:tc>
          <w:tcPr>
            <w:shd w:val="clear" w:color="auto" w:fill="F5F7FB"/>
          </w:tcPr>
          <w:p>
            <w:pPr>
              <w:pStyle w:val="Compact"/>
            </w:pPr>
            <w:r>
              <w:rPr>
                <w:sz w:val="17"/>
              </w:rPr>
              <w:t xml:space="preserve">Sites recensés vs déclarés ; recouvrement par opérateur</w:t>
            </w:r>
          </w:p>
        </w:tc>
      </w:tr>
      <w:tr>
        <w:tc>
          <w:tcPr/>
          <w:p>
            <w:pPr>
              <w:pStyle w:val="Compact"/>
            </w:pPr>
            <w:r>
              <w:rPr>
                <w:sz w:val="17"/>
              </w:rPr>
              <w:t xml:space="preserve">Prérequis juridiques</w:t>
            </w:r>
          </w:p>
        </w:tc>
        <w:tc>
          <w:tcPr/>
          <w:p>
            <w:pPr>
              <w:pStyle w:val="Compact"/>
            </w:pPr>
            <w:r>
              <w:rPr>
                <w:sz w:val="17"/>
              </w:rPr>
              <w:t xml:space="preserve">Base légale et barème (J1, J3) ; protocole avec opérateurs et ARPTC (J13)</w:t>
            </w:r>
          </w:p>
        </w:tc>
      </w:tr>
      <w:tr>
        <w:tc>
          <w:tcPr>
            <w:shd w:val="clear" w:color="auto" w:fill="F5F7FB"/>
          </w:tcPr>
          <w:p>
            <w:pPr>
              <w:pStyle w:val="Compact"/>
            </w:pPr>
            <w:r>
              <w:rPr>
                <w:sz w:val="17"/>
              </w:rPr>
              <w:t xml:space="preserve">Release</w:t>
            </w:r>
          </w:p>
        </w:tc>
        <w:tc>
          <w:tcPr>
            <w:shd w:val="clear" w:color="auto" w:fill="F5F7FB"/>
          </w:tcPr>
          <w:p>
            <w:pPr>
              <w:pStyle w:val="Compact"/>
            </w:pPr>
            <w:r>
              <w:rPr>
                <w:sz w:val="17"/>
              </w:rPr>
              <w:t xml:space="preserve">SF : R2 → v3.0 : R2</w:t>
            </w:r>
          </w:p>
        </w:tc>
      </w:tr>
    </w:tbl>
    <w:bookmarkEnd w:id="551"/>
    <w:bookmarkStart w:id="552" w:name="h.27.8-markets-marchés-sans-espèces"/>
    <w:p>
      <w:pPr>
        <w:pStyle w:val="Heading3"/>
      </w:pPr>
      <w:r>
        <w:t xml:space="preserve">H.27.8 Markets — marchés sans espèces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Rubrique</w:t>
            </w:r>
          </w:p>
        </w:tc>
        <w:tc>
          <w:tcPr>
            <w:shd w:val="clear" w:color="auto" w:fill="232C6B"/>
          </w:tcPr>
          <w:p>
            <w:pPr>
              <w:pStyle w:val="Compact"/>
            </w:pPr>
            <w:r>
              <w:rPr>
                <w:b/>
                <w:color w:val="FFFFFF"/>
                <w:sz w:val="17"/>
              </w:rPr>
              <w:t xml:space="preserve">Contenu</w:t>
            </w:r>
          </w:p>
        </w:tc>
      </w:tr>
      <w:tr>
        <w:tc>
          <w:tcPr/>
          <w:p>
            <w:pPr>
              <w:pStyle w:val="Compact"/>
            </w:pPr>
            <w:r>
              <w:rPr>
                <w:sz w:val="17"/>
              </w:rPr>
              <w:t xml:space="preserve">Finalité</w:t>
            </w:r>
          </w:p>
        </w:tc>
        <w:tc>
          <w:tcPr/>
          <w:p>
            <w:pPr>
              <w:pStyle w:val="Compact"/>
            </w:pPr>
            <w:r>
              <w:rPr>
                <w:sz w:val="17"/>
              </w:rPr>
              <w:t xml:space="preserve">Supprimer la collecte en espèces, première source de fuite, et protéger les vendeurs contre les prélèvements multiples (G11)</w:t>
            </w:r>
          </w:p>
        </w:tc>
      </w:tr>
      <w:tr>
        <w:tc>
          <w:tcPr>
            <w:shd w:val="clear" w:color="auto" w:fill="F5F7FB"/>
          </w:tcPr>
          <w:p>
            <w:pPr>
              <w:pStyle w:val="Compact"/>
            </w:pPr>
            <w:r>
              <w:rPr>
                <w:sz w:val="17"/>
              </w:rPr>
              <w:t xml:space="preserve">Modules</w:t>
            </w:r>
          </w:p>
        </w:tc>
        <w:tc>
          <w:tcPr>
            <w:shd w:val="clear" w:color="auto" w:fill="F5F7FB"/>
          </w:tcPr>
          <w:p>
            <w:pPr>
              <w:pStyle w:val="Compact"/>
            </w:pPr>
            <w:r>
              <w:rPr>
                <w:sz w:val="17"/>
              </w:rPr>
              <w:t xml:space="preserve">20, 70, 71, 76</w:t>
            </w:r>
          </w:p>
        </w:tc>
      </w:tr>
      <w:tr>
        <w:tc>
          <w:tcPr/>
          <w:p>
            <w:pPr>
              <w:pStyle w:val="Compact"/>
            </w:pPr>
            <w:r>
              <w:rPr>
                <w:sz w:val="17"/>
              </w:rPr>
              <w:t xml:space="preserve">Flux</w:t>
            </w:r>
          </w:p>
        </w:tc>
        <w:tc>
          <w:tcPr/>
          <w:p>
            <w:pPr>
              <w:pStyle w:val="Compact"/>
            </w:pPr>
            <w:r>
              <w:rPr>
                <w:sz w:val="17"/>
              </w:rPr>
              <w:t xml:space="preserve">Plan géoréférencé (marchés, étals, emprises) → titre d’étal jour / semaine / mois / abonnement → plaque QR d’étal + carte commerçant → paiement par monnaie mobile, USSD ou point agréé → contrôle par scan de la plaque d’étal,</w:t>
            </w:r>
            <w:r>
              <w:rPr>
                <w:sz w:val="17"/>
              </w:rPr>
              <w:t xml:space="preserve"> </w:t>
            </w:r>
            <w:r>
              <w:rPr>
                <w:b/>
                <w:bCs/>
                <w:sz w:val="17"/>
              </w:rPr>
              <w:t xml:space="preserve">sans téléphone requis pour le commerçant</w:t>
            </w:r>
            <w:r>
              <w:rPr>
                <w:sz w:val="17"/>
              </w:rPr>
              <w:t xml:space="preserve"> </w:t>
            </w:r>
            <w:r>
              <w:rPr>
                <w:sz w:val="17"/>
              </w:rPr>
              <w:t xml:space="preserve">→ rapprochement occupations ↔ titres ↔ paiements</w:t>
            </w:r>
          </w:p>
        </w:tc>
      </w:tr>
      <w:tr>
        <w:tc>
          <w:tcPr>
            <w:shd w:val="clear" w:color="auto" w:fill="F5F7FB"/>
          </w:tcPr>
          <w:p>
            <w:pPr>
              <w:pStyle w:val="Compact"/>
            </w:pPr>
            <w:r>
              <w:rPr>
                <w:sz w:val="17"/>
              </w:rPr>
              <w:t xml:space="preserve">Titres</w:t>
            </w:r>
          </w:p>
        </w:tc>
        <w:tc>
          <w:tcPr>
            <w:shd w:val="clear" w:color="auto" w:fill="F5F7FB"/>
          </w:tcPr>
          <w:p>
            <w:pPr>
              <w:pStyle w:val="Compact"/>
            </w:pPr>
            <w:r>
              <w:rPr>
                <w:sz w:val="17"/>
              </w:rPr>
              <w:t xml:space="preserve">Droit d’étal (seuil ambre : fin de journée / 1 jour / 3 jours)</w:t>
            </w:r>
          </w:p>
        </w:tc>
      </w:tr>
      <w:tr>
        <w:tc>
          <w:tcPr/>
          <w:p>
            <w:pPr>
              <w:pStyle w:val="Compact"/>
            </w:pPr>
            <w:r>
              <w:rPr>
                <w:sz w:val="17"/>
              </w:rPr>
              <w:t xml:space="preserve">Contrôles</w:t>
            </w:r>
          </w:p>
        </w:tc>
        <w:tc>
          <w:tcPr/>
          <w:p>
            <w:pPr>
              <w:pStyle w:val="Compact"/>
            </w:pPr>
            <w:r>
              <w:rPr>
                <w:b/>
                <w:bCs/>
                <w:sz w:val="17"/>
              </w:rPr>
              <w:t xml:space="preserve">Aucun encaissement par le placier</w:t>
            </w:r>
            <w:r>
              <w:rPr>
                <w:sz w:val="17"/>
              </w:rPr>
              <w:t xml:space="preserve"> </w:t>
            </w:r>
            <w:r>
              <w:rPr>
                <w:sz w:val="17"/>
              </w:rPr>
              <w:t xml:space="preserve">; contrôles mystère ; pas de saisie a posteriori par un collecteur (« numérisation cosmétique »)</w:t>
            </w:r>
          </w:p>
        </w:tc>
      </w:tr>
      <w:tr>
        <w:tc>
          <w:tcPr>
            <w:shd w:val="clear" w:color="auto" w:fill="F5F7FB"/>
          </w:tcPr>
          <w:p>
            <w:pPr>
              <w:pStyle w:val="Compact"/>
            </w:pPr>
            <w:r>
              <w:rPr>
                <w:sz w:val="17"/>
              </w:rPr>
              <w:t xml:space="preserve">Indicateurs</w:t>
            </w:r>
          </w:p>
        </w:tc>
        <w:tc>
          <w:tcPr>
            <w:shd w:val="clear" w:color="auto" w:fill="F5F7FB"/>
          </w:tcPr>
          <w:p>
            <w:pPr>
              <w:pStyle w:val="Compact"/>
            </w:pPr>
            <w:r>
              <w:rPr>
                <w:sz w:val="17"/>
              </w:rPr>
              <w:t xml:space="preserve">Étals recensés ; taux d’occupation payée ; recettes par marché ; signalements de prélèvements irréguliers</w:t>
            </w:r>
          </w:p>
        </w:tc>
      </w:tr>
      <w:tr>
        <w:tc>
          <w:tcPr/>
          <w:p>
            <w:pPr>
              <w:pStyle w:val="Compact"/>
            </w:pPr>
            <w:r>
              <w:rPr>
                <w:sz w:val="17"/>
              </w:rPr>
              <w:t xml:space="preserve">Prérequis juridiques</w:t>
            </w:r>
          </w:p>
        </w:tc>
        <w:tc>
          <w:tcPr/>
          <w:p>
            <w:pPr>
              <w:pStyle w:val="Compact"/>
            </w:pPr>
            <w:r>
              <w:rPr>
                <w:sz w:val="17"/>
              </w:rPr>
              <w:t xml:space="preserve">Décision fixant la perception numérique exclusive ; compétences province / communes / gestionnaires (J22) ; titres dématérialisés (J21)</w:t>
            </w:r>
          </w:p>
        </w:tc>
      </w:tr>
      <w:tr>
        <w:tc>
          <w:tcPr>
            <w:shd w:val="clear" w:color="auto" w:fill="F5F7FB"/>
          </w:tcPr>
          <w:p>
            <w:pPr>
              <w:pStyle w:val="Compact"/>
            </w:pPr>
            <w:r>
              <w:rPr>
                <w:sz w:val="17"/>
              </w:rPr>
              <w:t xml:space="preserve">Release</w:t>
            </w:r>
          </w:p>
        </w:tc>
        <w:tc>
          <w:tcPr>
            <w:shd w:val="clear" w:color="auto" w:fill="F5F7FB"/>
          </w:tcPr>
          <w:p>
            <w:pPr>
              <w:pStyle w:val="Compact"/>
            </w:pPr>
            <w:r>
              <w:rPr>
                <w:sz w:val="17"/>
              </w:rPr>
              <w:t xml:space="preserve">SF : R2 → v3.0 : R2 (deux marchés de taille moyenne)</w:t>
            </w:r>
          </w:p>
        </w:tc>
      </w:tr>
    </w:tbl>
    <w:bookmarkEnd w:id="552"/>
    <w:bookmarkStart w:id="553" w:name="X0c64060cb412302378ebe3d9096d2f53f7a5b01"/>
    <w:p>
      <w:pPr>
        <w:pStyle w:val="Heading3"/>
      </w:pPr>
      <w:r>
        <w:t xml:space="preserve">H.27.9 Public Domain — occupation du domaine public</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Rubrique</w:t>
            </w:r>
          </w:p>
        </w:tc>
        <w:tc>
          <w:tcPr>
            <w:shd w:val="clear" w:color="auto" w:fill="232C6B"/>
          </w:tcPr>
          <w:p>
            <w:pPr>
              <w:pStyle w:val="Compact"/>
            </w:pPr>
            <w:r>
              <w:rPr>
                <w:b/>
                <w:color w:val="FFFFFF"/>
                <w:sz w:val="17"/>
              </w:rPr>
              <w:t xml:space="preserve">Contenu</w:t>
            </w:r>
          </w:p>
        </w:tc>
      </w:tr>
      <w:tr>
        <w:tc>
          <w:tcPr/>
          <w:p>
            <w:pPr>
              <w:pStyle w:val="Compact"/>
            </w:pPr>
            <w:r>
              <w:rPr>
                <w:sz w:val="17"/>
              </w:rPr>
              <w:t xml:space="preserve">Finalité</w:t>
            </w:r>
          </w:p>
        </w:tc>
        <w:tc>
          <w:tcPr/>
          <w:p>
            <w:pPr>
              <w:pStyle w:val="Compact"/>
            </w:pPr>
            <w:r>
              <w:rPr>
                <w:sz w:val="17"/>
              </w:rPr>
              <w:t xml:space="preserve">Titrer toutes les occupations (terrasses, étals hors marché, chantiers, événements)</w:t>
            </w:r>
          </w:p>
        </w:tc>
      </w:tr>
      <w:tr>
        <w:tc>
          <w:tcPr>
            <w:shd w:val="clear" w:color="auto" w:fill="F5F7FB"/>
          </w:tcPr>
          <w:p>
            <w:pPr>
              <w:pStyle w:val="Compact"/>
            </w:pPr>
            <w:r>
              <w:rPr>
                <w:sz w:val="17"/>
              </w:rPr>
              <w:t xml:space="preserve">Modules</w:t>
            </w:r>
          </w:p>
        </w:tc>
        <w:tc>
          <w:tcPr>
            <w:shd w:val="clear" w:color="auto" w:fill="F5F7FB"/>
          </w:tcPr>
          <w:p>
            <w:pPr>
              <w:pStyle w:val="Compact"/>
            </w:pPr>
            <w:r>
              <w:rPr>
                <w:sz w:val="17"/>
              </w:rPr>
              <w:t xml:space="preserve">19, 20, 70</w:t>
            </w:r>
          </w:p>
        </w:tc>
      </w:tr>
      <w:tr>
        <w:tc>
          <w:tcPr/>
          <w:p>
            <w:pPr>
              <w:pStyle w:val="Compact"/>
            </w:pPr>
            <w:r>
              <w:rPr>
                <w:sz w:val="17"/>
              </w:rPr>
              <w:t xml:space="preserve">Flux</w:t>
            </w:r>
          </w:p>
        </w:tc>
        <w:tc>
          <w:tcPr/>
          <w:p>
            <w:pPr>
              <w:pStyle w:val="Compact"/>
            </w:pPr>
            <w:r>
              <w:rPr>
                <w:sz w:val="17"/>
              </w:rPr>
              <w:t xml:space="preserve">Demande d’occupation → instruction → titre à durée (QR) → contrôle → renouvellement ou libération</w:t>
            </w:r>
          </w:p>
        </w:tc>
      </w:tr>
      <w:tr>
        <w:tc>
          <w:tcPr>
            <w:shd w:val="clear" w:color="auto" w:fill="F5F7FB"/>
          </w:tcPr>
          <w:p>
            <w:pPr>
              <w:pStyle w:val="Compact"/>
            </w:pPr>
            <w:r>
              <w:rPr>
                <w:sz w:val="17"/>
              </w:rPr>
              <w:t xml:space="preserve">Titres</w:t>
            </w:r>
          </w:p>
        </w:tc>
        <w:tc>
          <w:tcPr>
            <w:shd w:val="clear" w:color="auto" w:fill="F5F7FB"/>
          </w:tcPr>
          <w:p>
            <w:pPr>
              <w:pStyle w:val="Compact"/>
            </w:pPr>
            <w:r>
              <w:rPr>
                <w:sz w:val="17"/>
              </w:rPr>
              <w:t xml:space="preserve">Autorisation d’occupation ; permis d’occuper la voie (chantier : seuil ambre 3 jours)</w:t>
            </w:r>
          </w:p>
        </w:tc>
      </w:tr>
      <w:tr>
        <w:tc>
          <w:tcPr/>
          <w:p>
            <w:pPr>
              <w:pStyle w:val="Compact"/>
            </w:pPr>
            <w:r>
              <w:rPr>
                <w:sz w:val="17"/>
              </w:rPr>
              <w:t xml:space="preserve">Contrôles</w:t>
            </w:r>
          </w:p>
        </w:tc>
        <w:tc>
          <w:tcPr/>
          <w:p>
            <w:pPr>
              <w:pStyle w:val="Compact"/>
            </w:pPr>
            <w:r>
              <w:rPr>
                <w:sz w:val="17"/>
              </w:rPr>
              <w:t xml:space="preserve">Rattachement aux objets existants (parcelle, activité) ; aucune double facturation d’un même fait générateur</w:t>
            </w:r>
          </w:p>
        </w:tc>
      </w:tr>
      <w:tr>
        <w:tc>
          <w:tcPr>
            <w:shd w:val="clear" w:color="auto" w:fill="F5F7FB"/>
          </w:tcPr>
          <w:p>
            <w:pPr>
              <w:pStyle w:val="Compact"/>
            </w:pPr>
            <w:r>
              <w:rPr>
                <w:sz w:val="17"/>
              </w:rPr>
              <w:t xml:space="preserve">Indicateurs</w:t>
            </w:r>
          </w:p>
        </w:tc>
        <w:tc>
          <w:tcPr>
            <w:shd w:val="clear" w:color="auto" w:fill="F5F7FB"/>
          </w:tcPr>
          <w:p>
            <w:pPr>
              <w:pStyle w:val="Compact"/>
            </w:pPr>
            <w:r>
              <w:rPr>
                <w:sz w:val="17"/>
              </w:rPr>
              <w:t xml:space="preserve">Emprises recensées ; occupations titrées / observées ; recettes</w:t>
            </w:r>
          </w:p>
        </w:tc>
      </w:tr>
      <w:tr>
        <w:tc>
          <w:tcPr/>
          <w:p>
            <w:pPr>
              <w:pStyle w:val="Compact"/>
            </w:pPr>
            <w:r>
              <w:rPr>
                <w:sz w:val="17"/>
              </w:rPr>
              <w:t xml:space="preserve">Prérequis juridiques</w:t>
            </w:r>
          </w:p>
        </w:tc>
        <w:tc>
          <w:tcPr/>
          <w:p>
            <w:pPr>
              <w:pStyle w:val="Compact"/>
            </w:pPr>
            <w:r>
              <w:rPr>
                <w:sz w:val="17"/>
              </w:rPr>
              <w:t xml:space="preserve">Base légale et tarifs (J1, J3) ; titres dématérialisés (J21)</w:t>
            </w:r>
          </w:p>
        </w:tc>
      </w:tr>
      <w:tr>
        <w:tc>
          <w:tcPr>
            <w:shd w:val="clear" w:color="auto" w:fill="F5F7FB"/>
          </w:tcPr>
          <w:p>
            <w:pPr>
              <w:pStyle w:val="Compact"/>
            </w:pPr>
            <w:r>
              <w:rPr>
                <w:sz w:val="17"/>
              </w:rPr>
              <w:t xml:space="preserve">Release</w:t>
            </w:r>
          </w:p>
        </w:tc>
        <w:tc>
          <w:tcPr>
            <w:shd w:val="clear" w:color="auto" w:fill="F5F7FB"/>
          </w:tcPr>
          <w:p>
            <w:pPr>
              <w:pStyle w:val="Compact"/>
            </w:pPr>
            <w:r>
              <w:rPr>
                <w:sz w:val="17"/>
              </w:rPr>
              <w:t xml:space="preserve">SF : R2 → v3.0 : R2 (20), R3 (19)</w:t>
            </w:r>
          </w:p>
        </w:tc>
      </w:tr>
    </w:tbl>
    <w:bookmarkEnd w:id="553"/>
    <w:bookmarkStart w:id="554" w:name="X11ed638c29d91a0c4d000044b993b479bfd7975"/>
    <w:p>
      <w:pPr>
        <w:pStyle w:val="Heading3"/>
      </w:pPr>
      <w:r>
        <w:t xml:space="preserve">H.27.10 Environment — assainissement, voirie, contribution environnementale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Rubrique</w:t>
            </w:r>
          </w:p>
        </w:tc>
        <w:tc>
          <w:tcPr>
            <w:shd w:val="clear" w:color="auto" w:fill="232C6B"/>
          </w:tcPr>
          <w:p>
            <w:pPr>
              <w:pStyle w:val="Compact"/>
            </w:pPr>
            <w:r>
              <w:rPr>
                <w:b/>
                <w:color w:val="FFFFFF"/>
                <w:sz w:val="17"/>
              </w:rPr>
              <w:t xml:space="preserve">Contenu</w:t>
            </w:r>
          </w:p>
        </w:tc>
      </w:tr>
      <w:tr>
        <w:tc>
          <w:tcPr/>
          <w:p>
            <w:pPr>
              <w:pStyle w:val="Compact"/>
            </w:pPr>
            <w:r>
              <w:rPr>
                <w:sz w:val="17"/>
              </w:rPr>
              <w:t xml:space="preserve">Finalité</w:t>
            </w:r>
          </w:p>
        </w:tc>
        <w:tc>
          <w:tcPr/>
          <w:p>
            <w:pPr>
              <w:pStyle w:val="Compact"/>
            </w:pPr>
            <w:r>
              <w:rPr>
                <w:sz w:val="17"/>
              </w:rPr>
              <w:t xml:space="preserve">Liquider les taxes d’assainissement et de voirie adossées aux objets existants ; préparer, sans l’activer, une éventuelle contribution sur les plastiques licites</w:t>
            </w:r>
          </w:p>
        </w:tc>
      </w:tr>
      <w:tr>
        <w:tc>
          <w:tcPr>
            <w:shd w:val="clear" w:color="auto" w:fill="F5F7FB"/>
          </w:tcPr>
          <w:p>
            <w:pPr>
              <w:pStyle w:val="Compact"/>
            </w:pPr>
            <w:r>
              <w:rPr>
                <w:sz w:val="17"/>
              </w:rPr>
              <w:t xml:space="preserve">Modules</w:t>
            </w:r>
          </w:p>
        </w:tc>
        <w:tc>
          <w:tcPr>
            <w:shd w:val="clear" w:color="auto" w:fill="F5F7FB"/>
          </w:tcPr>
          <w:p>
            <w:pPr>
              <w:pStyle w:val="Compact"/>
            </w:pPr>
            <w:r>
              <w:rPr>
                <w:sz w:val="17"/>
              </w:rPr>
              <w:t xml:space="preserve">18, 19, 92</w:t>
            </w:r>
          </w:p>
        </w:tc>
      </w:tr>
      <w:tr>
        <w:tc>
          <w:tcPr/>
          <w:p>
            <w:pPr>
              <w:pStyle w:val="Compact"/>
            </w:pPr>
            <w:r>
              <w:rPr>
                <w:sz w:val="17"/>
              </w:rPr>
              <w:t xml:space="preserve">Flux</w:t>
            </w:r>
          </w:p>
        </w:tc>
        <w:tc>
          <w:tcPr/>
          <w:p>
            <w:pPr>
              <w:pStyle w:val="Compact"/>
            </w:pPr>
            <w:r>
              <w:rPr>
                <w:sz w:val="17"/>
              </w:rPr>
              <w:t xml:space="preserve">Rattachement automatique aux parcelles et activités → liquidation groupée sur le même avis ; pour le plastique : registre des metteurs en marché → simulation d’impact (92) → activation</w:t>
            </w:r>
            <w:r>
              <w:rPr>
                <w:sz w:val="17"/>
              </w:rPr>
              <w:t xml:space="preserve"> </w:t>
            </w:r>
            <w:r>
              <w:rPr>
                <w:b/>
                <w:bCs/>
                <w:sz w:val="17"/>
              </w:rPr>
              <w:t xml:space="preserve">uniquement après acte</w:t>
            </w:r>
            <w:r>
              <w:rPr>
                <w:sz w:val="17"/>
              </w:rPr>
              <w:t xml:space="preserve"> </w:t>
            </w:r>
            <w:r>
              <w:rPr>
                <w:sz w:val="17"/>
              </w:rPr>
              <w:t xml:space="preserve">→ déclarations et reversements</w:t>
            </w:r>
          </w:p>
        </w:tc>
      </w:tr>
      <w:tr>
        <w:tc>
          <w:tcPr>
            <w:shd w:val="clear" w:color="auto" w:fill="F5F7FB"/>
          </w:tcPr>
          <w:p>
            <w:pPr>
              <w:pStyle w:val="Compact"/>
            </w:pPr>
            <w:r>
              <w:rPr>
                <w:sz w:val="17"/>
              </w:rPr>
              <w:t xml:space="preserve">Titres</w:t>
            </w:r>
          </w:p>
        </w:tc>
        <w:tc>
          <w:tcPr>
            <w:shd w:val="clear" w:color="auto" w:fill="F5F7FB"/>
          </w:tcPr>
          <w:p>
            <w:pPr>
              <w:pStyle w:val="Compact"/>
            </w:pPr>
            <w:r>
              <w:rPr>
                <w:sz w:val="17"/>
              </w:rPr>
              <w:t xml:space="preserve">Avis unique ; permis d’occuper la voie</w:t>
            </w:r>
          </w:p>
        </w:tc>
      </w:tr>
      <w:tr>
        <w:tc>
          <w:tcPr/>
          <w:p>
            <w:pPr>
              <w:pStyle w:val="Compact"/>
            </w:pPr>
            <w:r>
              <w:rPr>
                <w:sz w:val="17"/>
              </w:rPr>
              <w:t xml:space="preserve">Contrôles</w:t>
            </w:r>
          </w:p>
        </w:tc>
        <w:tc>
          <w:tcPr/>
          <w:p>
            <w:pPr>
              <w:pStyle w:val="Compact"/>
            </w:pPr>
            <w:r>
              <w:rPr>
                <w:sz w:val="17"/>
              </w:rPr>
              <w:t xml:space="preserve">Module 18</w:t>
            </w:r>
            <w:r>
              <w:rPr>
                <w:sz w:val="17"/>
              </w:rPr>
              <w:t xml:space="preserve"> </w:t>
            </w:r>
            <w:r>
              <w:rPr>
                <w:b/>
                <w:bCs/>
                <w:sz w:val="17"/>
              </w:rPr>
              <w:t xml:space="preserve">désactivé</w:t>
            </w:r>
            <w:r>
              <w:rPr>
                <w:sz w:val="17"/>
              </w:rPr>
              <w:t xml:space="preserve"> </w:t>
            </w:r>
            <w:r>
              <w:rPr>
                <w:sz w:val="17"/>
              </w:rPr>
              <w:t xml:space="preserve">tant que la règle n’est pas publiée (catégorie</w:t>
            </w:r>
            <w:r>
              <w:rPr>
                <w:sz w:val="17"/>
              </w:rPr>
              <w:t xml:space="preserve"> </w:t>
            </w:r>
            <w:r>
              <w:rPr>
                <w:rStyle w:val="VerbatimChar"/>
                <w:sz w:val="17"/>
              </w:rPr>
              <w:t xml:space="preserve">ACTE_REQUIS</w:t>
            </w:r>
            <w:r>
              <w:rPr>
                <w:sz w:val="17"/>
              </w:rPr>
              <w:t xml:space="preserve">) ; pas de taxe sur des produits interdits (§ 8.5)</w:t>
            </w:r>
          </w:p>
        </w:tc>
      </w:tr>
      <w:tr>
        <w:tc>
          <w:tcPr>
            <w:shd w:val="clear" w:color="auto" w:fill="F5F7FB"/>
          </w:tcPr>
          <w:p>
            <w:pPr>
              <w:pStyle w:val="Compact"/>
            </w:pPr>
            <w:r>
              <w:rPr>
                <w:sz w:val="17"/>
              </w:rPr>
              <w:t xml:space="preserve">Indicateurs</w:t>
            </w:r>
          </w:p>
        </w:tc>
        <w:tc>
          <w:tcPr>
            <w:shd w:val="clear" w:color="auto" w:fill="F5F7FB"/>
          </w:tcPr>
          <w:p>
            <w:pPr>
              <w:pStyle w:val="Compact"/>
            </w:pPr>
            <w:r>
              <w:rPr>
                <w:sz w:val="17"/>
              </w:rPr>
              <w:t xml:space="preserve">Recettes par objet ; taux de paiement groupé ; assujettis identifiés ; simulations</w:t>
            </w:r>
          </w:p>
        </w:tc>
      </w:tr>
      <w:tr>
        <w:tc>
          <w:tcPr/>
          <w:p>
            <w:pPr>
              <w:pStyle w:val="Compact"/>
            </w:pPr>
            <w:r>
              <w:rPr>
                <w:sz w:val="17"/>
              </w:rPr>
              <w:t xml:space="preserve">Prérequis juridiques</w:t>
            </w:r>
          </w:p>
        </w:tc>
        <w:tc>
          <w:tcPr/>
          <w:p>
            <w:pPr>
              <w:pStyle w:val="Compact"/>
            </w:pPr>
            <w:r>
              <w:rPr>
                <w:sz w:val="17"/>
              </w:rPr>
              <w:t xml:space="preserve">J15, J16 ; voie REP recommandée (§ 8.5)</w:t>
            </w:r>
          </w:p>
        </w:tc>
      </w:tr>
      <w:tr>
        <w:tc>
          <w:tcPr>
            <w:shd w:val="clear" w:color="auto" w:fill="F5F7FB"/>
          </w:tcPr>
          <w:p>
            <w:pPr>
              <w:pStyle w:val="Compact"/>
            </w:pPr>
            <w:r>
              <w:rPr>
                <w:sz w:val="17"/>
              </w:rPr>
              <w:t xml:space="preserve">Release</w:t>
            </w:r>
          </w:p>
        </w:tc>
        <w:tc>
          <w:tcPr>
            <w:shd w:val="clear" w:color="auto" w:fill="F5F7FB"/>
          </w:tcPr>
          <w:p>
            <w:pPr>
              <w:pStyle w:val="Compact"/>
            </w:pPr>
            <w:r>
              <w:rPr>
                <w:sz w:val="17"/>
              </w:rPr>
              <w:t xml:space="preserve">SF : R2 (19), R4 (18) → v3.0 : R3 (19), R4 (18, après acte)</w:t>
            </w:r>
          </w:p>
        </w:tc>
      </w:tr>
    </w:tbl>
    <w:bookmarkEnd w:id="554"/>
    <w:bookmarkStart w:id="555" w:name="X63833b780466bf51ef88598ebdb47302f9f7da7"/>
    <w:p>
      <w:pPr>
        <w:pStyle w:val="Heading3"/>
      </w:pPr>
      <w:r>
        <w:t xml:space="preserve">H.27.11 Ports — embarcations, accostage, embarquement</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Rubrique</w:t>
            </w:r>
          </w:p>
        </w:tc>
        <w:tc>
          <w:tcPr>
            <w:shd w:val="clear" w:color="auto" w:fill="232C6B"/>
          </w:tcPr>
          <w:p>
            <w:pPr>
              <w:pStyle w:val="Compact"/>
            </w:pPr>
            <w:r>
              <w:rPr>
                <w:b/>
                <w:color w:val="FFFFFF"/>
                <w:sz w:val="17"/>
              </w:rPr>
              <w:t xml:space="preserve">Contenu</w:t>
            </w:r>
          </w:p>
        </w:tc>
      </w:tr>
      <w:tr>
        <w:tc>
          <w:tcPr/>
          <w:p>
            <w:pPr>
              <w:pStyle w:val="Compact"/>
            </w:pPr>
            <w:r>
              <w:rPr>
                <w:sz w:val="17"/>
              </w:rPr>
              <w:t xml:space="preserve">Finalité</w:t>
            </w:r>
          </w:p>
        </w:tc>
        <w:tc>
          <w:tcPr/>
          <w:p>
            <w:pPr>
              <w:pStyle w:val="Compact"/>
            </w:pPr>
            <w:r>
              <w:rPr>
                <w:sz w:val="17"/>
              </w:rPr>
              <w:t xml:space="preserve">Tracer les départs, les passagers et les mouvements d’embarcations</w:t>
            </w:r>
          </w:p>
        </w:tc>
      </w:tr>
      <w:tr>
        <w:tc>
          <w:tcPr>
            <w:shd w:val="clear" w:color="auto" w:fill="F5F7FB"/>
          </w:tcPr>
          <w:p>
            <w:pPr>
              <w:pStyle w:val="Compact"/>
            </w:pPr>
            <w:r>
              <w:rPr>
                <w:sz w:val="17"/>
              </w:rPr>
              <w:t xml:space="preserve">Modules</w:t>
            </w:r>
          </w:p>
        </w:tc>
        <w:tc>
          <w:tcPr>
            <w:shd w:val="clear" w:color="auto" w:fill="F5F7FB"/>
          </w:tcPr>
          <w:p>
            <w:pPr>
              <w:pStyle w:val="Compact"/>
            </w:pPr>
            <w:r>
              <w:rPr>
                <w:sz w:val="17"/>
              </w:rPr>
              <w:t xml:space="preserve">13, 24, 70, 71</w:t>
            </w:r>
          </w:p>
        </w:tc>
      </w:tr>
      <w:tr>
        <w:tc>
          <w:tcPr/>
          <w:p>
            <w:pPr>
              <w:pStyle w:val="Compact"/>
            </w:pPr>
            <w:r>
              <w:rPr>
                <w:sz w:val="17"/>
              </w:rPr>
              <w:t xml:space="preserve">Flux</w:t>
            </w:r>
          </w:p>
        </w:tc>
        <w:tc>
          <w:tcPr/>
          <w:p>
            <w:pPr>
              <w:pStyle w:val="Compact"/>
            </w:pPr>
            <w:r>
              <w:rPr>
                <w:sz w:val="17"/>
              </w:rPr>
              <w:t xml:space="preserve">Registre des embarcations (identifiant, QR, propriétaire, capacité) et des quais → titre d’embarquement à usage unique (par passager ou par départ) → paiement au départ par monnaie mobile ou point agréé,</w:t>
            </w:r>
            <w:r>
              <w:rPr>
                <w:sz w:val="17"/>
              </w:rPr>
              <w:t xml:space="preserve"> </w:t>
            </w:r>
            <w:r>
              <w:rPr>
                <w:b/>
                <w:bCs/>
                <w:sz w:val="17"/>
              </w:rPr>
              <w:t xml:space="preserve">jamais à l’agent de quai</w:t>
            </w:r>
            <w:r>
              <w:rPr>
                <w:sz w:val="17"/>
              </w:rPr>
              <w:t xml:space="preserve"> </w:t>
            </w:r>
            <w:r>
              <w:rPr>
                <w:sz w:val="17"/>
              </w:rPr>
              <w:t xml:space="preserve">→</w:t>
            </w:r>
            <w:r>
              <w:rPr>
                <w:sz w:val="17"/>
              </w:rPr>
              <w:t xml:space="preserve"> </w:t>
            </w:r>
            <w:r>
              <w:rPr>
                <w:b/>
                <w:bCs/>
                <w:sz w:val="17"/>
              </w:rPr>
              <w:t xml:space="preserve">manifestes</w:t>
            </w:r>
            <w:r>
              <w:rPr>
                <w:sz w:val="17"/>
              </w:rPr>
              <w:t xml:space="preserve"> </w:t>
            </w:r>
            <w:r>
              <w:rPr>
                <w:sz w:val="17"/>
              </w:rPr>
              <w:t xml:space="preserve">(passagers, volumes par départ) → rapprochement mouvements ↔ manifestes ↔ titres ↔ paiements</w:t>
            </w:r>
          </w:p>
        </w:tc>
      </w:tr>
      <w:tr>
        <w:tc>
          <w:tcPr>
            <w:shd w:val="clear" w:color="auto" w:fill="F5F7FB"/>
          </w:tcPr>
          <w:p>
            <w:pPr>
              <w:pStyle w:val="Compact"/>
            </w:pPr>
            <w:r>
              <w:rPr>
                <w:sz w:val="17"/>
              </w:rPr>
              <w:t xml:space="preserve">Titres</w:t>
            </w:r>
          </w:p>
        </w:tc>
        <w:tc>
          <w:tcPr>
            <w:shd w:val="clear" w:color="auto" w:fill="F5F7FB"/>
          </w:tcPr>
          <w:p>
            <w:pPr>
              <w:pStyle w:val="Compact"/>
            </w:pPr>
            <w:r>
              <w:rPr>
                <w:sz w:val="17"/>
              </w:rPr>
              <w:t xml:space="preserve">Titre d’embarquement ou d’accostage (usage unique ou journalier) ; code court SMS</w:t>
            </w:r>
          </w:p>
        </w:tc>
      </w:tr>
      <w:tr>
        <w:tc>
          <w:tcPr/>
          <w:p>
            <w:pPr>
              <w:pStyle w:val="Compact"/>
            </w:pPr>
            <w:r>
              <w:rPr>
                <w:sz w:val="17"/>
              </w:rPr>
              <w:t xml:space="preserve">Contrôles</w:t>
            </w:r>
          </w:p>
        </w:tc>
        <w:tc>
          <w:tcPr/>
          <w:p>
            <w:pPr>
              <w:pStyle w:val="Compact"/>
            </w:pPr>
            <w:r>
              <w:rPr>
                <w:sz w:val="17"/>
              </w:rPr>
              <w:t xml:space="preserve">Consommation au premier scan, « DÉJÀ UTILISÉ » ensuite ; aucun encaissement par l’agent de quai</w:t>
            </w:r>
          </w:p>
        </w:tc>
      </w:tr>
      <w:tr>
        <w:tc>
          <w:tcPr>
            <w:shd w:val="clear" w:color="auto" w:fill="F5F7FB"/>
          </w:tcPr>
          <w:p>
            <w:pPr>
              <w:pStyle w:val="Compact"/>
            </w:pPr>
            <w:r>
              <w:rPr>
                <w:sz w:val="17"/>
              </w:rPr>
              <w:t xml:space="preserve">Indicateurs</w:t>
            </w:r>
          </w:p>
        </w:tc>
        <w:tc>
          <w:tcPr>
            <w:shd w:val="clear" w:color="auto" w:fill="F5F7FB"/>
          </w:tcPr>
          <w:p>
            <w:pPr>
              <w:pStyle w:val="Compact"/>
            </w:pPr>
            <w:r>
              <w:rPr>
                <w:sz w:val="17"/>
              </w:rPr>
              <w:t xml:space="preserve">Départs tracés ; titres consommés ; écart manifestes / titres ; recettes portuaires</w:t>
            </w:r>
          </w:p>
        </w:tc>
      </w:tr>
      <w:tr>
        <w:tc>
          <w:tcPr/>
          <w:p>
            <w:pPr>
              <w:pStyle w:val="Compact"/>
            </w:pPr>
            <w:r>
              <w:rPr>
                <w:sz w:val="17"/>
              </w:rPr>
              <w:t xml:space="preserve">Prérequis juridiques</w:t>
            </w:r>
          </w:p>
        </w:tc>
        <w:tc>
          <w:tcPr/>
          <w:p>
            <w:pPr>
              <w:pStyle w:val="Compact"/>
            </w:pPr>
            <w:r>
              <w:rPr>
                <w:sz w:val="17"/>
              </w:rPr>
              <w:t xml:space="preserve">Cadrage sectoriel et base légale (J30)</w:t>
            </w:r>
          </w:p>
        </w:tc>
      </w:tr>
      <w:tr>
        <w:tc>
          <w:tcPr>
            <w:shd w:val="clear" w:color="auto" w:fill="F5F7FB"/>
          </w:tcPr>
          <w:p>
            <w:pPr>
              <w:pStyle w:val="Compact"/>
            </w:pPr>
            <w:r>
              <w:rPr>
                <w:sz w:val="17"/>
              </w:rPr>
              <w:t xml:space="preserve">Release</w:t>
            </w:r>
          </w:p>
        </w:tc>
        <w:tc>
          <w:tcPr>
            <w:shd w:val="clear" w:color="auto" w:fill="F5F7FB"/>
          </w:tcPr>
          <w:p>
            <w:pPr>
              <w:pStyle w:val="Compact"/>
            </w:pPr>
            <w:r>
              <w:rPr>
                <w:sz w:val="17"/>
              </w:rPr>
              <w:t xml:space="preserve">SF : R3 → v3.0 : R3 après J30</w:t>
            </w:r>
          </w:p>
        </w:tc>
      </w:tr>
    </w:tbl>
    <w:bookmarkEnd w:id="555"/>
    <w:bookmarkStart w:id="559" w:name="X20ec3df62af26cb5beb42f759e14b14fec4d208"/>
    <w:p>
      <w:pPr>
        <w:pStyle w:val="Heading3"/>
      </w:pPr>
      <w:r>
        <w:t xml:space="preserve">H.27.12 AVIA — réconciliation fiscale aérienne (KIN-AVIA FISCUS)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Rubrique</w:t>
            </w:r>
          </w:p>
        </w:tc>
        <w:tc>
          <w:tcPr>
            <w:shd w:val="clear" w:color="auto" w:fill="232C6B"/>
          </w:tcPr>
          <w:p>
            <w:pPr>
              <w:pStyle w:val="Compact"/>
            </w:pPr>
            <w:r>
              <w:rPr>
                <w:b/>
                <w:color w:val="FFFFFF"/>
                <w:sz w:val="17"/>
              </w:rPr>
              <w:t xml:space="preserve">Contenu</w:t>
            </w:r>
          </w:p>
        </w:tc>
      </w:tr>
      <w:tr>
        <w:tc>
          <w:tcPr/>
          <w:p>
            <w:pPr>
              <w:pStyle w:val="Compact"/>
            </w:pPr>
            <w:r>
              <w:rPr>
                <w:sz w:val="17"/>
              </w:rPr>
              <w:t xml:space="preserve">Finalité</w:t>
            </w:r>
          </w:p>
        </w:tc>
        <w:tc>
          <w:tcPr/>
          <w:p>
            <w:pPr>
              <w:pStyle w:val="Compact"/>
            </w:pPr>
            <w:r>
              <w:rPr>
                <w:sz w:val="17"/>
              </w:rPr>
              <w:t xml:space="preserve">Faire en sorte que la Ville</w:t>
            </w:r>
            <w:r>
              <w:rPr>
                <w:sz w:val="17"/>
              </w:rPr>
              <w:t xml:space="preserve"> </w:t>
            </w:r>
            <w:r>
              <w:rPr>
                <w:b/>
                <w:bCs/>
                <w:sz w:val="17"/>
              </w:rPr>
              <w:t xml:space="preserve">calcule</w:t>
            </w:r>
            <w:r>
              <w:rPr>
                <w:sz w:val="17"/>
              </w:rPr>
              <w:t xml:space="preserve"> </w:t>
            </w:r>
            <w:r>
              <w:rPr>
                <w:sz w:val="17"/>
              </w:rPr>
              <w:t xml:space="preserve">ce qui lui est dû sur la taxe urbaine intégrée au billet passager (dont la taxe dite « Kimbuta ») et sur la taxe d’embarquement du fret, au lieu de dépendre des déclarations des compagnies</w:t>
            </w:r>
          </w:p>
        </w:tc>
      </w:tr>
      <w:tr>
        <w:tc>
          <w:tcPr>
            <w:shd w:val="clear" w:color="auto" w:fill="F5F7FB"/>
          </w:tcPr>
          <w:p>
            <w:pPr>
              <w:pStyle w:val="Compact"/>
            </w:pPr>
            <w:r>
              <w:rPr>
                <w:sz w:val="17"/>
              </w:rPr>
              <w:t xml:space="preserve">Modules</w:t>
            </w:r>
          </w:p>
        </w:tc>
        <w:tc>
          <w:tcPr>
            <w:shd w:val="clear" w:color="auto" w:fill="F5F7FB"/>
          </w:tcPr>
          <w:p>
            <w:pPr>
              <w:pStyle w:val="Compact"/>
            </w:pPr>
            <w:r>
              <w:rPr>
                <w:sz w:val="17"/>
              </w:rPr>
              <w:t xml:space="preserve">52, 62, 78</w:t>
            </w:r>
          </w:p>
        </w:tc>
      </w:tr>
      <w:tr>
        <w:tc>
          <w:tcPr/>
          <w:p>
            <w:pPr>
              <w:pStyle w:val="Compact"/>
            </w:pPr>
            <w:r>
              <w:rPr>
                <w:sz w:val="17"/>
              </w:rPr>
              <w:t xml:space="preserve">Flux</w:t>
            </w:r>
          </w:p>
        </w:tc>
        <w:tc>
          <w:tcPr/>
          <w:p>
            <w:pPr>
              <w:pStyle w:val="Compact"/>
            </w:pPr>
            <w:r>
              <w:rPr>
                <w:sz w:val="17"/>
              </w:rPr>
              <w:t xml:space="preserve">Voir diagramme ci-dessous</w:t>
            </w:r>
          </w:p>
        </w:tc>
      </w:tr>
      <w:tr>
        <w:tc>
          <w:tcPr>
            <w:shd w:val="clear" w:color="auto" w:fill="F5F7FB"/>
          </w:tcPr>
          <w:p>
            <w:pPr>
              <w:pStyle w:val="Compact"/>
            </w:pPr>
            <w:r>
              <w:rPr>
                <w:sz w:val="17"/>
              </w:rPr>
              <w:t xml:space="preserve">Titres</w:t>
            </w:r>
          </w:p>
        </w:tc>
        <w:tc>
          <w:tcPr>
            <w:shd w:val="clear" w:color="auto" w:fill="F5F7FB"/>
          </w:tcPr>
          <w:p>
            <w:pPr>
              <w:pStyle w:val="Compact"/>
            </w:pPr>
            <w:r>
              <w:rPr>
                <w:sz w:val="17"/>
              </w:rPr>
              <w:t xml:space="preserve">Identifiant fiscal aérien (IFA) intégré au QR de la carte d’embarquement</w:t>
            </w:r>
          </w:p>
        </w:tc>
      </w:tr>
      <w:tr>
        <w:tc>
          <w:tcPr/>
          <w:p>
            <w:pPr>
              <w:pStyle w:val="Compact"/>
            </w:pPr>
            <w:r>
              <w:rPr>
                <w:sz w:val="17"/>
              </w:rPr>
              <w:t xml:space="preserve">Contrôles</w:t>
            </w:r>
          </w:p>
        </w:tc>
        <w:tc>
          <w:tcPr/>
          <w:p>
            <w:pPr>
              <w:pStyle w:val="Compact"/>
            </w:pPr>
            <w:r>
              <w:rPr>
                <w:b/>
                <w:bCs/>
                <w:sz w:val="17"/>
              </w:rPr>
              <w:t xml:space="preserve">Mesures contraignantes seulement après arrêté</w:t>
            </w:r>
            <w:r>
              <w:rPr>
                <w:sz w:val="17"/>
              </w:rPr>
              <w:t xml:space="preserve"> </w:t>
            </w:r>
            <w:r>
              <w:rPr>
                <w:sz w:val="17"/>
              </w:rPr>
              <w:t xml:space="preserve">(J23), décidées par l’autorité compétente ; écarts facturés</w:t>
            </w:r>
            <w:r>
              <w:rPr>
                <w:sz w:val="17"/>
              </w:rPr>
              <w:t xml:space="preserve"> </w:t>
            </w:r>
            <w:r>
              <w:rPr>
                <w:b/>
                <w:bCs/>
                <w:sz w:val="17"/>
              </w:rPr>
              <w:t xml:space="preserve">après procédure contradictoire</w:t>
            </w:r>
            <w:r>
              <w:rPr>
                <w:sz w:val="17"/>
              </w:rPr>
              <w:t xml:space="preserve"> </w:t>
            </w:r>
            <w:r>
              <w:rPr>
                <w:sz w:val="17"/>
              </w:rPr>
              <w:t xml:space="preserve">avec la compagnie ; aucune interférence avec Go-Pass ; aucun coût pour le voyageur ; données passagers pseudonymisées</w:t>
            </w:r>
          </w:p>
        </w:tc>
      </w:tr>
      <w:tr>
        <w:tc>
          <w:tcPr>
            <w:shd w:val="clear" w:color="auto" w:fill="F5F7FB"/>
          </w:tcPr>
          <w:p>
            <w:pPr>
              <w:pStyle w:val="Compact"/>
            </w:pPr>
            <w:r>
              <w:rPr>
                <w:sz w:val="17"/>
              </w:rPr>
              <w:t xml:space="preserve">Indicateurs</w:t>
            </w:r>
          </w:p>
        </w:tc>
        <w:tc>
          <w:tcPr>
            <w:shd w:val="clear" w:color="auto" w:fill="F5F7FB"/>
          </w:tcPr>
          <w:p>
            <w:pPr>
              <w:pStyle w:val="Compact"/>
            </w:pPr>
            <w:r>
              <w:rPr>
                <w:sz w:val="17"/>
              </w:rPr>
              <w:t xml:space="preserve">Passagers tracés ; écart de reversement ((dû calculé − reversé) / dû) ; délai de régularisation par compagnie</w:t>
            </w:r>
          </w:p>
        </w:tc>
      </w:tr>
      <w:tr>
        <w:tc>
          <w:tcPr/>
          <w:p>
            <w:pPr>
              <w:pStyle w:val="Compact"/>
            </w:pPr>
            <w:r>
              <w:rPr>
                <w:sz w:val="17"/>
              </w:rPr>
              <w:t xml:space="preserve">Prérequis juridiques</w:t>
            </w:r>
          </w:p>
        </w:tc>
        <w:tc>
          <w:tcPr/>
          <w:p>
            <w:pPr>
              <w:pStyle w:val="Compact"/>
            </w:pPr>
            <w:r>
              <w:rPr>
                <w:sz w:val="17"/>
              </w:rPr>
              <w:t xml:space="preserve">Base légale des taxes aériennes provinciales ; compétences Ville / RVA / DGM / aviation civile ; arrêtés (J23, D21) ; accès aux données BSP/GDS (accords)</w:t>
            </w:r>
          </w:p>
        </w:tc>
      </w:tr>
      <w:tr>
        <w:tc>
          <w:tcPr>
            <w:shd w:val="clear" w:color="auto" w:fill="F5F7FB"/>
          </w:tcPr>
          <w:p>
            <w:pPr>
              <w:pStyle w:val="Compact"/>
            </w:pPr>
            <w:r>
              <w:rPr>
                <w:sz w:val="17"/>
              </w:rPr>
              <w:t xml:space="preserve">Release</w:t>
            </w:r>
          </w:p>
        </w:tc>
        <w:tc>
          <w:tcPr>
            <w:shd w:val="clear" w:color="auto" w:fill="F5F7FB"/>
          </w:tcPr>
          <w:p>
            <w:pPr>
              <w:pStyle w:val="Compact"/>
            </w:pPr>
            <w:r>
              <w:rPr>
                <w:sz w:val="17"/>
              </w:rPr>
              <w:t xml:space="preserve">SF : R3–R4 → v3.0 : R4</w:t>
            </w:r>
          </w:p>
        </w:tc>
      </w:tr>
    </w:tbl>
    <w:p>
      <w:pPr>
        <w:pStyle w:val="BodyText"/>
      </w:pPr>
      <w:r>
        <w:rPr>
          <w:b/>
          <w:bCs/>
        </w:rPr>
        <w:t xml:space="preserve">Constat chiffré du dossier source</w:t>
      </w:r>
      <w:r>
        <w:t xml:space="preserve"> </w:t>
      </w:r>
      <w:r>
        <w:t xml:space="preserve">[À VÉRIFIER — toutes les valeurs] :</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Donnée</w:t>
            </w:r>
          </w:p>
        </w:tc>
        <w:tc>
          <w:tcPr>
            <w:shd w:val="clear" w:color="auto" w:fill="232C6B"/>
          </w:tcPr>
          <w:p>
            <w:pPr>
              <w:pStyle w:val="Compact"/>
            </w:pPr>
            <w:r>
              <w:rPr>
                <w:b/>
                <w:color w:val="FFFFFF"/>
                <w:sz w:val="17"/>
              </w:rPr>
              <w:t xml:space="preserve">Valeur source</w:t>
            </w:r>
          </w:p>
        </w:tc>
      </w:tr>
      <w:tr>
        <w:tc>
          <w:tcPr/>
          <w:p>
            <w:pPr>
              <w:pStyle w:val="Compact"/>
            </w:pPr>
            <w:r>
              <w:rPr>
                <w:sz w:val="17"/>
              </w:rPr>
              <w:t xml:space="preserve">Passagers au départ</w:t>
            </w:r>
          </w:p>
        </w:tc>
        <w:tc>
          <w:tcPr/>
          <w:p>
            <w:pPr>
              <w:pStyle w:val="Compact"/>
            </w:pPr>
            <w:r>
              <w:rPr>
                <w:sz w:val="17"/>
              </w:rPr>
              <w:t xml:space="preserve">≈ 420 000 par an</w:t>
            </w:r>
          </w:p>
        </w:tc>
      </w:tr>
      <w:tr>
        <w:tc>
          <w:tcPr>
            <w:shd w:val="clear" w:color="auto" w:fill="F5F7FB"/>
          </w:tcPr>
          <w:p>
            <w:pPr>
              <w:pStyle w:val="Compact"/>
            </w:pPr>
            <w:r>
              <w:rPr>
                <w:sz w:val="17"/>
              </w:rPr>
              <w:t xml:space="preserve">Taxe moyenne</w:t>
            </w:r>
          </w:p>
        </w:tc>
        <w:tc>
          <w:tcPr>
            <w:shd w:val="clear" w:color="auto" w:fill="F5F7FB"/>
          </w:tcPr>
          <w:p>
            <w:pPr>
              <w:pStyle w:val="Compact"/>
            </w:pPr>
            <w:r>
              <w:rPr>
                <w:sz w:val="17"/>
              </w:rPr>
              <w:t xml:space="preserve">≈ 5 USD par passager</w:t>
            </w:r>
          </w:p>
        </w:tc>
      </w:tr>
      <w:tr>
        <w:tc>
          <w:tcPr/>
          <w:p>
            <w:pPr>
              <w:pStyle w:val="Compact"/>
            </w:pPr>
            <w:r>
              <w:rPr>
                <w:sz w:val="17"/>
              </w:rPr>
              <w:t xml:space="preserve">Potentiel théorique (hors fret)</w:t>
            </w:r>
          </w:p>
        </w:tc>
        <w:tc>
          <w:tcPr/>
          <w:p>
            <w:pPr>
              <w:pStyle w:val="Compact"/>
            </w:pPr>
            <w:r>
              <w:rPr>
                <w:sz w:val="17"/>
              </w:rPr>
              <w:t xml:space="preserve">≈ 2,1 M USD par an (420 000 × 5)</w:t>
            </w:r>
          </w:p>
        </w:tc>
      </w:tr>
      <w:tr>
        <w:tc>
          <w:tcPr>
            <w:shd w:val="clear" w:color="auto" w:fill="F5F7FB"/>
          </w:tcPr>
          <w:p>
            <w:pPr>
              <w:pStyle w:val="Compact"/>
            </w:pPr>
            <w:r>
              <w:rPr>
                <w:sz w:val="17"/>
              </w:rPr>
              <w:t xml:space="preserve">Recettes constatées historiquement</w:t>
            </w:r>
          </w:p>
        </w:tc>
        <w:tc>
          <w:tcPr>
            <w:shd w:val="clear" w:color="auto" w:fill="F5F7FB"/>
          </w:tcPr>
          <w:p>
            <w:pPr>
              <w:pStyle w:val="Compact"/>
            </w:pPr>
            <w:r>
              <w:rPr>
                <w:sz w:val="17"/>
              </w:rPr>
              <w:t xml:space="preserve">≈ 0,4 à 0,5 M USD par an</w:t>
            </w:r>
          </w:p>
        </w:tc>
      </w:tr>
      <w:tr>
        <w:tc>
          <w:tcPr/>
          <w:p>
            <w:pPr>
              <w:pStyle w:val="Compact"/>
            </w:pPr>
            <w:r>
              <w:rPr>
                <w:sz w:val="17"/>
              </w:rPr>
              <w:t xml:space="preserve">Collecte 2017 – mi-2019</w:t>
            </w:r>
          </w:p>
        </w:tc>
        <w:tc>
          <w:tcPr/>
          <w:p>
            <w:pPr>
              <w:pStyle w:val="Compact"/>
            </w:pPr>
            <w:r>
              <w:rPr>
                <w:sz w:val="17"/>
              </w:rPr>
              <w:t xml:space="preserve">1,409 M USD, pour des projections d’environ 3 M USD par an</w:t>
            </w:r>
          </w:p>
        </w:tc>
      </w:tr>
      <w:tr>
        <w:tc>
          <w:tcPr>
            <w:shd w:val="clear" w:color="auto" w:fill="F5F7FB"/>
          </w:tcPr>
          <w:p>
            <w:pPr>
              <w:pStyle w:val="Compact"/>
            </w:pPr>
            <w:r>
              <w:rPr>
                <w:sz w:val="17"/>
              </w:rPr>
              <w:t xml:space="preserve">Fret aérien</w:t>
            </w:r>
          </w:p>
        </w:tc>
        <w:tc>
          <w:tcPr>
            <w:shd w:val="clear" w:color="auto" w:fill="F5F7FB"/>
          </w:tcPr>
          <w:p>
            <w:pPr>
              <w:pStyle w:val="Compact"/>
            </w:pPr>
            <w:r>
              <w:rPr>
                <w:sz w:val="17"/>
              </w:rPr>
              <w:t xml:space="preserve">≈ 0 USD déclaré</w:t>
            </w:r>
          </w:p>
        </w:tc>
      </w:tr>
      <w:tr>
        <w:tc>
          <w:tcPr/>
          <w:p>
            <w:pPr>
              <w:pStyle w:val="Compact"/>
            </w:pPr>
            <w:r>
              <w:rPr>
                <w:sz w:val="17"/>
              </w:rPr>
              <w:t xml:space="preserve">Scénario prudent</w:t>
            </w:r>
          </w:p>
        </w:tc>
        <w:tc>
          <w:tcPr/>
          <w:p>
            <w:pPr>
              <w:pStyle w:val="Compact"/>
            </w:pPr>
            <w:r>
              <w:rPr>
                <w:sz w:val="17"/>
              </w:rPr>
              <w:t xml:space="preserve">85 % du potentiel ≈ 1,8 M USD par an ; gain net ≈ + 1,3 M USD par an hors fret</w:t>
            </w:r>
          </w:p>
        </w:tc>
      </w:tr>
    </w:tbl>
    <w:p>
      <w:pPr>
        <w:pStyle w:val="BodyText"/>
      </w:pPr>
      <w:r>
        <w:rPr>
          <w:b/>
          <w:bCs/>
        </w:rPr>
        <w:t xml:space="preserve">Chaîne actuelle et ruptures</w:t>
      </w:r>
      <w:r>
        <w:t xml:space="preserve"> </w:t>
      </w:r>
      <w:r>
        <w:t xml:space="preserve">: les GDS calculent la taxe à partir de la base IATA (Ticket Tax Box Service) ; les agences vendent ; les fonds transitent par le Billing and Settlement Plan (BSP) de l’IATA et sont reversés aux compagnies, à qui il revient de reverser les taxes. Ruptures : aucun accès de la Ville au flux BSP ; aucun lien automatisé entre billets émis, passagers embarqués (RVA), sorties validées (DGM) et montants reversés ; reporting non consolidé des banques collectrices.</w:t>
      </w:r>
    </w:p>
    <w:p>
      <w:pPr>
        <w:pStyle w:val="BodyText"/>
      </w:pPr>
      <w:r>
        <w:rPr>
          <w:b/>
          <w:bCs/>
        </w:rPr>
        <w:t xml:space="preserve">Concept</w:t>
      </w:r>
      <w:r>
        <w:t xml:space="preserve"> </w:t>
      </w:r>
      <w:r>
        <w:t xml:space="preserve">: un</w:t>
      </w:r>
      <w:r>
        <w:t xml:space="preserve"> </w:t>
      </w:r>
      <w:r>
        <w:rPr>
          <w:b/>
          <w:bCs/>
        </w:rPr>
        <w:t xml:space="preserve">hub de réconciliation des recettes</w:t>
      </w:r>
      <w:r>
        <w:t xml:space="preserve"> </w:t>
      </w:r>
      <w:r>
        <w:t xml:space="preserve">(RRH) contrôlé par la Ville, qui ne remplace pas la chaîne IATA mais crée une couche locale de contrôle ; intégration par API avec les compagnies structurées (GDS, systèmes de contrôle des départs) ;</w:t>
      </w:r>
      <w:r>
        <w:t xml:space="preserve"> </w:t>
      </w:r>
      <w:r>
        <w:rPr>
          <w:b/>
          <w:bCs/>
        </w:rPr>
        <w:t xml:space="preserve">portail sécurisé pour les agences locales</w:t>
      </w:r>
      <w:r>
        <w:t xml:space="preserve"> </w:t>
      </w:r>
      <w:r>
        <w:t xml:space="preserve">(comptes certifiés, déclarations structurées).</w:t>
      </w:r>
    </w:p>
    <w:p>
      <w:pPr>
        <w:pStyle w:val="BodyText"/>
      </w:pPr>
      <w:r>
        <w:drawing>
          <wp:inline>
            <wp:extent cx="6108700" cy="553211"/>
            <wp:effectExtent b="0" l="0" r="0" t="0"/>
            <wp:docPr descr="" title="" id="557" name="Picture"/>
            <a:graphic>
              <a:graphicData uri="http://schemas.openxmlformats.org/drawingml/2006/picture">
                <pic:pic>
                  <pic:nvPicPr>
                    <pic:cNvPr descr="figures/mermaid/mmd-3b1f8f0902aa.png" id="558" name="Picture"/>
                    <pic:cNvPicPr>
                      <a:picLocks noChangeArrowheads="1" noChangeAspect="1"/>
                    </pic:cNvPicPr>
                  </pic:nvPicPr>
                  <pic:blipFill>
                    <a:blip r:embed="rId556"/>
                    <a:stretch>
                      <a:fillRect/>
                    </a:stretch>
                  </pic:blipFill>
                  <pic:spPr bwMode="auto">
                    <a:xfrm>
                      <a:off x="0" y="0"/>
                      <a:ext cx="6108700" cy="553211"/>
                    </a:xfrm>
                    <a:prstGeom prst="rect">
                      <a:avLst/>
                    </a:prstGeom>
                    <a:noFill/>
                    <a:ln w="9525">
                      <a:noFill/>
                      <a:headEnd/>
                      <a:tailEnd/>
                    </a:ln>
                  </pic:spPr>
                </pic:pic>
              </a:graphicData>
            </a:graphic>
          </wp:inline>
        </w:drawing>
      </w:r>
    </w:p>
    <w:p>
      <w:pPr>
        <w:pStyle w:val="BodyText"/>
      </w:pPr>
      <w:r>
        <w:t xml:space="preserve">La règle proposée par le dossier source — « billet sans IFA = non validable au départ », avec pénalités électroniques, suspension d’accès au départ et retrait d’agrément —</w:t>
      </w:r>
      <w:r>
        <w:t xml:space="preserve"> </w:t>
      </w:r>
      <w:r>
        <w:rPr>
          <w:b/>
          <w:bCs/>
        </w:rPr>
        <w:t xml:space="preserve">n’est paramétrable qu’après adoption de l’arrêté</w:t>
      </w:r>
      <w:r>
        <w:t xml:space="preserve"> </w:t>
      </w:r>
      <w:r>
        <w:t xml:space="preserve">et en coordination avec la RVA, la DGM, l’autorité de l’aviation civile et les compagnies ; le système constate et calcule, il ne sanctionne pas (ARB-12). La répartition 65 % Ville / 35 % prestataire proposée par le dossier source n’est pas retenue (ARB-07).</w:t>
      </w:r>
    </w:p>
    <w:bookmarkEnd w:id="559"/>
    <w:bookmarkStart w:id="560" w:name="h.27.13-events-spectacles-et-événements"/>
    <w:p>
      <w:pPr>
        <w:pStyle w:val="Heading3"/>
      </w:pPr>
      <w:r>
        <w:t xml:space="preserve">H.27.13 Events — spectacles et événements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Rubrique</w:t>
            </w:r>
          </w:p>
        </w:tc>
        <w:tc>
          <w:tcPr>
            <w:shd w:val="clear" w:color="auto" w:fill="232C6B"/>
          </w:tcPr>
          <w:p>
            <w:pPr>
              <w:pStyle w:val="Compact"/>
            </w:pPr>
            <w:r>
              <w:rPr>
                <w:b/>
                <w:color w:val="FFFFFF"/>
                <w:sz w:val="17"/>
              </w:rPr>
              <w:t xml:space="preserve">Contenu</w:t>
            </w:r>
          </w:p>
        </w:tc>
      </w:tr>
      <w:tr>
        <w:tc>
          <w:tcPr/>
          <w:p>
            <w:pPr>
              <w:pStyle w:val="Compact"/>
            </w:pPr>
            <w:r>
              <w:rPr>
                <w:sz w:val="17"/>
              </w:rPr>
              <w:t xml:space="preserve">Finalité</w:t>
            </w:r>
          </w:p>
        </w:tc>
        <w:tc>
          <w:tcPr/>
          <w:p>
            <w:pPr>
              <w:pStyle w:val="Compact"/>
            </w:pPr>
            <w:r>
              <w:rPr>
                <w:sz w:val="17"/>
              </w:rPr>
              <w:t xml:space="preserve">Conditionner toute autorisation d’événement à l’enregistrement et asseoir la taxe sur une billetterie déclarée ou contrôlée</w:t>
            </w:r>
          </w:p>
        </w:tc>
      </w:tr>
      <w:tr>
        <w:tc>
          <w:tcPr>
            <w:shd w:val="clear" w:color="auto" w:fill="F5F7FB"/>
          </w:tcPr>
          <w:p>
            <w:pPr>
              <w:pStyle w:val="Compact"/>
            </w:pPr>
            <w:r>
              <w:rPr>
                <w:sz w:val="17"/>
              </w:rPr>
              <w:t xml:space="preserve">Modules</w:t>
            </w:r>
          </w:p>
        </w:tc>
        <w:tc>
          <w:tcPr>
            <w:shd w:val="clear" w:color="auto" w:fill="F5F7FB"/>
          </w:tcPr>
          <w:p>
            <w:pPr>
              <w:pStyle w:val="Compact"/>
            </w:pPr>
            <w:r>
              <w:rPr>
                <w:sz w:val="17"/>
              </w:rPr>
              <w:t xml:space="preserve">21, 70, 76</w:t>
            </w:r>
          </w:p>
        </w:tc>
      </w:tr>
      <w:tr>
        <w:tc>
          <w:tcPr/>
          <w:p>
            <w:pPr>
              <w:pStyle w:val="Compact"/>
            </w:pPr>
            <w:r>
              <w:rPr>
                <w:sz w:val="17"/>
              </w:rPr>
              <w:t xml:space="preserve">Flux</w:t>
            </w:r>
          </w:p>
        </w:tc>
        <w:tc>
          <w:tcPr/>
          <w:p>
            <w:pPr>
              <w:pStyle w:val="Compact"/>
            </w:pPr>
            <w:r>
              <w:rPr>
                <w:sz w:val="17"/>
              </w:rPr>
              <w:t xml:space="preserve">Demande d’autorisation en ligne + pièces → déclaration de billetterie ou de jauge → certificat QR affiché sur le lieu → liquidation → rapprochement déclaration ↔ contrôle (billetterie RakaPay le cas échéant)</w:t>
            </w:r>
          </w:p>
        </w:tc>
      </w:tr>
      <w:tr>
        <w:tc>
          <w:tcPr>
            <w:shd w:val="clear" w:color="auto" w:fill="F5F7FB"/>
          </w:tcPr>
          <w:p>
            <w:pPr>
              <w:pStyle w:val="Compact"/>
            </w:pPr>
            <w:r>
              <w:rPr>
                <w:sz w:val="17"/>
              </w:rPr>
              <w:t xml:space="preserve">Titres</w:t>
            </w:r>
          </w:p>
        </w:tc>
        <w:tc>
          <w:tcPr>
            <w:shd w:val="clear" w:color="auto" w:fill="F5F7FB"/>
          </w:tcPr>
          <w:p>
            <w:pPr>
              <w:pStyle w:val="Compact"/>
            </w:pPr>
            <w:r>
              <w:rPr>
                <w:sz w:val="17"/>
              </w:rPr>
              <w:t xml:space="preserve">Autorisation par événement (seuil ambre : 2 jours) ; certificat QR</w:t>
            </w:r>
          </w:p>
        </w:tc>
      </w:tr>
      <w:tr>
        <w:tc>
          <w:tcPr/>
          <w:p>
            <w:pPr>
              <w:pStyle w:val="Compact"/>
            </w:pPr>
            <w:r>
              <w:rPr>
                <w:sz w:val="17"/>
              </w:rPr>
              <w:t xml:space="preserve">Contrôles</w:t>
            </w:r>
          </w:p>
        </w:tc>
        <w:tc>
          <w:tcPr/>
          <w:p>
            <w:pPr>
              <w:pStyle w:val="Compact"/>
            </w:pPr>
            <w:r>
              <w:rPr>
                <w:sz w:val="17"/>
              </w:rPr>
              <w:t xml:space="preserve">Autorisation refusée sans enregistrement préalable ; contrôle de jauge par échantillonnage</w:t>
            </w:r>
          </w:p>
        </w:tc>
      </w:tr>
      <w:tr>
        <w:tc>
          <w:tcPr>
            <w:shd w:val="clear" w:color="auto" w:fill="F5F7FB"/>
          </w:tcPr>
          <w:p>
            <w:pPr>
              <w:pStyle w:val="Compact"/>
            </w:pPr>
            <w:r>
              <w:rPr>
                <w:sz w:val="17"/>
              </w:rPr>
              <w:t xml:space="preserve">Indicateurs</w:t>
            </w:r>
          </w:p>
        </w:tc>
        <w:tc>
          <w:tcPr>
            <w:shd w:val="clear" w:color="auto" w:fill="F5F7FB"/>
          </w:tcPr>
          <w:p>
            <w:pPr>
              <w:pStyle w:val="Compact"/>
            </w:pPr>
            <w:r>
              <w:rPr>
                <w:sz w:val="17"/>
              </w:rPr>
              <w:t xml:space="preserve">Événements autorisés ; recettes par événement ; écart déclaré / contrôlé</w:t>
            </w:r>
          </w:p>
        </w:tc>
      </w:tr>
      <w:tr>
        <w:tc>
          <w:tcPr/>
          <w:p>
            <w:pPr>
              <w:pStyle w:val="Compact"/>
            </w:pPr>
            <w:r>
              <w:rPr>
                <w:sz w:val="17"/>
              </w:rPr>
              <w:t xml:space="preserve">Prérequis juridiques</w:t>
            </w:r>
          </w:p>
        </w:tc>
        <w:tc>
          <w:tcPr/>
          <w:p>
            <w:pPr>
              <w:pStyle w:val="Compact"/>
            </w:pPr>
            <w:r>
              <w:rPr>
                <w:sz w:val="17"/>
              </w:rPr>
              <w:t xml:space="preserve">Base légale et tarif (J1, J3)</w:t>
            </w:r>
          </w:p>
        </w:tc>
      </w:tr>
      <w:tr>
        <w:tc>
          <w:tcPr>
            <w:shd w:val="clear" w:color="auto" w:fill="F5F7FB"/>
          </w:tcPr>
          <w:p>
            <w:pPr>
              <w:pStyle w:val="Compact"/>
            </w:pPr>
            <w:r>
              <w:rPr>
                <w:sz w:val="17"/>
              </w:rPr>
              <w:t xml:space="preserve">Release</w:t>
            </w:r>
          </w:p>
        </w:tc>
        <w:tc>
          <w:tcPr>
            <w:shd w:val="clear" w:color="auto" w:fill="F5F7FB"/>
          </w:tcPr>
          <w:p>
            <w:pPr>
              <w:pStyle w:val="Compact"/>
            </w:pPr>
            <w:r>
              <w:rPr>
                <w:sz w:val="17"/>
              </w:rPr>
              <w:t xml:space="preserve">SF : R3 → v3.0 : R3</w:t>
            </w:r>
          </w:p>
        </w:tc>
      </w:tr>
    </w:tbl>
    <w:bookmarkEnd w:id="560"/>
    <w:bookmarkStart w:id="561" w:name="Xcdce04e642335ea089d15f0798dc885aee2a093"/>
    <w:p>
      <w:pPr>
        <w:pStyle w:val="Heading3"/>
      </w:pPr>
      <w:r>
        <w:t xml:space="preserve">H.27.14 Construction — carrières, droits de voirie, permis de bâtir</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Rubrique</w:t>
            </w:r>
          </w:p>
        </w:tc>
        <w:tc>
          <w:tcPr>
            <w:shd w:val="clear" w:color="auto" w:fill="232C6B"/>
          </w:tcPr>
          <w:p>
            <w:pPr>
              <w:pStyle w:val="Compact"/>
            </w:pPr>
            <w:r>
              <w:rPr>
                <w:b/>
                <w:color w:val="FFFFFF"/>
                <w:sz w:val="17"/>
              </w:rPr>
              <w:t xml:space="preserve">Contenu</w:t>
            </w:r>
          </w:p>
        </w:tc>
      </w:tr>
      <w:tr>
        <w:tc>
          <w:tcPr/>
          <w:p>
            <w:pPr>
              <w:pStyle w:val="Compact"/>
            </w:pPr>
            <w:r>
              <w:rPr>
                <w:sz w:val="17"/>
              </w:rPr>
              <w:t xml:space="preserve">Finalité</w:t>
            </w:r>
          </w:p>
        </w:tc>
        <w:tc>
          <w:tcPr/>
          <w:p>
            <w:pPr>
              <w:pStyle w:val="Compact"/>
            </w:pPr>
            <w:r>
              <w:rPr>
                <w:sz w:val="17"/>
              </w:rPr>
              <w:t xml:space="preserve">Tracer les sorties de carrières, les droits de voirie des chantiers et conditionner les permis de bâtir au quitus</w:t>
            </w:r>
          </w:p>
        </w:tc>
      </w:tr>
      <w:tr>
        <w:tc>
          <w:tcPr>
            <w:shd w:val="clear" w:color="auto" w:fill="F5F7FB"/>
          </w:tcPr>
          <w:p>
            <w:pPr>
              <w:pStyle w:val="Compact"/>
            </w:pPr>
            <w:r>
              <w:rPr>
                <w:sz w:val="17"/>
              </w:rPr>
              <w:t xml:space="preserve">Modules</w:t>
            </w:r>
          </w:p>
        </w:tc>
        <w:tc>
          <w:tcPr>
            <w:shd w:val="clear" w:color="auto" w:fill="F5F7FB"/>
          </w:tcPr>
          <w:p>
            <w:pPr>
              <w:pStyle w:val="Compact"/>
            </w:pPr>
            <w:r>
              <w:rPr>
                <w:sz w:val="17"/>
              </w:rPr>
              <w:t xml:space="preserve">19, 22, 82</w:t>
            </w:r>
          </w:p>
        </w:tc>
      </w:tr>
      <w:tr>
        <w:tc>
          <w:tcPr/>
          <w:p>
            <w:pPr>
              <w:pStyle w:val="Compact"/>
            </w:pPr>
            <w:r>
              <w:rPr>
                <w:sz w:val="17"/>
              </w:rPr>
              <w:t xml:space="preserve">Flux</w:t>
            </w:r>
          </w:p>
        </w:tc>
        <w:tc>
          <w:tcPr/>
          <w:p>
            <w:pPr>
              <w:pStyle w:val="Compact"/>
            </w:pPr>
            <w:r>
              <w:rPr>
                <w:sz w:val="17"/>
              </w:rPr>
              <w:t xml:space="preserve">Géoréférencement des sites (superficie, exploitant, titre) → bons de sortie QR à usage unique par camion et chargement → comptage aux points de contrôle → liquidation sur superficie et volumes → droits de voirie des chantiers → quitus pour permis de bâtir</w:t>
            </w:r>
          </w:p>
        </w:tc>
      </w:tr>
      <w:tr>
        <w:tc>
          <w:tcPr>
            <w:shd w:val="clear" w:color="auto" w:fill="F5F7FB"/>
          </w:tcPr>
          <w:p>
            <w:pPr>
              <w:pStyle w:val="Compact"/>
            </w:pPr>
            <w:r>
              <w:rPr>
                <w:sz w:val="17"/>
              </w:rPr>
              <w:t xml:space="preserve">Titres</w:t>
            </w:r>
          </w:p>
        </w:tc>
        <w:tc>
          <w:tcPr>
            <w:shd w:val="clear" w:color="auto" w:fill="F5F7FB"/>
          </w:tcPr>
          <w:p>
            <w:pPr>
              <w:pStyle w:val="Compact"/>
            </w:pPr>
            <w:r>
              <w:rPr>
                <w:sz w:val="17"/>
              </w:rPr>
              <w:t xml:space="preserve">Bon de sortie (usage unique) ; permis d’occuper la voie ; quitus</w:t>
            </w:r>
          </w:p>
        </w:tc>
      </w:tr>
      <w:tr>
        <w:tc>
          <w:tcPr/>
          <w:p>
            <w:pPr>
              <w:pStyle w:val="Compact"/>
            </w:pPr>
            <w:r>
              <w:rPr>
                <w:sz w:val="17"/>
              </w:rPr>
              <w:t xml:space="preserve">Contrôles</w:t>
            </w:r>
          </w:p>
        </w:tc>
        <w:tc>
          <w:tcPr/>
          <w:p>
            <w:pPr>
              <w:pStyle w:val="Compact"/>
            </w:pPr>
            <w:r>
              <w:rPr>
                <w:sz w:val="17"/>
              </w:rPr>
              <w:t xml:space="preserve">Bon non réutilisable ; écart sorties comptées / déclarées suivi mensuellement ; conditionnalité du permis selon l’acte (J6)</w:t>
            </w:r>
          </w:p>
        </w:tc>
      </w:tr>
      <w:tr>
        <w:tc>
          <w:tcPr>
            <w:shd w:val="clear" w:color="auto" w:fill="F5F7FB"/>
          </w:tcPr>
          <w:p>
            <w:pPr>
              <w:pStyle w:val="Compact"/>
            </w:pPr>
            <w:r>
              <w:rPr>
                <w:sz w:val="17"/>
              </w:rPr>
              <w:t xml:space="preserve">Indicateurs</w:t>
            </w:r>
          </w:p>
        </w:tc>
        <w:tc>
          <w:tcPr>
            <w:shd w:val="clear" w:color="auto" w:fill="F5F7FB"/>
          </w:tcPr>
          <w:p>
            <w:pPr>
              <w:pStyle w:val="Compact"/>
            </w:pPr>
            <w:r>
              <w:rPr>
                <w:sz w:val="17"/>
              </w:rPr>
              <w:t xml:space="preserve">Sites actifs ; écart sorties / déclarations ; droits de chantier recouvrés</w:t>
            </w:r>
          </w:p>
        </w:tc>
      </w:tr>
      <w:tr>
        <w:tc>
          <w:tcPr/>
          <w:p>
            <w:pPr>
              <w:pStyle w:val="Compact"/>
            </w:pPr>
            <w:r>
              <w:rPr>
                <w:sz w:val="17"/>
              </w:rPr>
              <w:t xml:space="preserve">Prérequis juridiques</w:t>
            </w:r>
          </w:p>
        </w:tc>
        <w:tc>
          <w:tcPr/>
          <w:p>
            <w:pPr>
              <w:pStyle w:val="Compact"/>
            </w:pPr>
            <w:r>
              <w:rPr>
                <w:sz w:val="17"/>
              </w:rPr>
              <w:t xml:space="preserve">Base légale carrières (J1) ; arrêté et barème des droits de voirie (G17) ; quitus (J6)</w:t>
            </w:r>
          </w:p>
        </w:tc>
      </w:tr>
      <w:tr>
        <w:tc>
          <w:tcPr>
            <w:shd w:val="clear" w:color="auto" w:fill="F5F7FB"/>
          </w:tcPr>
          <w:p>
            <w:pPr>
              <w:pStyle w:val="Compact"/>
            </w:pPr>
            <w:r>
              <w:rPr>
                <w:sz w:val="17"/>
              </w:rPr>
              <w:t xml:space="preserve">Release</w:t>
            </w:r>
          </w:p>
        </w:tc>
        <w:tc>
          <w:tcPr>
            <w:shd w:val="clear" w:color="auto" w:fill="F5F7FB"/>
          </w:tcPr>
          <w:p>
            <w:pPr>
              <w:pStyle w:val="Compact"/>
            </w:pPr>
            <w:r>
              <w:rPr>
                <w:sz w:val="17"/>
              </w:rPr>
              <w:t xml:space="preserve">SF : R3 (22), R2 (19) → v3.0 : R3 ; module 82 en R1</w:t>
            </w:r>
          </w:p>
        </w:tc>
      </w:tr>
    </w:tbl>
    <w:bookmarkEnd w:id="561"/>
    <w:bookmarkStart w:id="562" w:name="Xedcdf67acc11bd44e3abed71ae6f2e7e11effd7"/>
    <w:p>
      <w:pPr>
        <w:pStyle w:val="Heading3"/>
      </w:pPr>
      <w:r>
        <w:t xml:space="preserve">H.27.15 Assets — valorisation des actifs provinciaux</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Rubrique</w:t>
            </w:r>
          </w:p>
        </w:tc>
        <w:tc>
          <w:tcPr>
            <w:shd w:val="clear" w:color="auto" w:fill="232C6B"/>
          </w:tcPr>
          <w:p>
            <w:pPr>
              <w:pStyle w:val="Compact"/>
            </w:pPr>
            <w:r>
              <w:rPr>
                <w:b/>
                <w:color w:val="FFFFFF"/>
                <w:sz w:val="17"/>
              </w:rPr>
              <w:t xml:space="preserve">Contenu</w:t>
            </w:r>
          </w:p>
        </w:tc>
      </w:tr>
      <w:tr>
        <w:tc>
          <w:tcPr/>
          <w:p>
            <w:pPr>
              <w:pStyle w:val="Compact"/>
            </w:pPr>
            <w:r>
              <w:rPr>
                <w:sz w:val="17"/>
              </w:rPr>
              <w:t xml:space="preserve">Finalité</w:t>
            </w:r>
          </w:p>
        </w:tc>
        <w:tc>
          <w:tcPr/>
          <w:p>
            <w:pPr>
              <w:pStyle w:val="Compact"/>
            </w:pPr>
            <w:r>
              <w:rPr>
                <w:sz w:val="17"/>
              </w:rPr>
              <w:t xml:space="preserve">Inventorier, évaluer et valoriser les actifs provinciaux sous-utilisés, sans bradage</w:t>
            </w:r>
          </w:p>
        </w:tc>
      </w:tr>
      <w:tr>
        <w:tc>
          <w:tcPr>
            <w:shd w:val="clear" w:color="auto" w:fill="F5F7FB"/>
          </w:tcPr>
          <w:p>
            <w:pPr>
              <w:pStyle w:val="Compact"/>
            </w:pPr>
            <w:r>
              <w:rPr>
                <w:sz w:val="17"/>
              </w:rPr>
              <w:t xml:space="preserve">Modules</w:t>
            </w:r>
          </w:p>
        </w:tc>
        <w:tc>
          <w:tcPr>
            <w:shd w:val="clear" w:color="auto" w:fill="F5F7FB"/>
          </w:tcPr>
          <w:p>
            <w:pPr>
              <w:pStyle w:val="Compact"/>
            </w:pPr>
            <w:r>
              <w:rPr>
                <w:sz w:val="17"/>
              </w:rPr>
              <w:t xml:space="preserve">48, 61, 92</w:t>
            </w:r>
          </w:p>
        </w:tc>
      </w:tr>
      <w:tr>
        <w:tc>
          <w:tcPr/>
          <w:p>
            <w:pPr>
              <w:pStyle w:val="Compact"/>
            </w:pPr>
            <w:r>
              <w:rPr>
                <w:sz w:val="17"/>
              </w:rPr>
              <w:t xml:space="preserve">Flux</w:t>
            </w:r>
          </w:p>
        </w:tc>
        <w:tc>
          <w:tcPr/>
          <w:p>
            <w:pPr>
              <w:pStyle w:val="Compact"/>
            </w:pPr>
            <w:r>
              <w:rPr>
                <w:sz w:val="17"/>
              </w:rPr>
              <w:t xml:space="preserve">Inventaire → évaluation → appel public ou délibération → contrat → suivi des revenus domaniaux</w:t>
            </w:r>
          </w:p>
        </w:tc>
      </w:tr>
      <w:tr>
        <w:tc>
          <w:tcPr>
            <w:shd w:val="clear" w:color="auto" w:fill="F5F7FB"/>
          </w:tcPr>
          <w:p>
            <w:pPr>
              <w:pStyle w:val="Compact"/>
            </w:pPr>
            <w:r>
              <w:rPr>
                <w:sz w:val="17"/>
              </w:rPr>
              <w:t xml:space="preserve">Titres</w:t>
            </w:r>
          </w:p>
        </w:tc>
        <w:tc>
          <w:tcPr>
            <w:shd w:val="clear" w:color="auto" w:fill="F5F7FB"/>
          </w:tcPr>
          <w:p>
            <w:pPr>
              <w:pStyle w:val="Compact"/>
            </w:pPr>
            <w:r>
              <w:rPr>
                <w:sz w:val="17"/>
              </w:rPr>
              <w:t xml:space="preserve">Contrat de location ou de concession</w:t>
            </w:r>
          </w:p>
        </w:tc>
      </w:tr>
      <w:tr>
        <w:tc>
          <w:tcPr/>
          <w:p>
            <w:pPr>
              <w:pStyle w:val="Compact"/>
            </w:pPr>
            <w:r>
              <w:rPr>
                <w:sz w:val="17"/>
              </w:rPr>
              <w:t xml:space="preserve">Contrôles</w:t>
            </w:r>
          </w:p>
        </w:tc>
        <w:tc>
          <w:tcPr/>
          <w:p>
            <w:pPr>
              <w:pStyle w:val="Compact"/>
            </w:pPr>
            <w:r>
              <w:rPr>
                <w:b/>
                <w:bCs/>
                <w:sz w:val="17"/>
              </w:rPr>
              <w:t xml:space="preserve">Aucune attribution de gré à gré sans procédure</w:t>
            </w:r>
            <w:r>
              <w:rPr>
                <w:sz w:val="17"/>
              </w:rPr>
              <w:t xml:space="preserve"> </w:t>
            </w:r>
            <w:r>
              <w:rPr>
                <w:sz w:val="17"/>
              </w:rPr>
              <w:t xml:space="preserve">; mise en concurrence ; publication</w:t>
            </w:r>
          </w:p>
        </w:tc>
      </w:tr>
      <w:tr>
        <w:tc>
          <w:tcPr>
            <w:shd w:val="clear" w:color="auto" w:fill="F5F7FB"/>
          </w:tcPr>
          <w:p>
            <w:pPr>
              <w:pStyle w:val="Compact"/>
            </w:pPr>
            <w:r>
              <w:rPr>
                <w:sz w:val="17"/>
              </w:rPr>
              <w:t xml:space="preserve">Indicateurs</w:t>
            </w:r>
          </w:p>
        </w:tc>
        <w:tc>
          <w:tcPr>
            <w:shd w:val="clear" w:color="auto" w:fill="F5F7FB"/>
          </w:tcPr>
          <w:p>
            <w:pPr>
              <w:pStyle w:val="Compact"/>
            </w:pPr>
            <w:r>
              <w:rPr>
                <w:sz w:val="17"/>
              </w:rPr>
              <w:t xml:space="preserve">Actifs inventoriés ; revenus domaniaux ; délais de procédure</w:t>
            </w:r>
          </w:p>
        </w:tc>
      </w:tr>
      <w:tr>
        <w:tc>
          <w:tcPr/>
          <w:p>
            <w:pPr>
              <w:pStyle w:val="Compact"/>
            </w:pPr>
            <w:r>
              <w:rPr>
                <w:sz w:val="17"/>
              </w:rPr>
              <w:t xml:space="preserve">Prérequis juridiques</w:t>
            </w:r>
          </w:p>
        </w:tc>
        <w:tc>
          <w:tcPr/>
          <w:p>
            <w:pPr>
              <w:pStyle w:val="Compact"/>
            </w:pPr>
            <w:r>
              <w:rPr>
                <w:sz w:val="17"/>
              </w:rPr>
              <w:t xml:space="preserve">Régime du domaine ; Loi PPP n° 18/016 (G21, G32)</w:t>
            </w:r>
          </w:p>
        </w:tc>
      </w:tr>
      <w:tr>
        <w:tc>
          <w:tcPr>
            <w:shd w:val="clear" w:color="auto" w:fill="F5F7FB"/>
          </w:tcPr>
          <w:p>
            <w:pPr>
              <w:pStyle w:val="Compact"/>
            </w:pPr>
            <w:r>
              <w:rPr>
                <w:sz w:val="17"/>
              </w:rPr>
              <w:t xml:space="preserve">Release</w:t>
            </w:r>
          </w:p>
        </w:tc>
        <w:tc>
          <w:tcPr>
            <w:shd w:val="clear" w:color="auto" w:fill="F5F7FB"/>
          </w:tcPr>
          <w:p>
            <w:pPr>
              <w:pStyle w:val="Compact"/>
            </w:pPr>
            <w:r>
              <w:rPr>
                <w:sz w:val="17"/>
              </w:rPr>
              <w:t xml:space="preserve">SF : R3–R4 → v3.0 : R3–R4</w:t>
            </w:r>
          </w:p>
        </w:tc>
      </w:tr>
    </w:tbl>
    <w:bookmarkEnd w:id="562"/>
    <w:bookmarkStart w:id="567" w:name="Xc98972493c4d62e8d6c5ad97f8751ba8ccb3515"/>
    <w:p>
      <w:pPr>
        <w:pStyle w:val="Heading3"/>
      </w:pPr>
      <w:r>
        <w:t xml:space="preserve">H.27.16 Billetterie urbaine multi-opérateurs RakaPay — y compris le pass des moto-taxis (wewa)</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Rubrique</w:t>
            </w:r>
          </w:p>
        </w:tc>
        <w:tc>
          <w:tcPr>
            <w:shd w:val="clear" w:color="auto" w:fill="232C6B"/>
          </w:tcPr>
          <w:p>
            <w:pPr>
              <w:pStyle w:val="Compact"/>
            </w:pPr>
            <w:r>
              <w:rPr>
                <w:b/>
                <w:color w:val="FFFFFF"/>
                <w:sz w:val="17"/>
              </w:rPr>
              <w:t xml:space="preserve">Contenu</w:t>
            </w:r>
          </w:p>
        </w:tc>
      </w:tr>
      <w:tr>
        <w:tc>
          <w:tcPr/>
          <w:p>
            <w:pPr>
              <w:pStyle w:val="Compact"/>
            </w:pPr>
            <w:r>
              <w:rPr>
                <w:sz w:val="17"/>
              </w:rPr>
              <w:t xml:space="preserve">Finalité</w:t>
            </w:r>
          </w:p>
        </w:tc>
        <w:tc>
          <w:tcPr/>
          <w:p>
            <w:pPr>
              <w:pStyle w:val="Compact"/>
            </w:pPr>
            <w:r>
              <w:rPr>
                <w:sz w:val="17"/>
              </w:rPr>
              <w:t xml:space="preserve">Couche de billetterie numérique pour tous les usages urbains soumis à un droit d’accès payant : transport urbain (bus, minibus, rail futur), stationnement public et privé, taxe journalière des transports (wewa, taxis, bus, minibus, cars) sous réserve de base légale, péages et zones régulées, marchés et vente informelle, accès à durée limitée</w:t>
            </w:r>
          </w:p>
        </w:tc>
      </w:tr>
      <w:tr>
        <w:tc>
          <w:tcPr>
            <w:shd w:val="clear" w:color="auto" w:fill="F5F7FB"/>
          </w:tcPr>
          <w:p>
            <w:pPr>
              <w:pStyle w:val="Compact"/>
            </w:pPr>
            <w:r>
              <w:rPr>
                <w:sz w:val="17"/>
              </w:rPr>
              <w:t xml:space="preserve">Modules</w:t>
            </w:r>
          </w:p>
        </w:tc>
        <w:tc>
          <w:tcPr>
            <w:shd w:val="clear" w:color="auto" w:fill="F5F7FB"/>
          </w:tcPr>
          <w:p>
            <w:pPr>
              <w:pStyle w:val="Compact"/>
            </w:pPr>
            <w:r>
              <w:rPr>
                <w:sz w:val="17"/>
              </w:rPr>
              <w:t xml:space="preserve">12, 14, 20, 25, 66, 70, 71, 76, 81</w:t>
            </w:r>
          </w:p>
        </w:tc>
      </w:tr>
      <w:tr>
        <w:tc>
          <w:tcPr/>
          <w:p>
            <w:pPr>
              <w:pStyle w:val="Compact"/>
            </w:pPr>
            <w:r>
              <w:rPr>
                <w:sz w:val="17"/>
              </w:rPr>
              <w:t xml:space="preserve">Flux</w:t>
            </w:r>
          </w:p>
        </w:tc>
        <w:tc>
          <w:tcPr/>
          <w:p>
            <w:pPr>
              <w:pStyle w:val="Compact"/>
            </w:pPr>
            <w:r>
              <w:rPr>
                <w:sz w:val="17"/>
              </w:rPr>
              <w:t xml:space="preserve">Opérateurs invités et accrédités (communes, exploitants, coopératives, opérateurs privés) → catalogue de tickets à prix approuvés et localisés → achat (application, USSD, coopérative, point agréé) + SMS de secours → contrôle QR, plaque ou gilet → analyse quotidienne, audit comportemental, blocage préventif motivé</w:t>
            </w:r>
          </w:p>
        </w:tc>
      </w:tr>
      <w:tr>
        <w:tc>
          <w:tcPr>
            <w:shd w:val="clear" w:color="auto" w:fill="F5F7FB"/>
          </w:tcPr>
          <w:p>
            <w:pPr>
              <w:pStyle w:val="Compact"/>
            </w:pPr>
            <w:r>
              <w:rPr>
                <w:sz w:val="17"/>
              </w:rPr>
              <w:t xml:space="preserve">Titres</w:t>
            </w:r>
          </w:p>
        </w:tc>
        <w:tc>
          <w:tcPr>
            <w:shd w:val="clear" w:color="auto" w:fill="F5F7FB"/>
          </w:tcPr>
          <w:p>
            <w:pPr>
              <w:pStyle w:val="Compact"/>
            </w:pPr>
            <w:r>
              <w:rPr>
                <w:sz w:val="17"/>
              </w:rPr>
              <w:t xml:space="preserve">Tickets à durée : accès ouverts</w:t>
            </w:r>
            <w:r>
              <w:rPr>
                <w:sz w:val="17"/>
              </w:rPr>
              <w:t xml:space="preserve"> </w:t>
            </w:r>
            <w:r>
              <w:rPr>
                <w:b/>
                <w:bCs/>
                <w:sz w:val="17"/>
              </w:rPr>
              <w:t xml:space="preserve">1, 7, 15 ou 30 jours</w:t>
            </w:r>
            <w:r>
              <w:rPr>
                <w:sz w:val="17"/>
              </w:rPr>
              <w:t xml:space="preserve"> </w:t>
            </w:r>
            <w:r>
              <w:rPr>
                <w:sz w:val="17"/>
              </w:rPr>
              <w:t xml:space="preserve">; stationnement</w:t>
            </w:r>
            <w:r>
              <w:rPr>
                <w:sz w:val="17"/>
              </w:rPr>
              <w:t xml:space="preserve"> </w:t>
            </w:r>
            <w:r>
              <w:rPr>
                <w:b/>
                <w:bCs/>
                <w:sz w:val="17"/>
              </w:rPr>
              <w:t xml:space="preserve">1, 3, 6, 9, 12, 15, 18 ou 24 heures ; 7, 15 ou 30 jours</w:t>
            </w:r>
          </w:p>
        </w:tc>
      </w:tr>
      <w:tr>
        <w:tc>
          <w:tcPr/>
          <w:p>
            <w:pPr>
              <w:pStyle w:val="Compact"/>
            </w:pPr>
            <w:r>
              <w:rPr>
                <w:sz w:val="17"/>
              </w:rPr>
              <w:t xml:space="preserve">Contrôles</w:t>
            </w:r>
          </w:p>
        </w:tc>
        <w:tc>
          <w:tcPr/>
          <w:p>
            <w:pPr>
              <w:pStyle w:val="Compact"/>
            </w:pPr>
            <w:r>
              <w:rPr>
                <w:sz w:val="17"/>
              </w:rPr>
              <w:t xml:space="preserve">Espèces</w:t>
            </w:r>
            <w:r>
              <w:rPr>
                <w:sz w:val="17"/>
              </w:rPr>
              <w:t xml:space="preserve"> </w:t>
            </w:r>
            <w:r>
              <w:rPr>
                <w:b/>
                <w:bCs/>
                <w:sz w:val="17"/>
              </w:rPr>
              <w:t xml:space="preserve">uniquement via un point agréé</w:t>
            </w:r>
            <w:r>
              <w:rPr>
                <w:sz w:val="17"/>
              </w:rPr>
              <w:t xml:space="preserve"> </w:t>
            </w:r>
            <w:r>
              <w:rPr>
                <w:sz w:val="17"/>
              </w:rPr>
              <w:t xml:space="preserve">; agent exclusif à un opérateur, sans visibilité croisée ; aucun contrôle manuel hors système ; pénalité selon circuit RW1 (AC-TKT-02) ; séparation comptable ventes privées / recettes publiques</w:t>
            </w:r>
          </w:p>
        </w:tc>
      </w:tr>
      <w:tr>
        <w:tc>
          <w:tcPr>
            <w:shd w:val="clear" w:color="auto" w:fill="F5F7FB"/>
          </w:tcPr>
          <w:p>
            <w:pPr>
              <w:pStyle w:val="Compact"/>
            </w:pPr>
            <w:r>
              <w:rPr>
                <w:sz w:val="17"/>
              </w:rPr>
              <w:t xml:space="preserve">Indicateurs</w:t>
            </w:r>
          </w:p>
        </w:tc>
        <w:tc>
          <w:tcPr>
            <w:shd w:val="clear" w:color="auto" w:fill="F5F7FB"/>
          </w:tcPr>
          <w:p>
            <w:pPr>
              <w:pStyle w:val="Compact"/>
            </w:pPr>
            <w:r>
              <w:rPr>
                <w:sz w:val="17"/>
              </w:rPr>
              <w:t xml:space="preserve">Tickets vendus ; contrôles ; pénalités contestées ; ventes post-infraction ; écarts contrôles / ventes par agent</w:t>
            </w:r>
          </w:p>
        </w:tc>
      </w:tr>
      <w:tr>
        <w:tc>
          <w:tcPr/>
          <w:p>
            <w:pPr>
              <w:pStyle w:val="Compact"/>
            </w:pPr>
            <w:r>
              <w:rPr>
                <w:sz w:val="17"/>
              </w:rPr>
              <w:t xml:space="preserve">Prérequis juridiques</w:t>
            </w:r>
          </w:p>
        </w:tc>
        <w:tc>
          <w:tcPr/>
          <w:p>
            <w:pPr>
              <w:pStyle w:val="Compact"/>
            </w:pPr>
            <w:r>
              <w:rPr>
                <w:sz w:val="17"/>
              </w:rPr>
              <w:t xml:space="preserve">Titres dématérialisés (J21) ; vendeurs comme points agréés et taxe journalière (J25) ; accréditation des opérateurs (D25)</w:t>
            </w:r>
          </w:p>
        </w:tc>
      </w:tr>
      <w:tr>
        <w:tc>
          <w:tcPr>
            <w:shd w:val="clear" w:color="auto" w:fill="F5F7FB"/>
          </w:tcPr>
          <w:p>
            <w:pPr>
              <w:pStyle w:val="Compact"/>
            </w:pPr>
            <w:r>
              <w:rPr>
                <w:sz w:val="17"/>
              </w:rPr>
              <w:t xml:space="preserve">Release</w:t>
            </w:r>
          </w:p>
        </w:tc>
        <w:tc>
          <w:tcPr>
            <w:shd w:val="clear" w:color="auto" w:fill="F5F7FB"/>
          </w:tcPr>
          <w:p>
            <w:pPr>
              <w:pStyle w:val="Compact"/>
            </w:pPr>
            <w:r>
              <w:rPr>
                <w:sz w:val="17"/>
              </w:rPr>
              <w:t xml:space="preserve">SF : R1–R2 → v3.0 : R3</w:t>
            </w:r>
          </w:p>
        </w:tc>
      </w:tr>
    </w:tbl>
    <w:p>
      <w:pPr>
        <w:pStyle w:val="BodyText"/>
      </w:pPr>
      <w:r>
        <w:rPr>
          <w:b/>
          <w:bCs/>
        </w:rPr>
        <w:t xml:space="preserve">Attributs d’un ticket</w:t>
      </w:r>
      <w:r>
        <w:t xml:space="preserve"> </w:t>
      </w:r>
      <w:r>
        <w:t xml:space="preserve">: opérateur, type de service, durée ou nombre d’usages,</w:t>
      </w:r>
      <w:r>
        <w:t xml:space="preserve"> </w:t>
      </w:r>
      <w:r>
        <w:rPr>
          <w:b/>
          <w:bCs/>
        </w:rPr>
        <w:t xml:space="preserve">localisation obligatoire</w:t>
      </w:r>
      <w:r>
        <w:t xml:space="preserve">, période de validité, QR unique infalsifiable et traçable. L’opérateur définit le nom commercial,</w:t>
      </w:r>
      <w:r>
        <w:t xml:space="preserve"> </w:t>
      </w:r>
      <w:r>
        <w:rPr>
          <w:b/>
          <w:bCs/>
        </w:rPr>
        <w:t xml:space="preserve">propose</w:t>
      </w:r>
      <w:r>
        <w:t xml:space="preserve"> </w:t>
      </w:r>
      <w:r>
        <w:t xml:space="preserve">le prix et associe la localisation ;</w:t>
      </w:r>
      <w:r>
        <w:t xml:space="preserve"> </w:t>
      </w:r>
      <w:r>
        <w:rPr>
          <w:b/>
          <w:bCs/>
        </w:rPr>
        <w:t xml:space="preserve">pour une recette publique, le prix est celui de la règle approuvée du registre</w:t>
      </w:r>
      <w:r>
        <w:t xml:space="preserv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Rôle source</w:t>
            </w:r>
          </w:p>
        </w:tc>
        <w:tc>
          <w:tcPr>
            <w:shd w:val="clear" w:color="auto" w:fill="232C6B"/>
          </w:tcPr>
          <w:p>
            <w:pPr>
              <w:pStyle w:val="Compact"/>
            </w:pPr>
            <w:r>
              <w:rPr>
                <w:b/>
                <w:color w:val="FFFFFF"/>
                <w:sz w:val="17"/>
              </w:rPr>
              <w:t xml:space="preserve">Équivalent MOSOLO</w:t>
            </w:r>
          </w:p>
        </w:tc>
        <w:tc>
          <w:tcPr>
            <w:shd w:val="clear" w:color="auto" w:fill="232C6B"/>
          </w:tcPr>
          <w:p>
            <w:pPr>
              <w:pStyle w:val="Compact"/>
            </w:pPr>
            <w:r>
              <w:rPr>
                <w:b/>
                <w:color w:val="FFFFFF"/>
                <w:sz w:val="17"/>
              </w:rPr>
              <w:t xml:space="preserve">Peut</w:t>
            </w:r>
          </w:p>
        </w:tc>
        <w:tc>
          <w:tcPr>
            <w:shd w:val="clear" w:color="auto" w:fill="232C6B"/>
          </w:tcPr>
          <w:p>
            <w:pPr>
              <w:pStyle w:val="Compact"/>
            </w:pPr>
            <w:r>
              <w:rPr>
                <w:b/>
                <w:color w:val="FFFFFF"/>
                <w:sz w:val="17"/>
              </w:rPr>
              <w:t xml:space="preserve">Ne peut pas</w:t>
            </w:r>
          </w:p>
        </w:tc>
      </w:tr>
      <w:tr>
        <w:tc>
          <w:tcPr/>
          <w:p>
            <w:pPr>
              <w:pStyle w:val="Compact"/>
            </w:pPr>
            <w:r>
              <w:rPr>
                <w:sz w:val="17"/>
              </w:rPr>
              <w:t xml:space="preserve">Superuser</w:t>
            </w:r>
          </w:p>
        </w:tc>
        <w:tc>
          <w:tcPr/>
          <w:p>
            <w:pPr>
              <w:pStyle w:val="Compact"/>
            </w:pPr>
            <w:r>
              <w:rPr>
                <w:sz w:val="17"/>
              </w:rPr>
              <w:t xml:space="preserve">Administrateur de la plateforme + Comité de pilotage</w:t>
            </w:r>
          </w:p>
        </w:tc>
        <w:tc>
          <w:tcPr/>
          <w:p>
            <w:pPr>
              <w:pStyle w:val="Compact"/>
            </w:pPr>
            <w:r>
              <w:rPr>
                <w:sz w:val="17"/>
              </w:rPr>
              <w:t xml:space="preserve">Paramétrage global, validation des opérateurs, supervision, audit, gouvernance des barèmes</w:t>
            </w:r>
          </w:p>
        </w:tc>
        <w:tc>
          <w:tcPr/>
          <w:p>
            <w:pPr>
              <w:pStyle w:val="Compact"/>
            </w:pPr>
            <w:r>
              <w:rPr>
                <w:sz w:val="17"/>
              </w:rPr>
              <w:t xml:space="preserve">Agir seul sur un rôle sensible (§ H.6.8)</w:t>
            </w:r>
          </w:p>
        </w:tc>
      </w:tr>
      <w:tr>
        <w:tc>
          <w:tcPr>
            <w:shd w:val="clear" w:color="auto" w:fill="F5F7FB"/>
          </w:tcPr>
          <w:p>
            <w:pPr>
              <w:pStyle w:val="Compact"/>
            </w:pPr>
            <w:r>
              <w:rPr>
                <w:sz w:val="17"/>
              </w:rPr>
              <w:t xml:space="preserve">Merchant Admin</w:t>
            </w:r>
          </w:p>
        </w:tc>
        <w:tc>
          <w:tcPr>
            <w:shd w:val="clear" w:color="auto" w:fill="F5F7FB"/>
          </w:tcPr>
          <w:p>
            <w:pPr>
              <w:pStyle w:val="Compact"/>
            </w:pPr>
            <w:r>
              <w:rPr>
                <w:sz w:val="17"/>
              </w:rPr>
              <w:t xml:space="preserve">Opérateur délégué / entité responsable (responsable de module)</w:t>
            </w:r>
          </w:p>
        </w:tc>
        <w:tc>
          <w:tcPr>
            <w:shd w:val="clear" w:color="auto" w:fill="F5F7FB"/>
          </w:tcPr>
          <w:p>
            <w:pPr>
              <w:pStyle w:val="Compact"/>
            </w:pPr>
            <w:r>
              <w:rPr>
                <w:sz w:val="17"/>
              </w:rPr>
              <w:t xml:space="preserve">Créer et proposer les tickets de son périmètre ; gérer</w:t>
            </w:r>
            <w:r>
              <w:rPr>
                <w:sz w:val="17"/>
              </w:rPr>
              <w:t xml:space="preserve"> </w:t>
            </w:r>
            <w:r>
              <w:rPr>
                <w:b/>
                <w:bCs/>
                <w:sz w:val="17"/>
              </w:rPr>
              <w:t xml:space="preserve">exclusivement</w:t>
            </w:r>
            <w:r>
              <w:rPr>
                <w:sz w:val="17"/>
              </w:rPr>
              <w:t xml:space="preserve"> </w:t>
            </w:r>
            <w:r>
              <w:rPr>
                <w:sz w:val="17"/>
              </w:rPr>
              <w:t xml:space="preserve">ses agents ; ajuster prix et commissions</w:t>
            </w:r>
            <w:r>
              <w:rPr>
                <w:sz w:val="17"/>
              </w:rPr>
              <w:t xml:space="preserve"> </w:t>
            </w:r>
            <w:r>
              <w:rPr>
                <w:b/>
                <w:bCs/>
                <w:sz w:val="17"/>
              </w:rPr>
              <w:t xml:space="preserve">dans les limites approuvées</w:t>
            </w:r>
            <w:r>
              <w:rPr>
                <w:sz w:val="17"/>
              </w:rPr>
              <w:t xml:space="preserve"> </w:t>
            </w:r>
            <w:r>
              <w:rPr>
                <w:sz w:val="17"/>
              </w:rPr>
              <w:t xml:space="preserve">; voir ses ventes</w:t>
            </w:r>
          </w:p>
        </w:tc>
        <w:tc>
          <w:tcPr>
            <w:shd w:val="clear" w:color="auto" w:fill="F5F7FB"/>
          </w:tcPr>
          <w:p>
            <w:pPr>
              <w:pStyle w:val="Compact"/>
            </w:pPr>
            <w:r>
              <w:rPr>
                <w:sz w:val="17"/>
              </w:rPr>
              <w:t xml:space="preserve">Fixer un prix de recette publique hors règle</w:t>
            </w:r>
          </w:p>
        </w:tc>
      </w:tr>
      <w:tr>
        <w:tc>
          <w:tcPr/>
          <w:p>
            <w:pPr>
              <w:pStyle w:val="Compact"/>
            </w:pPr>
            <w:r>
              <w:rPr>
                <w:sz w:val="17"/>
              </w:rPr>
              <w:t xml:space="preserve">Agent</w:t>
            </w:r>
          </w:p>
        </w:tc>
        <w:tc>
          <w:tcPr/>
          <w:p>
            <w:pPr>
              <w:pStyle w:val="Compact"/>
            </w:pPr>
            <w:r>
              <w:rPr>
                <w:sz w:val="17"/>
              </w:rPr>
              <w:t xml:space="preserve">Agent terrain de l’opérateur</w:t>
            </w:r>
          </w:p>
        </w:tc>
        <w:tc>
          <w:tcPr/>
          <w:p>
            <w:pPr>
              <w:pStyle w:val="Compact"/>
            </w:pPr>
            <w:r>
              <w:rPr>
                <w:sz w:val="17"/>
              </w:rPr>
              <w:t xml:space="preserve">Contrôler et valider les QR ; constater ; vente</w:t>
            </w:r>
            <w:r>
              <w:rPr>
                <w:sz w:val="17"/>
              </w:rPr>
              <w:t xml:space="preserve"> </w:t>
            </w:r>
            <w:r>
              <w:rPr>
                <w:b/>
                <w:bCs/>
                <w:sz w:val="17"/>
              </w:rPr>
              <w:t xml:space="preserve">assistée</w:t>
            </w:r>
            <w:r>
              <w:rPr>
                <w:sz w:val="17"/>
              </w:rPr>
              <w:t xml:space="preserve"> </w:t>
            </w:r>
            <w:r>
              <w:rPr>
                <w:sz w:val="17"/>
              </w:rPr>
              <w:t xml:space="preserve">(référence, jamais d’espèces)</w:t>
            </w:r>
          </w:p>
        </w:tc>
        <w:tc>
          <w:tcPr/>
          <w:p>
            <w:pPr>
              <w:pStyle w:val="Compact"/>
            </w:pPr>
            <w:r>
              <w:rPr>
                <w:sz w:val="17"/>
              </w:rPr>
              <w:t xml:space="preserve">Voir les données d’un autre opérateur ; encaisser</w:t>
            </w:r>
          </w:p>
        </w:tc>
      </w:tr>
      <w:tr>
        <w:tc>
          <w:tcPr>
            <w:shd w:val="clear" w:color="auto" w:fill="F5F7FB"/>
          </w:tcPr>
          <w:p>
            <w:pPr>
              <w:pStyle w:val="Compact"/>
            </w:pPr>
            <w:r>
              <w:rPr>
                <w:sz w:val="17"/>
              </w:rPr>
              <w:t xml:space="preserve">Client</w:t>
            </w:r>
          </w:p>
        </w:tc>
        <w:tc>
          <w:tcPr>
            <w:shd w:val="clear" w:color="auto" w:fill="F5F7FB"/>
          </w:tcPr>
          <w:p>
            <w:pPr>
              <w:pStyle w:val="Compact"/>
            </w:pPr>
            <w:r>
              <w:rPr>
                <w:sz w:val="17"/>
              </w:rPr>
              <w:t xml:space="preserve">Contribuable ou usager</w:t>
            </w:r>
          </w:p>
        </w:tc>
        <w:tc>
          <w:tcPr>
            <w:shd w:val="clear" w:color="auto" w:fill="F5F7FB"/>
          </w:tcPr>
          <w:p>
            <w:pPr>
              <w:pStyle w:val="Compact"/>
            </w:pPr>
            <w:r>
              <w:rPr>
                <w:sz w:val="17"/>
              </w:rPr>
              <w:t xml:space="preserve">Acheter (application ou assisté) ; recevoir ticket + SMS de secours ; présenter le QR</w:t>
            </w:r>
          </w:p>
        </w:tc>
        <w:tc>
          <w:tcPr>
            <w:shd w:val="clear" w:color="auto" w:fill="F5F7FB"/>
          </w:tcPr>
          <w:p>
            <w:pPr>
              <w:pStyle w:val="Compact"/>
            </w:pPr>
            <w:r>
              <w:rPr>
                <w:sz w:val="17"/>
              </w:rPr>
              <w:t xml:space="preserve">—</w:t>
            </w:r>
          </w:p>
        </w:tc>
      </w:tr>
    </w:tbl>
    <w:p>
      <w:pPr>
        <w:pStyle w:val="BodyText"/>
      </w:pPr>
      <w:r>
        <w:rPr>
          <w:b/>
          <w:bCs/>
        </w:rPr>
        <w:t xml:space="preserve">Parcours</w:t>
      </w:r>
      <w:r>
        <w:t xml:space="preserve"> </w:t>
      </w:r>
      <w:r>
        <w:t xml:space="preserve">: (1)</w:t>
      </w:r>
      <w:r>
        <w:t xml:space="preserve"> </w:t>
      </w:r>
      <w:r>
        <w:rPr>
          <w:i/>
          <w:iCs/>
        </w:rPr>
        <w:t xml:space="preserve">usager</w:t>
      </w:r>
      <w:r>
        <w:t xml:space="preserve"> </w:t>
      </w:r>
      <w:r>
        <w:t xml:space="preserve">: se gare → achète (application, USSD, point agréé) → QR + SMS → contrôle QR ou plaque → validation ou constat ; (2)</w:t>
      </w:r>
      <w:r>
        <w:t xml:space="preserve"> </w:t>
      </w:r>
      <w:r>
        <w:rPr>
          <w:i/>
          <w:iCs/>
        </w:rPr>
        <w:t xml:space="preserve">agent d’opérateur</w:t>
      </w:r>
      <w:r>
        <w:t xml:space="preserve"> </w:t>
      </w:r>
      <w:r>
        <w:t xml:space="preserve">: connexion par compte invité (§ H.6.4) → tickets de son opérateur et de sa zone seulement → vente assistée → scan en ligne ou hors ligne → règles de validité appliquées automatiquement → affichage de sa commission contractuelle (vendeurs d’opérateurs privés uniquement) ; (3)</w:t>
      </w:r>
      <w:r>
        <w:t xml:space="preserve"> </w:t>
      </w:r>
      <w:r>
        <w:rPr>
          <w:i/>
          <w:iCs/>
        </w:rPr>
        <w:t xml:space="preserve">opérateur</w:t>
      </w:r>
      <w:r>
        <w:t xml:space="preserve"> </w:t>
      </w:r>
      <w:r>
        <w:t xml:space="preserve">: analyse quotidienne des ventes, contrôles et constats ; ajustement dans les limites ; (4)</w:t>
      </w:r>
      <w:r>
        <w:t xml:space="preserve"> </w:t>
      </w:r>
      <w:r>
        <w:rPr>
          <w:i/>
          <w:iCs/>
        </w:rPr>
        <w:t xml:space="preserve">supervision</w:t>
      </w:r>
      <w:r>
        <w:t xml:space="preserve"> </w:t>
      </w:r>
      <w:r>
        <w:t xml:space="preserve">: audit comportemental limité aux actes (ventes atypiques, annulations, écarts contrôles / ventes — § 24.2) ; blocage préventif d’un agent ou d’un opérateur</w:t>
      </w:r>
      <w:r>
        <w:t xml:space="preserve"> </w:t>
      </w:r>
      <w:r>
        <w:rPr>
          <w:b/>
          <w:bCs/>
        </w:rPr>
        <w:t xml:space="preserve">sous décision motivée</w:t>
      </w:r>
      <w:r>
        <w:t xml:space="preserve"> </w:t>
      </w:r>
      <w:r>
        <w:t xml:space="preserve">; reporting.</w:t>
      </w:r>
    </w:p>
    <w:p>
      <w:pPr>
        <w:pStyle w:val="BodyText"/>
      </w:pPr>
      <w:r>
        <w:rPr>
          <w:b/>
          <w:bCs/>
        </w:rPr>
        <w:t xml:space="preserve">Exigences techniques</w:t>
      </w:r>
      <w:r>
        <w:t xml:space="preserve"> </w:t>
      </w:r>
      <w:r>
        <w:t xml:space="preserve">: QR unique ; validation en ligne et hors ligne ; multicanal ; multidevise (§ 11.6) ; multilingue (français, anglais, lingala, kiswahili, kikongo, tshiluba) ; cartographie obligatoire ; historique infalsifiable ; multi-opérateurs natif ; chiffrement de bout en bout ; haute disponibilité ; montée en charge urbaine ; interface très simple pour les agents ; Android et iOS ; administration web sécurisée. Le calendrier de 7 semaines et le plafond de 500 USD du produit minimal source sont remplacés par la feuille de route (§ 34) et l’hébergement souverain (§ 33) (ARB-46).</w:t>
      </w:r>
    </w:p>
    <w:p>
      <w:pPr>
        <w:pStyle w:val="BodyText"/>
      </w:pPr>
      <w:r>
        <w:rPr>
          <w:b/>
          <w:bCs/>
        </w:rPr>
        <w:t xml:space="preserve">Modèle économique ouvert</w:t>
      </w:r>
      <w:r>
        <w:t xml:space="preserve"> </w:t>
      </w:r>
      <w:r>
        <w:t xml:space="preserve">: des opérateurs privés (parkings privés, événements, espaces commerciaux, transporteurs privés) peuvent vendre leurs tickets ;</w:t>
      </w:r>
      <w:r>
        <w:t xml:space="preserve"> </w:t>
      </w:r>
      <w:r>
        <w:rPr>
          <w:b/>
          <w:bCs/>
        </w:rPr>
        <w:t xml:space="preserve">les ventes non publiques sont réglées directement à l’opérateur privé</w:t>
      </w:r>
      <w:r>
        <w:t xml:space="preserve"> </w:t>
      </w:r>
      <w:r>
        <w:t xml:space="preserve">; les recettes publiques suivent exclusivement le circuit des comptes publics ; les</w:t>
      </w:r>
      <w:r>
        <w:t xml:space="preserve"> </w:t>
      </w:r>
      <w:r>
        <w:rPr>
          <w:b/>
          <w:bCs/>
        </w:rPr>
        <w:t xml:space="preserve">deux circuits sont séparés comptablement</w:t>
      </w:r>
      <w:r>
        <w:t xml:space="preserve"> </w:t>
      </w:r>
      <w:r>
        <w:t xml:space="preserve">et visibles. Une éventuelle redevance d’usage de la plateforme par les opérateurs privés est</w:t>
      </w:r>
      <w:r>
        <w:t xml:space="preserve"> </w:t>
      </w:r>
      <w:r>
        <w:rPr>
          <w:b/>
          <w:bCs/>
        </w:rPr>
        <w:t xml:space="preserve">une recette de la Province</w:t>
      </w:r>
      <w:r>
        <w:t xml:space="preserve"> </w:t>
      </w:r>
      <w:r>
        <w:t xml:space="preserve">fixée par acte et publiée, jamais une commission perçue par le prestataire technique (ARB-08) [ACTE REQUIS J25].</w:t>
      </w:r>
    </w:p>
    <w:bookmarkStart w:id="566" w:name="Xb830ce1264a2ca1b8ca711421aee2094c5d4e8f"/>
    <w:p>
      <w:pPr>
        <w:pStyle w:val="Heading4"/>
      </w:pPr>
      <w:r>
        <w:t xml:space="preserve">H.27.16.1 Pass professionnel des moto-taxis (wewa) — composante de RakaPay</w:t>
      </w:r>
    </w:p>
    <w:p>
      <w:pPr>
        <w:pStyle w:val="FirstParagraph"/>
      </w:pPr>
      <w:r>
        <w:t xml:space="preserve">Le pass wewa</w:t>
      </w:r>
      <w:r>
        <w:t xml:space="preserve"> </w:t>
      </w:r>
      <w:r>
        <w:rPr>
          <w:b/>
          <w:bCs/>
        </w:rPr>
        <w:t xml:space="preserve">fait partie intégrante de RakaPay</w:t>
      </w:r>
      <w:r>
        <w:t xml:space="preserve"> </w:t>
      </w:r>
      <w:r>
        <w:t xml:space="preserve">: c’est un ticket RakaPay à durée (jour, semaine, mois), premier cas d’usage de la billetterie, vendu, payé, contrôlé et rapproché par les mêmes fonctions que tous les autres tickets RakaPay (modules 76, 70, 71). Le module 81 n’est pas une verticale distincte : c’est l’extension de RakaPay qui porte le registre des motos, des conducteurs, des stations et des coopératives.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Rubrique</w:t>
            </w:r>
          </w:p>
        </w:tc>
        <w:tc>
          <w:tcPr>
            <w:shd w:val="clear" w:color="auto" w:fill="232C6B"/>
          </w:tcPr>
          <w:p>
            <w:pPr>
              <w:pStyle w:val="Compact"/>
            </w:pPr>
            <w:r>
              <w:rPr>
                <w:b/>
                <w:color w:val="FFFFFF"/>
                <w:sz w:val="17"/>
              </w:rPr>
              <w:t xml:space="preserve">Contenu</w:t>
            </w:r>
          </w:p>
        </w:tc>
      </w:tr>
      <w:tr>
        <w:tc>
          <w:tcPr/>
          <w:p>
            <w:pPr>
              <w:pStyle w:val="Compact"/>
            </w:pPr>
            <w:r>
              <w:rPr>
                <w:sz w:val="17"/>
              </w:rPr>
              <w:t xml:space="preserve">Finalité</w:t>
            </w:r>
          </w:p>
        </w:tc>
        <w:tc>
          <w:tcPr/>
          <w:p>
            <w:pPr>
              <w:pStyle w:val="Compact"/>
            </w:pPr>
            <w:r>
              <w:rPr>
                <w:sz w:val="17"/>
              </w:rPr>
              <w:t xml:space="preserve">Identifier chaque moto et chaque conducteur, offrir un pass légal et abordable, mettre fin aux prélèvements informels multiples sur la route, produire une recette traçable et une reconnaissance pour les wewa</w:t>
            </w:r>
          </w:p>
        </w:tc>
      </w:tr>
      <w:tr>
        <w:tc>
          <w:tcPr>
            <w:shd w:val="clear" w:color="auto" w:fill="F5F7FB"/>
          </w:tcPr>
          <w:p>
            <w:pPr>
              <w:pStyle w:val="Compact"/>
            </w:pPr>
            <w:r>
              <w:rPr>
                <w:sz w:val="17"/>
              </w:rPr>
              <w:t xml:space="preserve">Modules</w:t>
            </w:r>
          </w:p>
        </w:tc>
        <w:tc>
          <w:tcPr>
            <w:shd w:val="clear" w:color="auto" w:fill="F5F7FB"/>
          </w:tcPr>
          <w:p>
            <w:pPr>
              <w:pStyle w:val="Compact"/>
            </w:pPr>
            <w:r>
              <w:rPr>
                <w:sz w:val="17"/>
              </w:rPr>
              <w:t xml:space="preserve">66, 67, 70, 71, 74, 76 (socle), 81, 11, 12</w:t>
            </w:r>
          </w:p>
        </w:tc>
      </w:tr>
      <w:tr>
        <w:tc>
          <w:tcPr/>
          <w:p>
            <w:pPr>
              <w:pStyle w:val="Compact"/>
            </w:pPr>
            <w:r>
              <w:rPr>
                <w:sz w:val="17"/>
              </w:rPr>
              <w:t xml:space="preserve">Flux</w:t>
            </w:r>
          </w:p>
        </w:tc>
        <w:tc>
          <w:tcPr/>
          <w:p>
            <w:pPr>
              <w:pStyle w:val="Compact"/>
            </w:pPr>
            <w:r>
              <w:rPr>
                <w:sz w:val="17"/>
              </w:rPr>
              <w:t xml:space="preserve">Concertation → recensement par stations et coopératives (enregistrement</w:t>
            </w:r>
            <w:r>
              <w:rPr>
                <w:sz w:val="17"/>
              </w:rPr>
              <w:t xml:space="preserve"> </w:t>
            </w:r>
            <w:r>
              <w:rPr>
                <w:b/>
                <w:bCs/>
                <w:sz w:val="17"/>
              </w:rPr>
              <w:t xml:space="preserve">gratuit</w:t>
            </w:r>
            <w:r>
              <w:rPr>
                <w:sz w:val="17"/>
              </w:rPr>
              <w:t xml:space="preserve">) → remise des gilets et autocollants →</w:t>
            </w:r>
            <w:r>
              <w:rPr>
                <w:sz w:val="17"/>
              </w:rPr>
              <w:t xml:space="preserve"> </w:t>
            </w:r>
            <w:r>
              <w:rPr>
                <w:b/>
                <w:bCs/>
                <w:sz w:val="17"/>
              </w:rPr>
              <w:t xml:space="preserve">période de grâce</w:t>
            </w:r>
            <w:r>
              <w:rPr>
                <w:sz w:val="17"/>
              </w:rPr>
              <w:t xml:space="preserve"> </w:t>
            </w:r>
            <w:r>
              <w:rPr>
                <w:sz w:val="17"/>
              </w:rPr>
              <w:t xml:space="preserve">sans pénalité → paiements et contrôles dans les communes pilotes → extension</w:t>
            </w:r>
          </w:p>
        </w:tc>
      </w:tr>
      <w:tr>
        <w:tc>
          <w:tcPr>
            <w:shd w:val="clear" w:color="auto" w:fill="F5F7FB"/>
          </w:tcPr>
          <w:p>
            <w:pPr>
              <w:pStyle w:val="Compact"/>
            </w:pPr>
            <w:r>
              <w:rPr>
                <w:sz w:val="17"/>
              </w:rPr>
              <w:t xml:space="preserve">Titres</w:t>
            </w:r>
          </w:p>
        </w:tc>
        <w:tc>
          <w:tcPr>
            <w:shd w:val="clear" w:color="auto" w:fill="F5F7FB"/>
          </w:tcPr>
          <w:p>
            <w:pPr>
              <w:pStyle w:val="Compact"/>
            </w:pPr>
            <w:r>
              <w:rPr>
                <w:sz w:val="17"/>
              </w:rPr>
              <w:t xml:space="preserve">Pass jour, semaine, mois, abonnement renouvelable ;</w:t>
            </w:r>
            <w:r>
              <w:rPr>
                <w:sz w:val="17"/>
              </w:rPr>
              <w:t xml:space="preserve"> </w:t>
            </w:r>
            <w:r>
              <w:rPr>
                <w:b/>
                <w:bCs/>
                <w:sz w:val="17"/>
              </w:rPr>
              <w:t xml:space="preserve">un pass, un conducteur, une moto, non transférable</w:t>
            </w:r>
            <w:r>
              <w:rPr>
                <w:sz w:val="17"/>
              </w:rPr>
              <w:t xml:space="preserve"> </w:t>
            </w:r>
            <w:r>
              <w:rPr>
                <w:sz w:val="17"/>
              </w:rPr>
              <w:t xml:space="preserve">; statuts vert / ambre (rappel SMS) / rouge</w:t>
            </w:r>
          </w:p>
        </w:tc>
      </w:tr>
      <w:tr>
        <w:tc>
          <w:tcPr/>
          <w:p>
            <w:pPr>
              <w:pStyle w:val="Compact"/>
            </w:pPr>
            <w:r>
              <w:rPr>
                <w:sz w:val="17"/>
              </w:rPr>
              <w:t xml:space="preserve">Contrôles</w:t>
            </w:r>
          </w:p>
        </w:tc>
        <w:tc>
          <w:tcPr/>
          <w:p>
            <w:pPr>
              <w:pStyle w:val="Compact"/>
            </w:pPr>
            <w:r>
              <w:rPr>
                <w:sz w:val="17"/>
              </w:rPr>
              <w:t xml:space="preserve">Aucun encaissement d’espèces sur la route par quiconque ; tarif fixé</w:t>
            </w:r>
            <w:r>
              <w:rPr>
                <w:sz w:val="17"/>
              </w:rPr>
              <w:t xml:space="preserve"> </w:t>
            </w:r>
            <w:r>
              <w:rPr>
                <w:b/>
                <w:bCs/>
                <w:sz w:val="17"/>
              </w:rPr>
              <w:t xml:space="preserve">par l’acte uniquement</w:t>
            </w:r>
            <w:r>
              <w:rPr>
                <w:sz w:val="17"/>
              </w:rPr>
              <w:t xml:space="preserve"> </w:t>
            </w:r>
            <w:r>
              <w:rPr>
                <w:sz w:val="17"/>
              </w:rPr>
              <w:t xml:space="preserve">(jamais par un agent ou un opérateur) ;</w:t>
            </w:r>
            <w:r>
              <w:rPr>
                <w:sz w:val="17"/>
              </w:rPr>
              <w:t xml:space="preserve"> </w:t>
            </w:r>
            <w:r>
              <w:rPr>
                <w:b/>
                <w:bCs/>
                <w:sz w:val="17"/>
              </w:rPr>
              <w:t xml:space="preserve">un wewa en vert ne peut être sanctionné et n’a rien à payer</w:t>
            </w:r>
            <w:r>
              <w:rPr>
                <w:sz w:val="17"/>
              </w:rPr>
              <w:t xml:space="preserve"> </w:t>
            </w:r>
            <w:r>
              <w:rPr>
                <w:sz w:val="17"/>
              </w:rPr>
              <w:t xml:space="preserve">; aucune immobilisation algorithmique ; chaque contrôle journalisé (qui, où, quand, résultat) ; le passager peut scanner le gilet ; plaintes via la ligne de signalement</w:t>
            </w:r>
          </w:p>
        </w:tc>
      </w:tr>
      <w:tr>
        <w:tc>
          <w:tcPr>
            <w:shd w:val="clear" w:color="auto" w:fill="F5F7FB"/>
          </w:tcPr>
          <w:p>
            <w:pPr>
              <w:pStyle w:val="Compact"/>
            </w:pPr>
            <w:r>
              <w:rPr>
                <w:sz w:val="17"/>
              </w:rPr>
              <w:t xml:space="preserve">Indicateurs</w:t>
            </w:r>
          </w:p>
        </w:tc>
        <w:tc>
          <w:tcPr>
            <w:shd w:val="clear" w:color="auto" w:fill="F5F7FB"/>
          </w:tcPr>
          <w:p>
            <w:pPr>
              <w:pStyle w:val="Compact"/>
            </w:pPr>
            <w:r>
              <w:rPr>
                <w:sz w:val="17"/>
              </w:rPr>
              <w:t xml:space="preserve">Wewa enregistrés / estimés par station et commune ; conformité du pass ; paiement numérique (cible 100 %) ; plaintes pour prélèvements irréguliers</w:t>
            </w:r>
          </w:p>
        </w:tc>
      </w:tr>
      <w:tr>
        <w:tc>
          <w:tcPr/>
          <w:p>
            <w:pPr>
              <w:pStyle w:val="Compact"/>
            </w:pPr>
            <w:r>
              <w:rPr>
                <w:sz w:val="17"/>
              </w:rPr>
              <w:t xml:space="preserve">Prérequis juridiques</w:t>
            </w:r>
          </w:p>
        </w:tc>
        <w:tc>
          <w:tcPr/>
          <w:p>
            <w:pPr>
              <w:pStyle w:val="Compact"/>
            </w:pPr>
            <w:r>
              <w:rPr>
                <w:sz w:val="17"/>
              </w:rPr>
              <w:t xml:space="preserve">J28 : base légale (taxe journalière des transports, autorisation de transport ou équivalent), redevable, tarif, articulation avec vignette, autorisation et prélèvements communaux, statut des gilets et autocollants, rôle des coopératives, pouvoirs de contrôle (D26)</w:t>
            </w:r>
          </w:p>
        </w:tc>
      </w:tr>
      <w:tr>
        <w:tc>
          <w:tcPr>
            <w:shd w:val="clear" w:color="auto" w:fill="F5F7FB"/>
          </w:tcPr>
          <w:p>
            <w:pPr>
              <w:pStyle w:val="Compact"/>
            </w:pPr>
            <w:r>
              <w:rPr>
                <w:sz w:val="17"/>
              </w:rPr>
              <w:t xml:space="preserve">Release</w:t>
            </w:r>
          </w:p>
        </w:tc>
        <w:tc>
          <w:tcPr>
            <w:shd w:val="clear" w:color="auto" w:fill="F5F7FB"/>
          </w:tcPr>
          <w:p>
            <w:pPr>
              <w:pStyle w:val="Compact"/>
            </w:pPr>
            <w:r>
              <w:rPr>
                <w:sz w:val="17"/>
              </w:rPr>
              <w:t xml:space="preserve">SF : R1–R2 → v3.0 : R3 (recensement gratuit possible en R2 après concertation)</w:t>
            </w:r>
          </w:p>
        </w:tc>
      </w:tr>
    </w:tbl>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Registre</w:t>
            </w:r>
          </w:p>
        </w:tc>
        <w:tc>
          <w:tcPr>
            <w:shd w:val="clear" w:color="auto" w:fill="232C6B"/>
          </w:tcPr>
          <w:p>
            <w:pPr>
              <w:pStyle w:val="Compact"/>
            </w:pPr>
            <w:r>
              <w:rPr>
                <w:b/>
                <w:color w:val="FFFFFF"/>
                <w:sz w:val="17"/>
              </w:rPr>
              <w:t xml:space="preserve">Contenu</w:t>
            </w:r>
          </w:p>
        </w:tc>
      </w:tr>
      <w:tr>
        <w:tc>
          <w:tcPr/>
          <w:p>
            <w:pPr>
              <w:pStyle w:val="Compact"/>
            </w:pPr>
            <w:r>
              <w:rPr>
                <w:sz w:val="17"/>
              </w:rPr>
              <w:t xml:space="preserve">Moto</w:t>
            </w:r>
          </w:p>
        </w:tc>
        <w:tc>
          <w:tcPr/>
          <w:p>
            <w:pPr>
              <w:pStyle w:val="Compact"/>
            </w:pPr>
            <w:r>
              <w:rPr>
                <w:sz w:val="17"/>
              </w:rPr>
              <w:t xml:space="preserve">Plaque, numéro d’ordre, marque, propriétaire, commune de rattachement ; le pass est lié à la plaque</w:t>
            </w:r>
          </w:p>
        </w:tc>
      </w:tr>
      <w:tr>
        <w:tc>
          <w:tcPr>
            <w:shd w:val="clear" w:color="auto" w:fill="F5F7FB"/>
          </w:tcPr>
          <w:p>
            <w:pPr>
              <w:pStyle w:val="Compact"/>
            </w:pPr>
            <w:r>
              <w:rPr>
                <w:sz w:val="17"/>
              </w:rPr>
              <w:t xml:space="preserve">Conducteur</w:t>
            </w:r>
          </w:p>
        </w:tc>
        <w:tc>
          <w:tcPr>
            <w:shd w:val="clear" w:color="auto" w:fill="F5F7FB"/>
          </w:tcPr>
          <w:p>
            <w:pPr>
              <w:pStyle w:val="Compact"/>
            </w:pPr>
            <w:r>
              <w:rPr>
                <w:sz w:val="17"/>
              </w:rPr>
              <w:t xml:space="preserve">Identité, photo, permis, contact, motos conduites ; carte conducteur QR</w:t>
            </w:r>
          </w:p>
        </w:tc>
      </w:tr>
      <w:tr>
        <w:tc>
          <w:tcPr/>
          <w:p>
            <w:pPr>
              <w:pStyle w:val="Compact"/>
            </w:pPr>
            <w:r>
              <w:rPr>
                <w:sz w:val="17"/>
              </w:rPr>
              <w:t xml:space="preserve">Propriétaire ou exploitant</w:t>
            </w:r>
          </w:p>
        </w:tc>
        <w:tc>
          <w:tcPr/>
          <w:p>
            <w:pPr>
              <w:pStyle w:val="Compact"/>
            </w:pPr>
            <w:r>
              <w:rPr>
                <w:sz w:val="17"/>
              </w:rPr>
              <w:t xml:space="preserve">Compte unique MOSOLO</w:t>
            </w:r>
          </w:p>
        </w:tc>
      </w:tr>
      <w:tr>
        <w:tc>
          <w:tcPr>
            <w:shd w:val="clear" w:color="auto" w:fill="F5F7FB"/>
          </w:tcPr>
          <w:p>
            <w:pPr>
              <w:pStyle w:val="Compact"/>
            </w:pPr>
            <w:r>
              <w:rPr>
                <w:sz w:val="17"/>
              </w:rPr>
              <w:t xml:space="preserve">Coopérative ou association</w:t>
            </w:r>
          </w:p>
        </w:tc>
        <w:tc>
          <w:tcPr>
            <w:shd w:val="clear" w:color="auto" w:fill="F5F7FB"/>
          </w:tcPr>
          <w:p>
            <w:pPr>
              <w:pStyle w:val="Compact"/>
            </w:pPr>
            <w:r>
              <w:rPr>
                <w:sz w:val="17"/>
              </w:rPr>
              <w:t xml:space="preserve">Accréditée comme opérateur de billetterie ; espace d’entité</w:t>
            </w:r>
          </w:p>
        </w:tc>
      </w:tr>
      <w:tr>
        <w:tc>
          <w:tcPr/>
          <w:p>
            <w:pPr>
              <w:pStyle w:val="Compact"/>
            </w:pPr>
            <w:r>
              <w:rPr>
                <w:sz w:val="17"/>
              </w:rPr>
              <w:t xml:space="preserve">Station ou parking wewa</w:t>
            </w:r>
          </w:p>
        </w:tc>
        <w:tc>
          <w:tcPr/>
          <w:p>
            <w:pPr>
              <w:pStyle w:val="Compact"/>
            </w:pPr>
            <w:r>
              <w:rPr>
                <w:sz w:val="17"/>
              </w:rPr>
              <w:t xml:space="preserve">Géoréférencé ; code de station</w:t>
            </w:r>
          </w:p>
        </w:tc>
      </w:tr>
    </w:tbl>
    <w:p>
      <w:pPr>
        <w:pStyle w:val="BodyText"/>
      </w:pPr>
      <w:r>
        <w:rPr>
          <w:b/>
          <w:bCs/>
        </w:rPr>
        <w:t xml:space="preserve">Propriétaire et conducteur sont des rôles distincts</w:t>
      </w:r>
      <w:r>
        <w:t xml:space="preserve"> </w:t>
      </w:r>
      <w:r>
        <w:t xml:space="preserve">; l’obligation est portée par la personne désignée par l’acte ; le système sait qui conduit quelle moto.</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Aspect</w:t>
            </w:r>
          </w:p>
        </w:tc>
        <w:tc>
          <w:tcPr>
            <w:shd w:val="clear" w:color="auto" w:fill="232C6B"/>
          </w:tcPr>
          <w:p>
            <w:pPr>
              <w:pStyle w:val="Compact"/>
            </w:pPr>
            <w:r>
              <w:rPr>
                <w:b/>
                <w:color w:val="FFFFFF"/>
                <w:sz w:val="17"/>
              </w:rPr>
              <w:t xml:space="preserve">Exigence</w:t>
            </w:r>
          </w:p>
        </w:tc>
      </w:tr>
      <w:tr>
        <w:tc>
          <w:tcPr/>
          <w:p>
            <w:pPr>
              <w:pStyle w:val="Compact"/>
            </w:pPr>
            <w:r>
              <w:rPr>
                <w:sz w:val="17"/>
              </w:rPr>
              <w:t xml:space="preserve">Supports</w:t>
            </w:r>
          </w:p>
        </w:tc>
        <w:tc>
          <w:tcPr/>
          <w:p>
            <w:pPr>
              <w:pStyle w:val="Compact"/>
            </w:pPr>
            <w:r>
              <w:rPr>
                <w:sz w:val="17"/>
              </w:rPr>
              <w:t xml:space="preserve">Autocollant QR sur la moto ; gilet numéroté QR ; carte conducteur ; pass sur téléphone ou USSD</w:t>
            </w:r>
          </w:p>
        </w:tc>
      </w:tr>
      <w:tr>
        <w:tc>
          <w:tcPr>
            <w:shd w:val="clear" w:color="auto" w:fill="F5F7FB"/>
          </w:tcPr>
          <w:p>
            <w:pPr>
              <w:pStyle w:val="Compact"/>
            </w:pPr>
            <w:r>
              <w:rPr>
                <w:sz w:val="17"/>
              </w:rPr>
              <w:t xml:space="preserve">Paiement</w:t>
            </w:r>
          </w:p>
        </w:tc>
        <w:tc>
          <w:tcPr>
            <w:shd w:val="clear" w:color="auto" w:fill="F5F7FB"/>
          </w:tcPr>
          <w:p>
            <w:pPr>
              <w:pStyle w:val="Compact"/>
            </w:pPr>
            <w:r>
              <w:rPr>
                <w:sz w:val="17"/>
              </w:rPr>
              <w:t xml:space="preserve">Par le conducteur (monnaie mobile, USSD) ; par la coopérative (paiement groupé,</w:t>
            </w:r>
            <w:r>
              <w:rPr>
                <w:sz w:val="17"/>
              </w:rPr>
              <w:t xml:space="preserve"> </w:t>
            </w:r>
            <w:r>
              <w:rPr>
                <w:b/>
                <w:bCs/>
                <w:sz w:val="17"/>
              </w:rPr>
              <w:t xml:space="preserve">activation individuelle</w:t>
            </w:r>
            <w:r>
              <w:rPr>
                <w:sz w:val="17"/>
              </w:rPr>
              <w:t xml:space="preserve"> </w:t>
            </w:r>
            <w:r>
              <w:rPr>
                <w:sz w:val="17"/>
              </w:rPr>
              <w:t xml:space="preserve">de chaque pass) ; chez un point agréé ; quittance SMS et mise à jour immédiate du statut</w:t>
            </w:r>
          </w:p>
        </w:tc>
      </w:tr>
      <w:tr>
        <w:tc>
          <w:tcPr/>
          <w:p>
            <w:pPr>
              <w:pStyle w:val="Compact"/>
            </w:pPr>
            <w:r>
              <w:rPr>
                <w:sz w:val="17"/>
              </w:rPr>
              <w:t xml:space="preserve">Contrôle</w:t>
            </w:r>
          </w:p>
        </w:tc>
        <w:tc>
          <w:tcPr/>
          <w:p>
            <w:pPr>
              <w:pStyle w:val="Compact"/>
            </w:pPr>
            <w:r>
              <w:rPr>
                <w:sz w:val="17"/>
              </w:rPr>
              <w:t xml:space="preserve">Scan du gilet, de l’autocollant ou de la plaque → statut, identité, autorisation, en ligne ou hors ligne ; pass expiré → constat, pénalité selon le barème de l’acte, contestable (RW1)</w:t>
            </w:r>
          </w:p>
        </w:tc>
      </w:tr>
      <w:tr>
        <w:tc>
          <w:tcPr>
            <w:shd w:val="clear" w:color="auto" w:fill="F5F7FB"/>
          </w:tcPr>
          <w:p>
            <w:pPr>
              <w:pStyle w:val="Compact"/>
            </w:pPr>
            <w:r>
              <w:rPr>
                <w:sz w:val="17"/>
              </w:rPr>
              <w:t xml:space="preserve">Coopératives</w:t>
            </w:r>
          </w:p>
        </w:tc>
        <w:tc>
          <w:tcPr>
            <w:shd w:val="clear" w:color="auto" w:fill="F5F7FB"/>
          </w:tcPr>
          <w:p>
            <w:pPr>
              <w:pStyle w:val="Compact"/>
            </w:pPr>
            <w:r>
              <w:rPr>
                <w:sz w:val="17"/>
              </w:rPr>
              <w:t xml:space="preserve">Invitées et accréditées ; inscrivent et suivent leurs membres, paient en groupe, voient la conformité, reçoivent les alertes ;</w:t>
            </w:r>
            <w:r>
              <w:rPr>
                <w:sz w:val="17"/>
              </w:rPr>
              <w:t xml:space="preserve"> </w:t>
            </w:r>
            <w:r>
              <w:rPr>
                <w:b/>
                <w:bCs/>
                <w:sz w:val="17"/>
              </w:rPr>
              <w:t xml:space="preserve">ne peuvent ni encaisser d’espèces hors point agréé, ni modifier un tarif, ni valider un contrôle</w:t>
            </w:r>
          </w:p>
        </w:tc>
      </w:tr>
      <w:tr>
        <w:tc>
          <w:tcPr/>
          <w:p>
            <w:pPr>
              <w:pStyle w:val="Compact"/>
            </w:pPr>
            <w:r>
              <w:rPr>
                <w:sz w:val="17"/>
              </w:rPr>
              <w:t xml:space="preserve">Bénéfices pour les wewa</w:t>
            </w:r>
          </w:p>
        </w:tc>
        <w:tc>
          <w:tcPr/>
          <w:p>
            <w:pPr>
              <w:pStyle w:val="Compact"/>
            </w:pPr>
            <w:r>
              <w:rPr>
                <w:sz w:val="17"/>
              </w:rPr>
              <w:t xml:space="preserve">Reconnaissance ; fin des prélèvements multiples ; historique de paiement utilisable (assurance, épargne, crédit via des partenaires, sur consentement) ; sécurité</w:t>
            </w:r>
          </w:p>
        </w:tc>
      </w:tr>
    </w:tbl>
    <w:p>
      <w:pPr>
        <w:pStyle w:val="BodyText"/>
      </w:pPr>
      <w:r>
        <w:rPr>
          <w:b/>
          <w:bCs/>
        </w:rPr>
        <w:t xml:space="preserve">Illustration économique</w:t>
      </w:r>
      <w:r>
        <w:t xml:space="preserve"> </w:t>
      </w:r>
      <w:r>
        <w:t xml:space="preserve">[EXEMPLE — nombre de motos, tarif et conformité à établir par le recensement et l’acte ; [À VÉRIFIER]] : recette annuelle = motos actives × tarif journalier × jours d’activité × taux de conformité. Avec un pass de 500 FC par jour et 300 jours d’activité,</w:t>
      </w:r>
      <w:r>
        <w:t xml:space="preserve"> </w:t>
      </w:r>
      <w:r>
        <w:rPr>
          <w:b/>
          <w:bCs/>
        </w:rPr>
        <w:t xml:space="preserve">chaque tranche de 100 000 wewa en règle représente 15 milliards de FC par an (≈ 6,5 M USD)</w:t>
      </w:r>
      <w:r>
        <w:t xml:space="preserve"> </w:t>
      </w:r>
      <w:r>
        <w:t xml:space="preserve">; pour l’estimation du promoteur de</w:t>
      </w:r>
      <w:r>
        <w:t xml:space="preserve"> </w:t>
      </w:r>
      <w:r>
        <w:rPr>
          <w:b/>
          <w:bCs/>
        </w:rPr>
        <w:t xml:space="preserve">plus d’un million de wewa</w:t>
      </w:r>
      <w:r>
        <w:t xml:space="preserve"> </w:t>
      </w:r>
      <w:r>
        <w:t xml:space="preserve">[À VÉRIFIER], cela représenterait 150 milliards de FC par an (≈ 65 M USD) à conformité totale et ≈ 33 M USD à 50 % de conformité. Conversion au cours d’environ 2 300 CDF/USD (cours BCC de 2 267,75 CDF le 22 septembre 2026 [À VÉRIFIER]). Le texte source, qui juxtaposait 6,5 M et 33 M USD de façon incohérente, est corrigé ici (ARB-30).</w:t>
      </w:r>
    </w:p>
    <w:p>
      <w:pPr>
        <w:pStyle w:val="BodyText"/>
      </w:pPr>
      <w:r>
        <w:drawing>
          <wp:inline>
            <wp:extent cx="6108700" cy="2625805"/>
            <wp:effectExtent b="0" l="0" r="0" t="0"/>
            <wp:docPr descr="" title="" id="564" name="Picture"/>
            <a:graphic>
              <a:graphicData uri="http://schemas.openxmlformats.org/drawingml/2006/picture">
                <pic:pic>
                  <pic:nvPicPr>
                    <pic:cNvPr descr="figures/mermaid/mmd-ca17d5a3d091.png" id="565" name="Picture"/>
                    <pic:cNvPicPr>
                      <a:picLocks noChangeArrowheads="1" noChangeAspect="1"/>
                    </pic:cNvPicPr>
                  </pic:nvPicPr>
                  <pic:blipFill>
                    <a:blip r:embed="rId563"/>
                    <a:stretch>
                      <a:fillRect/>
                    </a:stretch>
                  </pic:blipFill>
                  <pic:spPr bwMode="auto">
                    <a:xfrm>
                      <a:off x="0" y="0"/>
                      <a:ext cx="6108700" cy="2625805"/>
                    </a:xfrm>
                    <a:prstGeom prst="rect">
                      <a:avLst/>
                    </a:prstGeom>
                    <a:noFill/>
                    <a:ln w="9525">
                      <a:noFill/>
                      <a:headEnd/>
                      <a:tailEnd/>
                    </a:ln>
                  </pic:spPr>
                </pic:pic>
              </a:graphicData>
            </a:graphic>
          </wp:inline>
        </w:drawing>
      </w:r>
    </w:p>
    <w:bookmarkEnd w:id="566"/>
    <w:bookmarkEnd w:id="567"/>
    <w:bookmarkEnd w:id="568"/>
    <w:bookmarkStart w:id="569" w:name="h.28-fiches-des-modules-1-à-81-synthèse"/>
    <w:p>
      <w:pPr>
        <w:pStyle w:val="Heading2"/>
      </w:pPr>
      <w:r>
        <w:t xml:space="preserve">H.28 Fiches des modules 1 à 81 (synthèse)</w:t>
      </w:r>
    </w:p>
    <w:p>
      <w:pPr>
        <w:pStyle w:val="FirstParagraph"/>
      </w:pPr>
      <w:r>
        <w:t xml:space="preserve">Synthèse normative de la Spécification fonctionnelle v1.2, réécrite selon la doctrine v3.0. Les principes communs (légalité, compte unique, zéro espèce, preuve, accès, séparation des pouvoirs, IA assistive, recours, inclusion, hors ligne, heure serveur, définition de « terminé ») s’appliquent à chaque module et ne sont pas répétés. Colonne</w:t>
      </w:r>
      <w:r>
        <w:t xml:space="preserve"> </w:t>
      </w:r>
      <w:r>
        <w:rPr>
          <w:b/>
          <w:bCs/>
        </w:rPr>
        <w:t xml:space="preserve">Release</w:t>
      </w:r>
      <w:r>
        <w:t xml:space="preserve"> </w:t>
      </w:r>
      <w:r>
        <w:t xml:space="preserve">: release de la Spécification → release v3.0 (qui prévaut). Les modules 82 à 95, nouveaux dans la v3.0, sont décrits au § 11.2.</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shd w:val="clear" w:color="auto" w:fill="232C6B"/>
          </w:tcPr>
          <w:p>
            <w:pPr>
              <w:pStyle w:val="Compact"/>
            </w:pPr>
            <w:r>
              <w:rPr>
                <w:b/>
                <w:color w:val="FFFFFF"/>
                <w:sz w:val="17"/>
              </w:rPr>
              <w:t xml:space="preserve">N°</w:t>
            </w:r>
          </w:p>
        </w:tc>
        <w:tc>
          <w:tcPr>
            <w:shd w:val="clear" w:color="auto" w:fill="232C6B"/>
          </w:tcPr>
          <w:p>
            <w:pPr>
              <w:pStyle w:val="Compact"/>
            </w:pPr>
            <w:r>
              <w:rPr>
                <w:b/>
                <w:color w:val="FFFFFF"/>
                <w:sz w:val="17"/>
              </w:rPr>
              <w:t xml:space="preserve">Module</w:t>
            </w:r>
          </w:p>
        </w:tc>
        <w:tc>
          <w:tcPr>
            <w:shd w:val="clear" w:color="auto" w:fill="232C6B"/>
          </w:tcPr>
          <w:p>
            <w:pPr>
              <w:pStyle w:val="Compact"/>
            </w:pPr>
            <w:r>
              <w:rPr>
                <w:b/>
                <w:color w:val="FFFFFF"/>
                <w:sz w:val="17"/>
              </w:rPr>
              <w:t xml:space="preserve">Finalité</w:t>
            </w:r>
          </w:p>
        </w:tc>
        <w:tc>
          <w:tcPr>
            <w:shd w:val="clear" w:color="auto" w:fill="232C6B"/>
          </w:tcPr>
          <w:p>
            <w:pPr>
              <w:pStyle w:val="Compact"/>
            </w:pPr>
            <w:r>
              <w:rPr>
                <w:b/>
                <w:color w:val="FFFFFF"/>
                <w:sz w:val="17"/>
              </w:rPr>
              <w:t xml:space="preserve">Fonctions clés</w:t>
            </w:r>
          </w:p>
        </w:tc>
        <w:tc>
          <w:tcPr>
            <w:shd w:val="clear" w:color="auto" w:fill="232C6B"/>
          </w:tcPr>
          <w:p>
            <w:pPr>
              <w:pStyle w:val="Compact"/>
            </w:pPr>
            <w:r>
              <w:rPr>
                <w:b/>
                <w:color w:val="FFFFFF"/>
                <w:sz w:val="17"/>
              </w:rPr>
              <w:t xml:space="preserve">Contrôles spécifiques</w:t>
            </w:r>
          </w:p>
        </w:tc>
        <w:tc>
          <w:tcPr>
            <w:shd w:val="clear" w:color="auto" w:fill="232C6B"/>
          </w:tcPr>
          <w:p>
            <w:pPr>
              <w:pStyle w:val="Compact"/>
            </w:pPr>
            <w:r>
              <w:rPr>
                <w:b/>
                <w:color w:val="FFFFFF"/>
                <w:sz w:val="17"/>
              </w:rPr>
              <w:t xml:space="preserve">Indicateurs</w:t>
            </w:r>
          </w:p>
        </w:tc>
        <w:tc>
          <w:tcPr>
            <w:shd w:val="clear" w:color="auto" w:fill="232C6B"/>
          </w:tcPr>
          <w:p>
            <w:pPr>
              <w:pStyle w:val="Compact"/>
            </w:pPr>
            <w:r>
              <w:rPr>
                <w:b/>
                <w:color w:val="FFFFFF"/>
                <w:sz w:val="17"/>
              </w:rPr>
              <w:t xml:space="preserve">Release</w:t>
            </w:r>
          </w:p>
        </w:tc>
      </w:tr>
      <w:tr>
        <w:tc>
          <w:tcPr/>
          <w:p>
            <w:pPr>
              <w:pStyle w:val="Compact"/>
            </w:pPr>
            <w:r>
              <w:rPr>
                <w:sz w:val="17"/>
              </w:rPr>
              <w:t xml:space="preserve">1</w:t>
            </w:r>
          </w:p>
        </w:tc>
        <w:tc>
          <w:tcPr/>
          <w:p>
            <w:pPr>
              <w:pStyle w:val="Compact"/>
            </w:pPr>
            <w:r>
              <w:rPr>
                <w:sz w:val="17"/>
              </w:rPr>
              <w:t xml:space="preserve">Identité et compte contribuable</w:t>
            </w:r>
          </w:p>
        </w:tc>
        <w:tc>
          <w:tcPr/>
          <w:p>
            <w:pPr>
              <w:pStyle w:val="Compact"/>
            </w:pPr>
            <w:r>
              <w:rPr>
                <w:sz w:val="17"/>
              </w:rPr>
              <w:t xml:space="preserve">Identité fiscale unique, socle de tout rattachement</w:t>
            </w:r>
          </w:p>
        </w:tc>
        <w:tc>
          <w:tcPr/>
          <w:p>
            <w:pPr>
              <w:pStyle w:val="Compact"/>
            </w:pPr>
            <w:r>
              <w:rPr>
                <w:sz w:val="17"/>
              </w:rPr>
              <w:t xml:space="preserve">Compte unique (espaces personnel et entreprise) ; clés NIF / téléphone + pièce / RCCM ; niveaux N0, N0-A, N1–N3 ; rôles multiples ; mandats datés et révocables ; récupération ; séparation profil contribuable / de travail</w:t>
            </w:r>
          </w:p>
        </w:tc>
        <w:tc>
          <w:tcPr/>
          <w:p>
            <w:pPr>
              <w:pStyle w:val="Compact"/>
            </w:pPr>
            <w:r>
              <w:rPr>
                <w:sz w:val="17"/>
              </w:rPr>
              <w:t xml:space="preserve">Pas de fusion sur le nom ; fusion réversible en double validation ; identité masquée selon le rôle ; consultation journalisée avec motif</w:t>
            </w:r>
          </w:p>
        </w:tc>
        <w:tc>
          <w:tcPr/>
          <w:p>
            <w:pPr>
              <w:pStyle w:val="Compact"/>
            </w:pPr>
            <w:r>
              <w:rPr>
                <w:sz w:val="17"/>
              </w:rPr>
              <w:t xml:space="preserve">Comptes actifs par niveau ; rattachement NIF ; doublons détectés/résolus ; délai de vérification</w:t>
            </w:r>
          </w:p>
        </w:tc>
        <w:tc>
          <w:tcPr/>
          <w:p>
            <w:pPr>
              <w:pStyle w:val="Compact"/>
            </w:pPr>
            <w:r>
              <w:rPr>
                <w:sz w:val="17"/>
              </w:rPr>
              <w:t xml:space="preserve">R1 → R1</w:t>
            </w:r>
          </w:p>
        </w:tc>
      </w:tr>
      <w:tr>
        <w:tc>
          <w:tcPr>
            <w:shd w:val="clear" w:color="auto" w:fill="F5F7FB"/>
          </w:tcPr>
          <w:p>
            <w:pPr>
              <w:pStyle w:val="Compact"/>
            </w:pPr>
            <w:r>
              <w:rPr>
                <w:sz w:val="17"/>
              </w:rPr>
              <w:t xml:space="preserve">2</w:t>
            </w:r>
          </w:p>
        </w:tc>
        <w:tc>
          <w:tcPr>
            <w:shd w:val="clear" w:color="auto" w:fill="F5F7FB"/>
          </w:tcPr>
          <w:p>
            <w:pPr>
              <w:pStyle w:val="Compact"/>
            </w:pPr>
            <w:r>
              <w:rPr>
                <w:sz w:val="17"/>
              </w:rPr>
              <w:t xml:space="preserve">Enrôlement et vérification</w:t>
            </w:r>
          </w:p>
        </w:tc>
        <w:tc>
          <w:tcPr>
            <w:shd w:val="clear" w:color="auto" w:fill="F5F7FB"/>
          </w:tcPr>
          <w:p>
            <w:pPr>
              <w:pStyle w:val="Compact"/>
            </w:pPr>
            <w:r>
              <w:rPr>
                <w:sz w:val="17"/>
              </w:rPr>
              <w:t xml:space="preserve">Parcours court par profil, contrôle proportionné</w:t>
            </w:r>
          </w:p>
        </w:tc>
        <w:tc>
          <w:tcPr>
            <w:shd w:val="clear" w:color="auto" w:fill="F5F7FB"/>
          </w:tcPr>
          <w:p>
            <w:pPr>
              <w:pStyle w:val="Compact"/>
            </w:pPr>
            <w:r>
              <w:rPr>
                <w:sz w:val="17"/>
              </w:rPr>
              <w:t xml:space="preserve">Parcours par profil ; formulaires adaptatifs ; contrôle des pièces (OCR, cohérence) ; score de confiance ; anti-doublon probabiliste ; enrôlement assisté ;</w:t>
            </w:r>
            <w:r>
              <w:rPr>
                <w:sz w:val="17"/>
              </w:rPr>
              <w:t xml:space="preserve"> </w:t>
            </w:r>
            <w:r>
              <w:rPr>
                <w:b/>
                <w:bCs/>
                <w:sz w:val="17"/>
              </w:rPr>
              <w:t xml:space="preserve">enrôlement par lots</w:t>
            </w:r>
            <w:r>
              <w:rPr>
                <w:sz w:val="17"/>
              </w:rPr>
              <w:t xml:space="preserve"> </w:t>
            </w:r>
            <w:r>
              <w:rPr>
                <w:sz w:val="17"/>
              </w:rPr>
              <w:t xml:space="preserve">(import de l’existant) ; récapitulatif SMS/vocal/imprimé</w:t>
            </w:r>
          </w:p>
        </w:tc>
        <w:tc>
          <w:tcPr>
            <w:shd w:val="clear" w:color="auto" w:fill="F5F7FB"/>
          </w:tcPr>
          <w:p>
            <w:pPr>
              <w:pStyle w:val="Compact"/>
            </w:pPr>
            <w:r>
              <w:rPr>
                <w:sz w:val="17"/>
              </w:rPr>
              <w:t xml:space="preserve">Déclarer un rôle ≠ propriété ni dette ; gratuité ; horodatage, géolocalisation et terminal pour tout enrôlement assisté</w:t>
            </w:r>
          </w:p>
        </w:tc>
        <w:tc>
          <w:tcPr>
            <w:shd w:val="clear" w:color="auto" w:fill="F5F7FB"/>
          </w:tcPr>
          <w:p>
            <w:pPr>
              <w:pStyle w:val="Compact"/>
            </w:pPr>
            <w:r>
              <w:rPr>
                <w:sz w:val="17"/>
              </w:rPr>
              <w:t xml:space="preserve">Enrôlements par canal ; dossiers complets du premier coup ; délai ; rejets</w:t>
            </w:r>
          </w:p>
        </w:tc>
        <w:tc>
          <w:tcPr>
            <w:shd w:val="clear" w:color="auto" w:fill="F5F7FB"/>
          </w:tcPr>
          <w:p>
            <w:pPr>
              <w:pStyle w:val="Compact"/>
            </w:pPr>
            <w:r>
              <w:rPr>
                <w:sz w:val="17"/>
              </w:rPr>
              <w:t xml:space="preserve">R1 → R1</w:t>
            </w:r>
          </w:p>
        </w:tc>
      </w:tr>
      <w:tr>
        <w:tc>
          <w:tcPr/>
          <w:p>
            <w:pPr>
              <w:pStyle w:val="Compact"/>
            </w:pPr>
            <w:r>
              <w:rPr>
                <w:sz w:val="17"/>
              </w:rPr>
              <w:t xml:space="preserve">3</w:t>
            </w:r>
          </w:p>
        </w:tc>
        <w:tc>
          <w:tcPr/>
          <w:p>
            <w:pPr>
              <w:pStyle w:val="Compact"/>
            </w:pPr>
            <w:r>
              <w:rPr>
                <w:sz w:val="17"/>
              </w:rPr>
              <w:t xml:space="preserve">Portail contribuable</w:t>
            </w:r>
          </w:p>
        </w:tc>
        <w:tc>
          <w:tcPr/>
          <w:p>
            <w:pPr>
              <w:pStyle w:val="Compact"/>
            </w:pPr>
            <w:r>
              <w:rPr>
                <w:sz w:val="17"/>
              </w:rPr>
              <w:t xml:space="preserve">Vue unique objets, obligations, paiements, titres, recours</w:t>
            </w:r>
          </w:p>
        </w:tc>
        <w:tc>
          <w:tcPr/>
          <w:p>
            <w:pPr>
              <w:pStyle w:val="Compact"/>
            </w:pPr>
            <w:r>
              <w:rPr>
                <w:sz w:val="17"/>
              </w:rPr>
              <w:t xml:space="preserve">« Mon espace MOSOLO » (vert/ambre/rouge) ; obligations expliquées ; déclarations pré-remplies ; paiement ; titres et quittances ; contestation ; échéancier si légal ; espace entreprise ; attestation de situation / quitus</w:t>
            </w:r>
          </w:p>
        </w:tc>
        <w:tc>
          <w:tcPr/>
          <w:p>
            <w:pPr>
              <w:pStyle w:val="Compact"/>
            </w:pPr>
            <w:r>
              <w:rPr>
                <w:sz w:val="17"/>
              </w:rPr>
              <w:t xml:space="preserve">Aucune donnée de tiers ; authentification forte pour les opérations sensibles ; session courte sur appareil partagé</w:t>
            </w:r>
          </w:p>
        </w:tc>
        <w:tc>
          <w:tcPr/>
          <w:p>
            <w:pPr>
              <w:pStyle w:val="Compact"/>
            </w:pPr>
            <w:r>
              <w:rPr>
                <w:sz w:val="17"/>
              </w:rPr>
              <w:t xml:space="preserve">Utilisateurs actifs ; paiement en ligne ; délai déclaration → paiement ; satisfaction</w:t>
            </w:r>
          </w:p>
        </w:tc>
        <w:tc>
          <w:tcPr/>
          <w:p>
            <w:pPr>
              <w:pStyle w:val="Compact"/>
            </w:pPr>
            <w:r>
              <w:rPr>
                <w:sz w:val="17"/>
              </w:rPr>
              <w:t xml:space="preserve">R1 → R1</w:t>
            </w:r>
          </w:p>
        </w:tc>
      </w:tr>
      <w:tr>
        <w:tc>
          <w:tcPr>
            <w:shd w:val="clear" w:color="auto" w:fill="F5F7FB"/>
          </w:tcPr>
          <w:p>
            <w:pPr>
              <w:pStyle w:val="Compact"/>
            </w:pPr>
            <w:r>
              <w:rPr>
                <w:sz w:val="17"/>
              </w:rPr>
              <w:t xml:space="preserve">4</w:t>
            </w:r>
          </w:p>
        </w:tc>
        <w:tc>
          <w:tcPr>
            <w:shd w:val="clear" w:color="auto" w:fill="F5F7FB"/>
          </w:tcPr>
          <w:p>
            <w:pPr>
              <w:pStyle w:val="Compact"/>
            </w:pPr>
            <w:r>
              <w:rPr>
                <w:sz w:val="17"/>
              </w:rPr>
              <w:t xml:space="preserve">Application citoyenne Android</w:t>
            </w:r>
          </w:p>
        </w:tc>
        <w:tc>
          <w:tcPr>
            <w:shd w:val="clear" w:color="auto" w:fill="F5F7FB"/>
          </w:tcPr>
          <w:p>
            <w:pPr>
              <w:pStyle w:val="Compact"/>
            </w:pPr>
            <w:r>
              <w:rPr>
                <w:sz w:val="17"/>
              </w:rPr>
              <w:t xml:space="preserve">Accès mobile économe en données</w:t>
            </w:r>
          </w:p>
        </w:tc>
        <w:tc>
          <w:tcPr>
            <w:shd w:val="clear" w:color="auto" w:fill="F5F7FB"/>
          </w:tcPr>
          <w:p>
            <w:pPr>
              <w:pStyle w:val="Compact"/>
            </w:pPr>
            <w:r>
              <w:rPr>
                <w:sz w:val="17"/>
              </w:rPr>
              <w:t xml:space="preserve">Mode 2G avec reprise ; paiement tous opérateurs ; portefeuille de titres (QR régénéré toutes les 30 s) ; scanner de vérification ; notifications ; six langues, pictogrammes, audio</w:t>
            </w:r>
          </w:p>
        </w:tc>
        <w:tc>
          <w:tcPr>
            <w:shd w:val="clear" w:color="auto" w:fill="F5F7FB"/>
          </w:tcPr>
          <w:p>
            <w:pPr>
              <w:pStyle w:val="Compact"/>
            </w:pPr>
            <w:r>
              <w:rPr>
                <w:sz w:val="17"/>
              </w:rPr>
              <w:t xml:space="preserve">Aucune validité sur l’horloge du téléphone ; détection d’appareil modifié ; cache chiffré minimal ; verrouillage automatique</w:t>
            </w:r>
          </w:p>
        </w:tc>
        <w:tc>
          <w:tcPr>
            <w:shd w:val="clear" w:color="auto" w:fill="F5F7FB"/>
          </w:tcPr>
          <w:p>
            <w:pPr>
              <w:pStyle w:val="Compact"/>
            </w:pPr>
            <w:r>
              <w:rPr>
                <w:sz w:val="17"/>
              </w:rPr>
              <w:t xml:space="preserve">Installations actives ; transactions ; échecs de paiement ; note</w:t>
            </w:r>
          </w:p>
        </w:tc>
        <w:tc>
          <w:tcPr>
            <w:shd w:val="clear" w:color="auto" w:fill="F5F7FB"/>
          </w:tcPr>
          <w:p>
            <w:pPr>
              <w:pStyle w:val="Compact"/>
            </w:pPr>
            <w:r>
              <w:rPr>
                <w:sz w:val="17"/>
              </w:rPr>
              <w:t xml:space="preserve">R1 → R1</w:t>
            </w:r>
          </w:p>
        </w:tc>
      </w:tr>
      <w:tr>
        <w:tc>
          <w:tcPr/>
          <w:p>
            <w:pPr>
              <w:pStyle w:val="Compact"/>
            </w:pPr>
            <w:r>
              <w:rPr>
                <w:sz w:val="17"/>
              </w:rPr>
              <w:t xml:space="preserve">5</w:t>
            </w:r>
          </w:p>
        </w:tc>
        <w:tc>
          <w:tcPr/>
          <w:p>
            <w:pPr>
              <w:pStyle w:val="Compact"/>
            </w:pPr>
            <w:r>
              <w:rPr>
                <w:sz w:val="17"/>
              </w:rPr>
              <w:t xml:space="preserve">Portail web public</w:t>
            </w:r>
          </w:p>
        </w:tc>
        <w:tc>
          <w:tcPr/>
          <w:p>
            <w:pPr>
              <w:pStyle w:val="Compact"/>
            </w:pPr>
            <w:r>
              <w:rPr>
                <w:sz w:val="17"/>
              </w:rPr>
              <w:t xml:space="preserve">Informer, simuler, vérifier sans compte</w:t>
            </w:r>
          </w:p>
        </w:tc>
        <w:tc>
          <w:tcPr/>
          <w:p>
            <w:pPr>
              <w:pStyle w:val="Compact"/>
            </w:pPr>
            <w:r>
              <w:rPr>
                <w:sz w:val="17"/>
              </w:rPr>
              <w:t xml:space="preserve">Guides, textes, calendrier fiscal, points de paiement ; simulateurs IF, IRL, vignette, patente sur règles publiées ; vérification quittances, titres, cartes, badges ; transparence ; inscription publique (contribuable uniquement)</w:t>
            </w:r>
          </w:p>
        </w:tc>
        <w:tc>
          <w:tcPr/>
          <w:p>
            <w:pPr>
              <w:pStyle w:val="Compact"/>
            </w:pPr>
            <w:r>
              <w:rPr>
                <w:sz w:val="17"/>
              </w:rPr>
              <w:t xml:space="preserve">Aucune donnée individuelle ; limites de débit ; anti-robots ; simulation sans conservation de données personnelles</w:t>
            </w:r>
          </w:p>
        </w:tc>
        <w:tc>
          <w:tcPr/>
          <w:p>
            <w:pPr>
              <w:pStyle w:val="Compact"/>
            </w:pPr>
            <w:r>
              <w:rPr>
                <w:sz w:val="17"/>
              </w:rPr>
              <w:t xml:space="preserve">Visites ; simulations ; vérifications ; conversion vers l’inscription</w:t>
            </w:r>
          </w:p>
        </w:tc>
        <w:tc>
          <w:tcPr/>
          <w:p>
            <w:pPr>
              <w:pStyle w:val="Compact"/>
            </w:pPr>
            <w:r>
              <w:rPr>
                <w:sz w:val="17"/>
              </w:rPr>
              <w:t xml:space="preserve">R1 → R1</w:t>
            </w:r>
          </w:p>
        </w:tc>
      </w:tr>
      <w:tr>
        <w:tc>
          <w:tcPr>
            <w:shd w:val="clear" w:color="auto" w:fill="F5F7FB"/>
          </w:tcPr>
          <w:p>
            <w:pPr>
              <w:pStyle w:val="Compact"/>
            </w:pPr>
            <w:r>
              <w:rPr>
                <w:sz w:val="17"/>
              </w:rPr>
              <w:t xml:space="preserve">6</w:t>
            </w:r>
          </w:p>
        </w:tc>
        <w:tc>
          <w:tcPr>
            <w:shd w:val="clear" w:color="auto" w:fill="F5F7FB"/>
          </w:tcPr>
          <w:p>
            <w:pPr>
              <w:pStyle w:val="Compact"/>
            </w:pPr>
            <w:r>
              <w:rPr>
                <w:sz w:val="17"/>
              </w:rPr>
              <w:t xml:space="preserve">USSD et SMS</w:t>
            </w:r>
          </w:p>
        </w:tc>
        <w:tc>
          <w:tcPr>
            <w:shd w:val="clear" w:color="auto" w:fill="F5F7FB"/>
          </w:tcPr>
          <w:p>
            <w:pPr>
              <w:pStyle w:val="Compact"/>
            </w:pPr>
            <w:r>
              <w:rPr>
                <w:sz w:val="17"/>
              </w:rPr>
              <w:t xml:space="preserve">Service sur téléphone basique</w:t>
            </w:r>
          </w:p>
        </w:tc>
        <w:tc>
          <w:tcPr>
            <w:shd w:val="clear" w:color="auto" w:fill="F5F7FB"/>
          </w:tcPr>
          <w:p>
            <w:pPr>
              <w:pStyle w:val="Compact"/>
            </w:pPr>
            <w:r>
              <w:rPr>
                <w:sz w:val="17"/>
              </w:rPr>
              <w:t xml:space="preserve">Code court gratuit ; consultation par objet, plaque ou carte ; paiement sur référence ; quittance SMS ; rappels ; vérification par code</w:t>
            </w:r>
          </w:p>
        </w:tc>
        <w:tc>
          <w:tcPr>
            <w:shd w:val="clear" w:color="auto" w:fill="F5F7FB"/>
          </w:tcPr>
          <w:p>
            <w:pPr>
              <w:pStyle w:val="Compact"/>
            </w:pPr>
            <w:r>
              <w:rPr>
                <w:sz w:val="17"/>
              </w:rPr>
              <w:t xml:space="preserve">Aucune donnée sensible complète ; SMS &lt; 160 caractères sans lien ; anti-hameçonnage ; limites de débit</w:t>
            </w:r>
          </w:p>
        </w:tc>
        <w:tc>
          <w:tcPr>
            <w:shd w:val="clear" w:color="auto" w:fill="F5F7FB"/>
          </w:tcPr>
          <w:p>
            <w:pPr>
              <w:pStyle w:val="Compact"/>
            </w:pPr>
            <w:r>
              <w:rPr>
                <w:sz w:val="17"/>
              </w:rPr>
              <w:t xml:space="preserve">Sessions ; paiements USSD ; délivrance SMS ; coût par message</w:t>
            </w:r>
          </w:p>
        </w:tc>
        <w:tc>
          <w:tcPr>
            <w:shd w:val="clear" w:color="auto" w:fill="F5F7FB"/>
          </w:tcPr>
          <w:p>
            <w:pPr>
              <w:pStyle w:val="Compact"/>
            </w:pPr>
            <w:r>
              <w:rPr>
                <w:sz w:val="17"/>
              </w:rPr>
              <w:t xml:space="preserve">R1 → R1</w:t>
            </w:r>
          </w:p>
        </w:tc>
      </w:tr>
      <w:tr>
        <w:tc>
          <w:tcPr/>
          <w:p>
            <w:pPr>
              <w:pStyle w:val="Compact"/>
            </w:pPr>
            <w:r>
              <w:rPr>
                <w:sz w:val="17"/>
              </w:rPr>
              <w:t xml:space="preserve">7</w:t>
            </w:r>
          </w:p>
        </w:tc>
        <w:tc>
          <w:tcPr/>
          <w:p>
            <w:pPr>
              <w:pStyle w:val="Compact"/>
            </w:pPr>
            <w:r>
              <w:rPr>
                <w:sz w:val="17"/>
              </w:rPr>
              <w:t xml:space="preserve">Relations contribuable–objet</w:t>
            </w:r>
          </w:p>
        </w:tc>
        <w:tc>
          <w:tcPr/>
          <w:p>
            <w:pPr>
              <w:pStyle w:val="Compact"/>
            </w:pPr>
            <w:r>
              <w:rPr>
                <w:sz w:val="17"/>
              </w:rPr>
              <w:t xml:space="preserve">Lier personnes et objets par des rôles datés et prouvés</w:t>
            </w:r>
          </w:p>
        </w:tc>
        <w:tc>
          <w:tcPr/>
          <w:p>
            <w:pPr>
              <w:pStyle w:val="Compact"/>
            </w:pPr>
            <w:r>
              <w:rPr>
                <w:sz w:val="17"/>
              </w:rPr>
              <w:t xml:space="preserve">Rattachement (rôle, dates, pièces) ; détachement (vente, fin de bail, fermeture, mutation) ; revendication d’un objet provisoire ; historique ; conflits</w:t>
            </w:r>
          </w:p>
        </w:tc>
        <w:tc>
          <w:tcPr/>
          <w:p>
            <w:pPr>
              <w:pStyle w:val="Compact"/>
            </w:pPr>
            <w:r>
              <w:rPr>
                <w:sz w:val="17"/>
              </w:rPr>
              <w:t xml:space="preserve">Aucune relation sans preuve minimale ; objet de forte valeur réservé au N2 ; blocage de mutation sans quitus</w:t>
            </w:r>
            <w:r>
              <w:rPr>
                <w:sz w:val="17"/>
              </w:rPr>
              <w:t xml:space="preserve"> </w:t>
            </w:r>
            <w:r>
              <w:rPr>
                <w:b/>
                <w:bCs/>
                <w:sz w:val="17"/>
              </w:rPr>
              <w:t xml:space="preserve">si la règle l’exige</w:t>
            </w:r>
          </w:p>
        </w:tc>
        <w:tc>
          <w:tcPr/>
          <w:p>
            <w:pPr>
              <w:pStyle w:val="Compact"/>
            </w:pPr>
            <w:r>
              <w:rPr>
                <w:sz w:val="17"/>
              </w:rPr>
              <w:t xml:space="preserve">Objets rattachés ; délai ; litiges ouverts</w:t>
            </w:r>
          </w:p>
        </w:tc>
        <w:tc>
          <w:tcPr/>
          <w:p>
            <w:pPr>
              <w:pStyle w:val="Compact"/>
            </w:pPr>
            <w:r>
              <w:rPr>
                <w:sz w:val="17"/>
              </w:rPr>
              <w:t xml:space="preserve">R1 → R1</w:t>
            </w:r>
          </w:p>
        </w:tc>
      </w:tr>
      <w:tr>
        <w:tc>
          <w:tcPr>
            <w:shd w:val="clear" w:color="auto" w:fill="F5F7FB"/>
          </w:tcPr>
          <w:p>
            <w:pPr>
              <w:pStyle w:val="Compact"/>
            </w:pPr>
            <w:r>
              <w:rPr>
                <w:sz w:val="17"/>
              </w:rPr>
              <w:t xml:space="preserve">8</w:t>
            </w:r>
          </w:p>
        </w:tc>
        <w:tc>
          <w:tcPr>
            <w:shd w:val="clear" w:color="auto" w:fill="F5F7FB"/>
          </w:tcPr>
          <w:p>
            <w:pPr>
              <w:pStyle w:val="Compact"/>
            </w:pPr>
            <w:r>
              <w:rPr>
                <w:sz w:val="17"/>
              </w:rPr>
              <w:t xml:space="preserve">Cadastre fiscal géospatial</w:t>
            </w:r>
          </w:p>
        </w:tc>
        <w:tc>
          <w:tcPr>
            <w:shd w:val="clear" w:color="auto" w:fill="F5F7FB"/>
          </w:tcPr>
          <w:p>
            <w:pPr>
              <w:pStyle w:val="Compact"/>
            </w:pPr>
            <w:r>
              <w:rPr>
                <w:sz w:val="17"/>
              </w:rPr>
              <w:t xml:space="preserve">Localiser et décrire les objets</w:t>
            </w:r>
          </w:p>
        </w:tc>
        <w:tc>
          <w:tcPr>
            <w:shd w:val="clear" w:color="auto" w:fill="F5F7FB"/>
          </w:tcPr>
          <w:p>
            <w:pPr>
              <w:pStyle w:val="Compact"/>
            </w:pPr>
            <w:r>
              <w:rPr>
                <w:sz w:val="17"/>
              </w:rPr>
              <w:t xml:space="preserve">Hiérarchie commune → activité ; couches ; IGF (UUID + code lisible) ; cartes de chaleur ; cas difficiles ; historique des géométries ; détection d’objets superposés</w:t>
            </w:r>
          </w:p>
        </w:tc>
        <w:tc>
          <w:tcPr>
            <w:shd w:val="clear" w:color="auto" w:fill="F5F7FB"/>
          </w:tcPr>
          <w:p>
            <w:pPr>
              <w:pStyle w:val="Compact"/>
            </w:pPr>
            <w:r>
              <w:rPr>
                <w:sz w:val="17"/>
              </w:rPr>
              <w:t xml:space="preserve">Ne tranche pas les droits réels ; couches sensibles restreintes</w:t>
            </w:r>
          </w:p>
        </w:tc>
        <w:tc>
          <w:tcPr>
            <w:shd w:val="clear" w:color="auto" w:fill="F5F7FB"/>
          </w:tcPr>
          <w:p>
            <w:pPr>
              <w:pStyle w:val="Compact"/>
            </w:pPr>
            <w:r>
              <w:rPr>
                <w:sz w:val="17"/>
              </w:rPr>
              <w:t xml:space="preserve">Couverture géofiscale ; objets géolocalisés ; précision moyenne</w:t>
            </w:r>
          </w:p>
        </w:tc>
        <w:tc>
          <w:tcPr>
            <w:shd w:val="clear" w:color="auto" w:fill="F5F7FB"/>
          </w:tcPr>
          <w:p>
            <w:pPr>
              <w:pStyle w:val="Compact"/>
            </w:pPr>
            <w:r>
              <w:rPr>
                <w:sz w:val="17"/>
              </w:rPr>
              <w:t xml:space="preserve">R1 → R1</w:t>
            </w:r>
          </w:p>
        </w:tc>
      </w:tr>
      <w:tr>
        <w:tc>
          <w:tcPr/>
          <w:p>
            <w:pPr>
              <w:pStyle w:val="Compact"/>
            </w:pPr>
            <w:r>
              <w:rPr>
                <w:sz w:val="17"/>
              </w:rPr>
              <w:t xml:space="preserve">9</w:t>
            </w:r>
          </w:p>
        </w:tc>
        <w:tc>
          <w:tcPr/>
          <w:p>
            <w:pPr>
              <w:pStyle w:val="Compact"/>
            </w:pPr>
            <w:r>
              <w:rPr>
                <w:sz w:val="17"/>
              </w:rPr>
              <w:t xml:space="preserve">Intelligence foncière et locative</w:t>
            </w:r>
          </w:p>
        </w:tc>
        <w:tc>
          <w:tcPr/>
          <w:p>
            <w:pPr>
              <w:pStyle w:val="Compact"/>
            </w:pPr>
            <w:r>
              <w:rPr>
                <w:sz w:val="17"/>
              </w:rPr>
              <w:t xml:space="preserve">Registre parcelle → unité → bail et détection d’anomalies</w:t>
            </w:r>
          </w:p>
        </w:tc>
        <w:tc>
          <w:tcPr/>
          <w:p>
            <w:pPr>
              <w:pStyle w:val="Compact"/>
            </w:pPr>
            <w:r>
              <w:rPr>
                <w:sz w:val="17"/>
              </w:rPr>
              <w:t xml:space="preserve">Déclaration de bail en deux minutes + attestation ; taux et retenue par rang ; anomalies (compteurs, indemnités, immeubles neufs, vacance) ; élargissement 2026 ; carte à deux couches ; pré-remplissage de campagne</w:t>
            </w:r>
          </w:p>
        </w:tc>
        <w:tc>
          <w:tcPr/>
          <w:p>
            <w:pPr>
              <w:pStyle w:val="Compact"/>
            </w:pPr>
            <w:r>
              <w:rPr>
                <w:sz w:val="17"/>
              </w:rPr>
              <w:t xml:space="preserve">Aucune dette sur un signal ; loyer et locataire visibles des seuls rôles habilités</w:t>
            </w:r>
          </w:p>
        </w:tc>
        <w:tc>
          <w:tcPr/>
          <w:p>
            <w:pPr>
              <w:pStyle w:val="Compact"/>
            </w:pPr>
            <w:r>
              <w:rPr>
                <w:sz w:val="17"/>
              </w:rPr>
              <w:t xml:space="preserve">Baux enregistrés ; couverture locative ; assiette IRL vérifiée ; conformité</w:t>
            </w:r>
          </w:p>
        </w:tc>
        <w:tc>
          <w:tcPr/>
          <w:p>
            <w:pPr>
              <w:pStyle w:val="Compact"/>
            </w:pPr>
            <w:r>
              <w:rPr>
                <w:sz w:val="17"/>
              </w:rPr>
              <w:t xml:space="preserve">R1 → R1</w:t>
            </w:r>
          </w:p>
        </w:tc>
      </w:tr>
      <w:tr>
        <w:tc>
          <w:tcPr>
            <w:shd w:val="clear" w:color="auto" w:fill="F5F7FB"/>
          </w:tcPr>
          <w:p>
            <w:pPr>
              <w:pStyle w:val="Compact"/>
            </w:pPr>
            <w:r>
              <w:rPr>
                <w:sz w:val="17"/>
              </w:rPr>
              <w:t xml:space="preserve">10</w:t>
            </w:r>
          </w:p>
        </w:tc>
        <w:tc>
          <w:tcPr>
            <w:shd w:val="clear" w:color="auto" w:fill="F5F7FB"/>
          </w:tcPr>
          <w:p>
            <w:pPr>
              <w:pStyle w:val="Compact"/>
            </w:pPr>
            <w:r>
              <w:rPr>
                <w:sz w:val="17"/>
              </w:rPr>
              <w:t xml:space="preserve">Activités et patentes</w:t>
            </w:r>
          </w:p>
        </w:tc>
        <w:tc>
          <w:tcPr>
            <w:shd w:val="clear" w:color="auto" w:fill="F5F7FB"/>
          </w:tcPr>
          <w:p>
            <w:pPr>
              <w:pStyle w:val="Compact"/>
            </w:pPr>
            <w:r>
              <w:rPr>
                <w:sz w:val="17"/>
              </w:rPr>
              <w:t xml:space="preserve">Registre des établissements et patentes</w:t>
            </w:r>
          </w:p>
        </w:tc>
        <w:tc>
          <w:tcPr>
            <w:shd w:val="clear" w:color="auto" w:fill="F5F7FB"/>
          </w:tcPr>
          <w:p>
            <w:pPr>
              <w:pStyle w:val="Compact"/>
            </w:pPr>
            <w:r>
              <w:rPr>
                <w:sz w:val="17"/>
              </w:rPr>
              <w:t xml:space="preserve">Établissements, activités, dirigeants ; patente (QR de devanture) ; commerces de marché ; débits de boissons ; recoupements (codes marchands, livraisons, RCCM) ; renouvellement mobile</w:t>
            </w:r>
          </w:p>
        </w:tc>
        <w:tc>
          <w:tcPr>
            <w:shd w:val="clear" w:color="auto" w:fill="F5F7FB"/>
          </w:tcPr>
          <w:p>
            <w:pPr>
              <w:pStyle w:val="Compact"/>
            </w:pPr>
            <w:r>
              <w:rPr>
                <w:sz w:val="17"/>
              </w:rPr>
              <w:t xml:space="preserve">Activité ≠ assujettissement ; pas de visite sans mission</w:t>
            </w:r>
          </w:p>
        </w:tc>
        <w:tc>
          <w:tcPr>
            <w:shd w:val="clear" w:color="auto" w:fill="F5F7FB"/>
          </w:tcPr>
          <w:p>
            <w:pPr>
              <w:pStyle w:val="Compact"/>
            </w:pPr>
            <w:r>
              <w:rPr>
                <w:sz w:val="17"/>
              </w:rPr>
              <w:t xml:space="preserve">Établissements recensés ; patentes actives ; renouvellement ; non-enregistrés détectés</w:t>
            </w:r>
          </w:p>
        </w:tc>
        <w:tc>
          <w:tcPr>
            <w:shd w:val="clear" w:color="auto" w:fill="F5F7FB"/>
          </w:tcPr>
          <w:p>
            <w:pPr>
              <w:pStyle w:val="Compact"/>
            </w:pPr>
            <w:r>
              <w:rPr>
                <w:sz w:val="17"/>
              </w:rPr>
              <w:t xml:space="preserve">R1–R2 → R2</w:t>
            </w:r>
          </w:p>
        </w:tc>
      </w:tr>
      <w:tr>
        <w:tc>
          <w:tcPr/>
          <w:p>
            <w:pPr>
              <w:pStyle w:val="Compact"/>
            </w:pPr>
            <w:r>
              <w:rPr>
                <w:sz w:val="17"/>
              </w:rPr>
              <w:t xml:space="preserve">11</w:t>
            </w:r>
          </w:p>
        </w:tc>
        <w:tc>
          <w:tcPr/>
          <w:p>
            <w:pPr>
              <w:pStyle w:val="Compact"/>
            </w:pPr>
            <w:r>
              <w:rPr>
                <w:sz w:val="17"/>
              </w:rPr>
              <w:t xml:space="preserve">Véhicules et circulation</w:t>
            </w:r>
          </w:p>
        </w:tc>
        <w:tc>
          <w:tcPr/>
          <w:p>
            <w:pPr>
              <w:pStyle w:val="Compact"/>
            </w:pPr>
            <w:r>
              <w:rPr>
                <w:sz w:val="17"/>
              </w:rPr>
              <w:t xml:space="preserve">Vignette et taxe de circulation par plaque</w:t>
            </w:r>
          </w:p>
        </w:tc>
        <w:tc>
          <w:tcPr/>
          <w:p>
            <w:pPr>
              <w:pStyle w:val="Compact"/>
            </w:pPr>
            <w:r>
              <w:rPr>
                <w:sz w:val="17"/>
              </w:rPr>
              <w:t xml:space="preserve">Référentiel (plaque, catégorie, usage, mutations) ; vignette autocollante QR ; taxe de circulation (même scan) ; import des immatriculations ; contrôle par plaque</w:t>
            </w:r>
          </w:p>
        </w:tc>
        <w:tc>
          <w:tcPr/>
          <w:p>
            <w:pPr>
              <w:pStyle w:val="Compact"/>
            </w:pPr>
            <w:r>
              <w:rPr>
                <w:sz w:val="17"/>
              </w:rPr>
              <w:t xml:space="preserve">Consultation journalisée ; aucune immobilisation algorithmique ; mutation bloquée seulement si règle</w:t>
            </w:r>
          </w:p>
        </w:tc>
        <w:tc>
          <w:tcPr/>
          <w:p>
            <w:pPr>
              <w:pStyle w:val="Compact"/>
            </w:pPr>
            <w:r>
              <w:rPr>
                <w:sz w:val="17"/>
              </w:rPr>
              <w:t xml:space="preserve">Couverture du parc ; paiement ; contrôles/jour ; mutations régularisées</w:t>
            </w:r>
          </w:p>
        </w:tc>
        <w:tc>
          <w:tcPr/>
          <w:p>
            <w:pPr>
              <w:pStyle w:val="Compact"/>
            </w:pPr>
            <w:r>
              <w:rPr>
                <w:sz w:val="17"/>
              </w:rPr>
              <w:t xml:space="preserve">R1–R2 → R2</w:t>
            </w:r>
          </w:p>
        </w:tc>
      </w:tr>
      <w:tr>
        <w:tc>
          <w:tcPr>
            <w:shd w:val="clear" w:color="auto" w:fill="F5F7FB"/>
          </w:tcPr>
          <w:p>
            <w:pPr>
              <w:pStyle w:val="Compact"/>
            </w:pPr>
            <w:r>
              <w:rPr>
                <w:sz w:val="17"/>
              </w:rPr>
              <w:t xml:space="preserve">12</w:t>
            </w:r>
          </w:p>
        </w:tc>
        <w:tc>
          <w:tcPr>
            <w:shd w:val="clear" w:color="auto" w:fill="F5F7FB"/>
          </w:tcPr>
          <w:p>
            <w:pPr>
              <w:pStyle w:val="Compact"/>
            </w:pPr>
            <w:r>
              <w:rPr>
                <w:sz w:val="17"/>
              </w:rPr>
              <w:t xml:space="preserve">Autorisations de transport</w:t>
            </w:r>
          </w:p>
        </w:tc>
        <w:tc>
          <w:tcPr>
            <w:shd w:val="clear" w:color="auto" w:fill="F5F7FB"/>
          </w:tcPr>
          <w:p>
            <w:pPr>
              <w:pStyle w:val="Compact"/>
            </w:pPr>
            <w:r>
              <w:rPr>
                <w:sz w:val="17"/>
              </w:rPr>
              <w:t xml:space="preserve">Licences de transport à durée</w:t>
            </w:r>
          </w:p>
        </w:tc>
        <w:tc>
          <w:tcPr>
            <w:shd w:val="clear" w:color="auto" w:fill="F5F7FB"/>
          </w:tcPr>
          <w:p>
            <w:pPr>
              <w:pStyle w:val="Compact"/>
            </w:pPr>
            <w:r>
              <w:rPr>
                <w:sz w:val="17"/>
              </w:rPr>
              <w:t xml:space="preserve">Taxi, bus, minibus, moto-taxi, poids lourds ; corridors et zones ; carte conducteur ; taxe journalière via billetterie</w:t>
            </w:r>
            <w:r>
              <w:rPr>
                <w:sz w:val="17"/>
              </w:rPr>
              <w:t xml:space="preserve"> </w:t>
            </w:r>
            <w:r>
              <w:rPr>
                <w:b/>
                <w:bCs/>
                <w:sz w:val="17"/>
              </w:rPr>
              <w:t xml:space="preserve">si base légale</w:t>
            </w:r>
            <w:r>
              <w:rPr>
                <w:sz w:val="17"/>
              </w:rPr>
              <w:t xml:space="preserve"> </w:t>
            </w:r>
            <w:r>
              <w:rPr>
                <w:sz w:val="17"/>
              </w:rPr>
              <w:t xml:space="preserve">; renouvellement mobile</w:t>
            </w:r>
          </w:p>
        </w:tc>
        <w:tc>
          <w:tcPr>
            <w:shd w:val="clear" w:color="auto" w:fill="F5F7FB"/>
          </w:tcPr>
          <w:p>
            <w:pPr>
              <w:pStyle w:val="Compact"/>
            </w:pPr>
            <w:r>
              <w:rPr>
                <w:sz w:val="17"/>
              </w:rPr>
              <w:t xml:space="preserve">Pas d’autorisation sans règle ; suspension par décision motivée uniquement</w:t>
            </w:r>
          </w:p>
        </w:tc>
        <w:tc>
          <w:tcPr>
            <w:shd w:val="clear" w:color="auto" w:fill="F5F7FB"/>
          </w:tcPr>
          <w:p>
            <w:pPr>
              <w:pStyle w:val="Compact"/>
            </w:pPr>
            <w:r>
              <w:rPr>
                <w:sz w:val="17"/>
              </w:rPr>
              <w:t xml:space="preserve">Autorisations actives ; conformité ; renouvellements à temps</w:t>
            </w:r>
          </w:p>
        </w:tc>
        <w:tc>
          <w:tcPr>
            <w:shd w:val="clear" w:color="auto" w:fill="F5F7FB"/>
          </w:tcPr>
          <w:p>
            <w:pPr>
              <w:pStyle w:val="Compact"/>
            </w:pPr>
            <w:r>
              <w:rPr>
                <w:sz w:val="17"/>
              </w:rPr>
              <w:t xml:space="preserve">R2 → R2</w:t>
            </w:r>
          </w:p>
        </w:tc>
      </w:tr>
      <w:tr>
        <w:tc>
          <w:tcPr/>
          <w:p>
            <w:pPr>
              <w:pStyle w:val="Compact"/>
            </w:pPr>
            <w:r>
              <w:rPr>
                <w:sz w:val="17"/>
              </w:rPr>
              <w:t xml:space="preserve">13</w:t>
            </w:r>
          </w:p>
        </w:tc>
        <w:tc>
          <w:tcPr/>
          <w:p>
            <w:pPr>
              <w:pStyle w:val="Compact"/>
            </w:pPr>
            <w:r>
              <w:rPr>
                <w:sz w:val="17"/>
              </w:rPr>
              <w:t xml:space="preserve">Embarquement et débarquement</w:t>
            </w:r>
          </w:p>
        </w:tc>
        <w:tc>
          <w:tcPr/>
          <w:p>
            <w:pPr>
              <w:pStyle w:val="Compact"/>
            </w:pPr>
            <w:r>
              <w:rPr>
                <w:sz w:val="17"/>
              </w:rPr>
              <w:t xml:space="preserve">Titres de départ et manifestes</w:t>
            </w:r>
          </w:p>
        </w:tc>
        <w:tc>
          <w:tcPr/>
          <w:p>
            <w:pPr>
              <w:pStyle w:val="Compact"/>
            </w:pPr>
            <w:r>
              <w:rPr>
                <w:sz w:val="17"/>
              </w:rPr>
              <w:t xml:space="preserve">Points géoréférencés ; titres à usage unique ; paiement au départ (jamais à l’agent) ; manifestes</w:t>
            </w:r>
          </w:p>
        </w:tc>
        <w:tc>
          <w:tcPr/>
          <w:p>
            <w:pPr>
              <w:pStyle w:val="Compact"/>
            </w:pPr>
            <w:r>
              <w:rPr>
                <w:sz w:val="17"/>
              </w:rPr>
              <w:t xml:space="preserve">Aucun encaissement par l’agent de quai ; « DÉJÀ UTILISÉ »</w:t>
            </w:r>
          </w:p>
        </w:tc>
        <w:tc>
          <w:tcPr/>
          <w:p>
            <w:pPr>
              <w:pStyle w:val="Compact"/>
            </w:pPr>
            <w:r>
              <w:rPr>
                <w:sz w:val="17"/>
              </w:rPr>
              <w:t xml:space="preserve">Départs tracés ; titres consommés ; écart manifestes/titres</w:t>
            </w:r>
          </w:p>
        </w:tc>
        <w:tc>
          <w:tcPr/>
          <w:p>
            <w:pPr>
              <w:pStyle w:val="Compact"/>
            </w:pPr>
            <w:r>
              <w:rPr>
                <w:sz w:val="17"/>
              </w:rPr>
              <w:t xml:space="preserve">R3 → R3</w:t>
            </w:r>
          </w:p>
        </w:tc>
      </w:tr>
      <w:tr>
        <w:tc>
          <w:tcPr>
            <w:shd w:val="clear" w:color="auto" w:fill="F5F7FB"/>
          </w:tcPr>
          <w:p>
            <w:pPr>
              <w:pStyle w:val="Compact"/>
            </w:pPr>
            <w:r>
              <w:rPr>
                <w:sz w:val="17"/>
              </w:rPr>
              <w:t xml:space="preserve">14</w:t>
            </w:r>
          </w:p>
        </w:tc>
        <w:tc>
          <w:tcPr>
            <w:shd w:val="clear" w:color="auto" w:fill="F5F7FB"/>
          </w:tcPr>
          <w:p>
            <w:pPr>
              <w:pStyle w:val="Compact"/>
            </w:pPr>
            <w:r>
              <w:rPr>
                <w:sz w:val="17"/>
              </w:rPr>
              <w:t xml:space="preserve">Stationnement public</w:t>
            </w:r>
          </w:p>
        </w:tc>
        <w:tc>
          <w:tcPr>
            <w:shd w:val="clear" w:color="auto" w:fill="F5F7FB"/>
          </w:tcPr>
          <w:p>
            <w:pPr>
              <w:pStyle w:val="Compact"/>
            </w:pPr>
            <w:r>
              <w:rPr>
                <w:sz w:val="17"/>
              </w:rPr>
              <w:t xml:space="preserve">Sessions et titres liés à la plaque</w:t>
            </w:r>
          </w:p>
        </w:tc>
        <w:tc>
          <w:tcPr>
            <w:shd w:val="clear" w:color="auto" w:fill="F5F7FB"/>
          </w:tcPr>
          <w:p>
            <w:pPr>
              <w:pStyle w:val="Compact"/>
            </w:pPr>
            <w:r>
              <w:rPr>
                <w:sz w:val="17"/>
              </w:rPr>
              <w:t xml:space="preserve">Zones et places, tarif par zone et heure ; sessions (démarrage, prolongation, fin) ; abonnements ; exemptions prévues par l’acte</w:t>
            </w:r>
          </w:p>
        </w:tc>
        <w:tc>
          <w:tcPr>
            <w:shd w:val="clear" w:color="auto" w:fill="F5F7FB"/>
          </w:tcPr>
          <w:p>
            <w:pPr>
              <w:pStyle w:val="Compact"/>
            </w:pPr>
            <w:r>
              <w:rPr>
                <w:sz w:val="17"/>
              </w:rPr>
              <w:t xml:space="preserve">Pénalité seulement selon barème, contestable</w:t>
            </w:r>
          </w:p>
        </w:tc>
        <w:tc>
          <w:tcPr>
            <w:shd w:val="clear" w:color="auto" w:fill="F5F7FB"/>
          </w:tcPr>
          <w:p>
            <w:pPr>
              <w:pStyle w:val="Compact"/>
            </w:pPr>
            <w:r>
              <w:rPr>
                <w:sz w:val="17"/>
              </w:rPr>
              <w:t xml:space="preserve">Occupation ; rotation ; recettes par place ; conformité</w:t>
            </w:r>
          </w:p>
        </w:tc>
        <w:tc>
          <w:tcPr>
            <w:shd w:val="clear" w:color="auto" w:fill="F5F7FB"/>
          </w:tcPr>
          <w:p>
            <w:pPr>
              <w:pStyle w:val="Compact"/>
            </w:pPr>
            <w:r>
              <w:rPr>
                <w:sz w:val="17"/>
              </w:rPr>
              <w:t xml:space="preserve">R1–R2 → R2 (après acte)</w:t>
            </w:r>
          </w:p>
        </w:tc>
      </w:tr>
      <w:tr>
        <w:tc>
          <w:tcPr/>
          <w:p>
            <w:pPr>
              <w:pStyle w:val="Compact"/>
            </w:pPr>
            <w:r>
              <w:rPr>
                <w:sz w:val="17"/>
              </w:rPr>
              <w:t xml:space="preserve">15</w:t>
            </w:r>
          </w:p>
        </w:tc>
        <w:tc>
          <w:tcPr/>
          <w:p>
            <w:pPr>
              <w:pStyle w:val="Compact"/>
            </w:pPr>
            <w:r>
              <w:rPr>
                <w:sz w:val="17"/>
              </w:rPr>
              <w:t xml:space="preserve">Publicité extérieure</w:t>
            </w:r>
          </w:p>
        </w:tc>
        <w:tc>
          <w:tcPr/>
          <w:p>
            <w:pPr>
              <w:pStyle w:val="Compact"/>
            </w:pPr>
            <w:r>
              <w:rPr>
                <w:sz w:val="17"/>
              </w:rPr>
              <w:t xml:space="preserve">Inventaire et autorisations des supports</w:t>
            </w:r>
          </w:p>
        </w:tc>
        <w:tc>
          <w:tcPr/>
          <w:p>
            <w:pPr>
              <w:pStyle w:val="Compact"/>
            </w:pPr>
            <w:r>
              <w:rPr>
                <w:sz w:val="17"/>
              </w:rPr>
              <w:t xml:space="preserve">Panneau, face, surface, emplacement ; autorisations ; plaque QR ; liquidation surface/face/zone ; alertes d’échéance</w:t>
            </w:r>
          </w:p>
        </w:tc>
        <w:tc>
          <w:tcPr/>
          <w:p>
            <w:pPr>
              <w:pStyle w:val="Compact"/>
            </w:pPr>
            <w:r>
              <w:rPr>
                <w:sz w:val="17"/>
              </w:rPr>
              <w:t xml:space="preserve">Aucune sanction sans décision de l’autorité</w:t>
            </w:r>
          </w:p>
        </w:tc>
        <w:tc>
          <w:tcPr/>
          <w:p>
            <w:pPr>
              <w:pStyle w:val="Compact"/>
            </w:pPr>
            <w:r>
              <w:rPr>
                <w:sz w:val="17"/>
              </w:rPr>
              <w:t xml:space="preserve">Panneaux recensés ; taux autorisés ; recettes par m²</w:t>
            </w:r>
          </w:p>
        </w:tc>
        <w:tc>
          <w:tcPr/>
          <w:p>
            <w:pPr>
              <w:pStyle w:val="Compact"/>
            </w:pPr>
            <w:r>
              <w:rPr>
                <w:sz w:val="17"/>
              </w:rPr>
              <w:t xml:space="preserve">R2 → R2</w:t>
            </w:r>
          </w:p>
        </w:tc>
      </w:tr>
      <w:tr>
        <w:tc>
          <w:tcPr>
            <w:shd w:val="clear" w:color="auto" w:fill="F5F7FB"/>
          </w:tcPr>
          <w:p>
            <w:pPr>
              <w:pStyle w:val="Compact"/>
            </w:pPr>
            <w:r>
              <w:rPr>
                <w:sz w:val="17"/>
              </w:rPr>
              <w:t xml:space="preserve">16</w:t>
            </w:r>
          </w:p>
        </w:tc>
        <w:tc>
          <w:tcPr>
            <w:shd w:val="clear" w:color="auto" w:fill="F5F7FB"/>
          </w:tcPr>
          <w:p>
            <w:pPr>
              <w:pStyle w:val="Compact"/>
            </w:pPr>
            <w:r>
              <w:rPr>
                <w:sz w:val="17"/>
              </w:rPr>
              <w:t xml:space="preserve">Antennes et télécoms</w:t>
            </w:r>
          </w:p>
        </w:tc>
        <w:tc>
          <w:tcPr>
            <w:shd w:val="clear" w:color="auto" w:fill="F5F7FB"/>
          </w:tcPr>
          <w:p>
            <w:pPr>
              <w:pStyle w:val="Compact"/>
            </w:pPr>
            <w:r>
              <w:rPr>
                <w:sz w:val="17"/>
              </w:rPr>
              <w:t xml:space="preserve">Inventaire contradictoire des sites</w:t>
            </w:r>
          </w:p>
        </w:tc>
        <w:tc>
          <w:tcPr>
            <w:shd w:val="clear" w:color="auto" w:fill="F5F7FB"/>
          </w:tcPr>
          <w:p>
            <w:pPr>
              <w:pStyle w:val="Compact"/>
            </w:pPr>
            <w:r>
              <w:rPr>
                <w:sz w:val="17"/>
              </w:rPr>
              <w:t xml:space="preserve">Registre des sites ; import des listes opérateurs/régulateur ; avis annuel ; mutations de sites</w:t>
            </w:r>
          </w:p>
        </w:tc>
        <w:tc>
          <w:tcPr>
            <w:shd w:val="clear" w:color="auto" w:fill="F5F7FB"/>
          </w:tcPr>
          <w:p>
            <w:pPr>
              <w:pStyle w:val="Compact"/>
            </w:pPr>
            <w:r>
              <w:rPr>
                <w:sz w:val="17"/>
              </w:rPr>
              <w:t xml:space="preserve">Suivi par la cellule grands redevables ; données sous protocole</w:t>
            </w:r>
          </w:p>
        </w:tc>
        <w:tc>
          <w:tcPr>
            <w:shd w:val="clear" w:color="auto" w:fill="F5F7FB"/>
          </w:tcPr>
          <w:p>
            <w:pPr>
              <w:pStyle w:val="Compact"/>
            </w:pPr>
            <w:r>
              <w:rPr>
                <w:sz w:val="17"/>
              </w:rPr>
              <w:t xml:space="preserve">Sites recensés vs déclarés ; recouvrement par opérateur</w:t>
            </w:r>
          </w:p>
        </w:tc>
        <w:tc>
          <w:tcPr>
            <w:shd w:val="clear" w:color="auto" w:fill="F5F7FB"/>
          </w:tcPr>
          <w:p>
            <w:pPr>
              <w:pStyle w:val="Compact"/>
            </w:pPr>
            <w:r>
              <w:rPr>
                <w:sz w:val="17"/>
              </w:rPr>
              <w:t xml:space="preserve">R2 → R2</w:t>
            </w:r>
          </w:p>
        </w:tc>
      </w:tr>
      <w:tr>
        <w:tc>
          <w:tcPr/>
          <w:p>
            <w:pPr>
              <w:pStyle w:val="Compact"/>
            </w:pPr>
            <w:r>
              <w:rPr>
                <w:sz w:val="17"/>
              </w:rPr>
              <w:t xml:space="preserve">17</w:t>
            </w:r>
          </w:p>
        </w:tc>
        <w:tc>
          <w:tcPr/>
          <w:p>
            <w:pPr>
              <w:pStyle w:val="Compact"/>
            </w:pPr>
            <w:r>
              <w:rPr>
                <w:sz w:val="17"/>
              </w:rPr>
              <w:t xml:space="preserve">Boissons, alcools et tabac</w:t>
            </w:r>
          </w:p>
        </w:tc>
        <w:tc>
          <w:tcPr/>
          <w:p>
            <w:pPr>
              <w:pStyle w:val="Compact"/>
            </w:pPr>
            <w:r>
              <w:rPr>
                <w:sz w:val="17"/>
              </w:rPr>
              <w:t xml:space="preserve">Fiabiliser les volumes déclarés</w:t>
            </w:r>
          </w:p>
        </w:tc>
        <w:tc>
          <w:tcPr/>
          <w:p>
            <w:pPr>
              <w:pStyle w:val="Compact"/>
            </w:pPr>
            <w:r>
              <w:rPr>
                <w:sz w:val="17"/>
              </w:rPr>
              <w:t xml:space="preserve">Déclarations mensuelles ; rapprochement accises, factures, livraisons ; carte des points de livraison ; listes de points de vente non autorisés</w:t>
            </w:r>
          </w:p>
        </w:tc>
        <w:tc>
          <w:tcPr/>
          <w:p>
            <w:pPr>
              <w:pStyle w:val="Compact"/>
            </w:pPr>
            <w:r>
              <w:rPr>
                <w:sz w:val="17"/>
              </w:rPr>
              <w:t xml:space="preserve">Accès restreint aux données commerciales</w:t>
            </w:r>
          </w:p>
        </w:tc>
        <w:tc>
          <w:tcPr/>
          <w:p>
            <w:pPr>
              <w:pStyle w:val="Compact"/>
            </w:pPr>
            <w:r>
              <w:rPr>
                <w:sz w:val="17"/>
              </w:rPr>
              <w:t xml:space="preserve">Volumes déclarés ; écarts ; recettes mensuelles</w:t>
            </w:r>
          </w:p>
        </w:tc>
        <w:tc>
          <w:tcPr/>
          <w:p>
            <w:pPr>
              <w:pStyle w:val="Compact"/>
            </w:pPr>
            <w:r>
              <w:rPr>
                <w:sz w:val="17"/>
              </w:rPr>
              <w:t xml:space="preserve">R2 → R2</w:t>
            </w:r>
          </w:p>
        </w:tc>
      </w:tr>
      <w:tr>
        <w:tc>
          <w:tcPr>
            <w:shd w:val="clear" w:color="auto" w:fill="F5F7FB"/>
          </w:tcPr>
          <w:p>
            <w:pPr>
              <w:pStyle w:val="Compact"/>
            </w:pPr>
            <w:r>
              <w:rPr>
                <w:sz w:val="17"/>
              </w:rPr>
              <w:t xml:space="preserve">18</w:t>
            </w:r>
          </w:p>
        </w:tc>
        <w:tc>
          <w:tcPr>
            <w:shd w:val="clear" w:color="auto" w:fill="F5F7FB"/>
          </w:tcPr>
          <w:p>
            <w:pPr>
              <w:pStyle w:val="Compact"/>
            </w:pPr>
            <w:r>
              <w:rPr>
                <w:sz w:val="17"/>
              </w:rPr>
              <w:t xml:space="preserve">Plastique et environnement</w:t>
            </w:r>
          </w:p>
        </w:tc>
        <w:tc>
          <w:tcPr>
            <w:shd w:val="clear" w:color="auto" w:fill="F5F7FB"/>
          </w:tcPr>
          <w:p>
            <w:pPr>
              <w:pStyle w:val="Compact"/>
            </w:pPr>
            <w:r>
              <w:rPr>
                <w:sz w:val="17"/>
              </w:rPr>
              <w:t xml:space="preserve">Préparer, sans activer, une contribution</w:t>
            </w:r>
          </w:p>
        </w:tc>
        <w:tc>
          <w:tcPr>
            <w:shd w:val="clear" w:color="auto" w:fill="F5F7FB"/>
          </w:tcPr>
          <w:p>
            <w:pPr>
              <w:pStyle w:val="Compact"/>
            </w:pPr>
            <w:r>
              <w:rPr>
                <w:sz w:val="17"/>
              </w:rPr>
              <w:t xml:space="preserve">Registre des assujettis ; déclarations ; reversements ; données d’étude d’impact ; simulation</w:t>
            </w:r>
          </w:p>
        </w:tc>
        <w:tc>
          <w:tcPr>
            <w:shd w:val="clear" w:color="auto" w:fill="F5F7FB"/>
          </w:tcPr>
          <w:p>
            <w:pPr>
              <w:pStyle w:val="Compact"/>
            </w:pPr>
            <w:r>
              <w:rPr>
                <w:b/>
                <w:bCs/>
                <w:sz w:val="17"/>
              </w:rPr>
              <w:t xml:space="preserve">Désactivé</w:t>
            </w:r>
            <w:r>
              <w:rPr>
                <w:sz w:val="17"/>
              </w:rPr>
              <w:t xml:space="preserve"> </w:t>
            </w:r>
            <w:r>
              <w:rPr>
                <w:sz w:val="17"/>
              </w:rPr>
              <w:t xml:space="preserve">sans règle publiée (</w:t>
            </w:r>
            <w:r>
              <w:rPr>
                <w:rStyle w:val="VerbatimChar"/>
                <w:sz w:val="17"/>
              </w:rPr>
              <w:t xml:space="preserve">ACTE_REQUIS</w:t>
            </w:r>
            <w:r>
              <w:rPr>
                <w:sz w:val="17"/>
              </w:rPr>
              <w:t xml:space="preserve">)</w:t>
            </w:r>
          </w:p>
        </w:tc>
        <w:tc>
          <w:tcPr>
            <w:shd w:val="clear" w:color="auto" w:fill="F5F7FB"/>
          </w:tcPr>
          <w:p>
            <w:pPr>
              <w:pStyle w:val="Compact"/>
            </w:pPr>
            <w:r>
              <w:rPr>
                <w:sz w:val="17"/>
              </w:rPr>
              <w:t xml:space="preserve">Assujettis identifiés ; simulations</w:t>
            </w:r>
          </w:p>
        </w:tc>
        <w:tc>
          <w:tcPr>
            <w:shd w:val="clear" w:color="auto" w:fill="F5F7FB"/>
          </w:tcPr>
          <w:p>
            <w:pPr>
              <w:pStyle w:val="Compact"/>
            </w:pPr>
            <w:r>
              <w:rPr>
                <w:sz w:val="17"/>
              </w:rPr>
              <w:t xml:space="preserve">R4 → R4 (après acte)</w:t>
            </w:r>
          </w:p>
        </w:tc>
      </w:tr>
      <w:tr>
        <w:tc>
          <w:tcPr/>
          <w:p>
            <w:pPr>
              <w:pStyle w:val="Compact"/>
            </w:pPr>
            <w:r>
              <w:rPr>
                <w:sz w:val="17"/>
              </w:rPr>
              <w:t xml:space="preserve">19</w:t>
            </w:r>
          </w:p>
        </w:tc>
        <w:tc>
          <w:tcPr/>
          <w:p>
            <w:pPr>
              <w:pStyle w:val="Compact"/>
            </w:pPr>
            <w:r>
              <w:rPr>
                <w:sz w:val="17"/>
              </w:rPr>
              <w:t xml:space="preserve">Assainissement, voirie, drainage</w:t>
            </w:r>
          </w:p>
        </w:tc>
        <w:tc>
          <w:tcPr/>
          <w:p>
            <w:pPr>
              <w:pStyle w:val="Compact"/>
            </w:pPr>
            <w:r>
              <w:rPr>
                <w:sz w:val="17"/>
              </w:rPr>
              <w:t xml:space="preserve">Taxes adossées aux objets</w:t>
            </w:r>
          </w:p>
        </w:tc>
        <w:tc>
          <w:tcPr/>
          <w:p>
            <w:pPr>
              <w:pStyle w:val="Compact"/>
            </w:pPr>
            <w:r>
              <w:rPr>
                <w:sz w:val="17"/>
              </w:rPr>
              <w:t xml:space="preserve">Rattachement automatique ; liquidation groupée sur un avis ; droits de voirie (chantiers, permis)</w:t>
            </w:r>
          </w:p>
        </w:tc>
        <w:tc>
          <w:tcPr/>
          <w:p>
            <w:pPr>
              <w:pStyle w:val="Compact"/>
            </w:pPr>
            <w:r>
              <w:rPr>
                <w:sz w:val="17"/>
              </w:rPr>
              <w:t xml:space="preserve">Aucune double facturation d’un même fait générateur</w:t>
            </w:r>
          </w:p>
        </w:tc>
        <w:tc>
          <w:tcPr/>
          <w:p>
            <w:pPr>
              <w:pStyle w:val="Compact"/>
            </w:pPr>
            <w:r>
              <w:rPr>
                <w:sz w:val="17"/>
              </w:rPr>
              <w:t xml:space="preserve">Recettes par objet ; paiement groupé</w:t>
            </w:r>
          </w:p>
        </w:tc>
        <w:tc>
          <w:tcPr/>
          <w:p>
            <w:pPr>
              <w:pStyle w:val="Compact"/>
            </w:pPr>
            <w:r>
              <w:rPr>
                <w:sz w:val="17"/>
              </w:rPr>
              <w:t xml:space="preserve">R2 → R3</w:t>
            </w:r>
          </w:p>
        </w:tc>
      </w:tr>
      <w:tr>
        <w:tc>
          <w:tcPr>
            <w:shd w:val="clear" w:color="auto" w:fill="F5F7FB"/>
          </w:tcPr>
          <w:p>
            <w:pPr>
              <w:pStyle w:val="Compact"/>
            </w:pPr>
            <w:r>
              <w:rPr>
                <w:sz w:val="17"/>
              </w:rPr>
              <w:t xml:space="preserve">20</w:t>
            </w:r>
          </w:p>
        </w:tc>
        <w:tc>
          <w:tcPr>
            <w:shd w:val="clear" w:color="auto" w:fill="F5F7FB"/>
          </w:tcPr>
          <w:p>
            <w:pPr>
              <w:pStyle w:val="Compact"/>
            </w:pPr>
            <w:r>
              <w:rPr>
                <w:sz w:val="17"/>
              </w:rPr>
              <w:t xml:space="preserve">Marchés et domaine public</w:t>
            </w:r>
          </w:p>
        </w:tc>
        <w:tc>
          <w:tcPr>
            <w:shd w:val="clear" w:color="auto" w:fill="F5F7FB"/>
          </w:tcPr>
          <w:p>
            <w:pPr>
              <w:pStyle w:val="Compact"/>
            </w:pPr>
            <w:r>
              <w:rPr>
                <w:sz w:val="17"/>
              </w:rPr>
              <w:t xml:space="preserve">Titres d’occupation sans espèces</w:t>
            </w:r>
          </w:p>
        </w:tc>
        <w:tc>
          <w:tcPr>
            <w:shd w:val="clear" w:color="auto" w:fill="F5F7FB"/>
          </w:tcPr>
          <w:p>
            <w:pPr>
              <w:pStyle w:val="Compact"/>
            </w:pPr>
            <w:r>
              <w:rPr>
                <w:sz w:val="17"/>
              </w:rPr>
              <w:t xml:space="preserve">Plan géoréférencé ; droits d’occupation jour/semaine/mois ; plaque QR d’étal ; occupations temporaires</w:t>
            </w:r>
          </w:p>
        </w:tc>
        <w:tc>
          <w:tcPr>
            <w:shd w:val="clear" w:color="auto" w:fill="F5F7FB"/>
          </w:tcPr>
          <w:p>
            <w:pPr>
              <w:pStyle w:val="Compact"/>
            </w:pPr>
            <w:r>
              <w:rPr>
                <w:b/>
                <w:bCs/>
                <w:sz w:val="17"/>
              </w:rPr>
              <w:t xml:space="preserve">Aucun encaissement par le placier</w:t>
            </w:r>
            <w:r>
              <w:rPr>
                <w:sz w:val="17"/>
              </w:rPr>
              <w:t xml:space="preserve"> </w:t>
            </w:r>
            <w:r>
              <w:rPr>
                <w:sz w:val="17"/>
              </w:rPr>
              <w:t xml:space="preserve">; paiement par point agréé</w:t>
            </w:r>
          </w:p>
        </w:tc>
        <w:tc>
          <w:tcPr>
            <w:shd w:val="clear" w:color="auto" w:fill="F5F7FB"/>
          </w:tcPr>
          <w:p>
            <w:pPr>
              <w:pStyle w:val="Compact"/>
            </w:pPr>
            <w:r>
              <w:rPr>
                <w:sz w:val="17"/>
              </w:rPr>
              <w:t xml:space="preserve">Étals recensés ; occupation payée ; recettes par marché</w:t>
            </w:r>
          </w:p>
        </w:tc>
        <w:tc>
          <w:tcPr>
            <w:shd w:val="clear" w:color="auto" w:fill="F5F7FB"/>
          </w:tcPr>
          <w:p>
            <w:pPr>
              <w:pStyle w:val="Compact"/>
            </w:pPr>
            <w:r>
              <w:rPr>
                <w:sz w:val="17"/>
              </w:rPr>
              <w:t xml:space="preserve">R2 → R2</w:t>
            </w:r>
          </w:p>
        </w:tc>
      </w:tr>
      <w:tr>
        <w:tc>
          <w:tcPr/>
          <w:p>
            <w:pPr>
              <w:pStyle w:val="Compact"/>
            </w:pPr>
            <w:r>
              <w:rPr>
                <w:sz w:val="17"/>
              </w:rPr>
              <w:t xml:space="preserve">21</w:t>
            </w:r>
          </w:p>
        </w:tc>
        <w:tc>
          <w:tcPr/>
          <w:p>
            <w:pPr>
              <w:pStyle w:val="Compact"/>
            </w:pPr>
            <w:r>
              <w:rPr>
                <w:sz w:val="17"/>
              </w:rPr>
              <w:t xml:space="preserve">Spectacles et événements</w:t>
            </w:r>
          </w:p>
        </w:tc>
        <w:tc>
          <w:tcPr/>
          <w:p>
            <w:pPr>
              <w:pStyle w:val="Compact"/>
            </w:pPr>
            <w:r>
              <w:rPr>
                <w:sz w:val="17"/>
              </w:rPr>
              <w:t xml:space="preserve">Autorisation conditionnée à l’enregistrement</w:t>
            </w:r>
          </w:p>
        </w:tc>
        <w:tc>
          <w:tcPr/>
          <w:p>
            <w:pPr>
              <w:pStyle w:val="Compact"/>
            </w:pPr>
            <w:r>
              <w:rPr>
                <w:sz w:val="17"/>
              </w:rPr>
              <w:t xml:space="preserve">Demande en ligne ; déclaration de billetterie ou jauge ; certificat QR</w:t>
            </w:r>
          </w:p>
        </w:tc>
        <w:tc>
          <w:tcPr/>
          <w:p>
            <w:pPr>
              <w:pStyle w:val="Compact"/>
            </w:pPr>
            <w:r>
              <w:rPr>
                <w:sz w:val="17"/>
              </w:rPr>
              <w:t xml:space="preserve">Refus sans enregistrement</w:t>
            </w:r>
          </w:p>
        </w:tc>
        <w:tc>
          <w:tcPr/>
          <w:p>
            <w:pPr>
              <w:pStyle w:val="Compact"/>
            </w:pPr>
            <w:r>
              <w:rPr>
                <w:sz w:val="17"/>
              </w:rPr>
              <w:t xml:space="preserve">Événements autorisés ; recettes par événement</w:t>
            </w:r>
          </w:p>
        </w:tc>
        <w:tc>
          <w:tcPr/>
          <w:p>
            <w:pPr>
              <w:pStyle w:val="Compact"/>
            </w:pPr>
            <w:r>
              <w:rPr>
                <w:sz w:val="17"/>
              </w:rPr>
              <w:t xml:space="preserve">R3 → R3</w:t>
            </w:r>
          </w:p>
        </w:tc>
      </w:tr>
      <w:tr>
        <w:tc>
          <w:tcPr>
            <w:shd w:val="clear" w:color="auto" w:fill="F5F7FB"/>
          </w:tcPr>
          <w:p>
            <w:pPr>
              <w:pStyle w:val="Compact"/>
            </w:pPr>
            <w:r>
              <w:rPr>
                <w:sz w:val="17"/>
              </w:rPr>
              <w:t xml:space="preserve">22</w:t>
            </w:r>
          </w:p>
        </w:tc>
        <w:tc>
          <w:tcPr>
            <w:shd w:val="clear" w:color="auto" w:fill="F5F7FB"/>
          </w:tcPr>
          <w:p>
            <w:pPr>
              <w:pStyle w:val="Compact"/>
            </w:pPr>
            <w:r>
              <w:rPr>
                <w:sz w:val="17"/>
              </w:rPr>
              <w:t xml:space="preserve">Carrières et recettes minières</w:t>
            </w:r>
          </w:p>
        </w:tc>
        <w:tc>
          <w:tcPr>
            <w:shd w:val="clear" w:color="auto" w:fill="F5F7FB"/>
          </w:tcPr>
          <w:p>
            <w:pPr>
              <w:pStyle w:val="Compact"/>
            </w:pPr>
            <w:r>
              <w:rPr>
                <w:sz w:val="17"/>
              </w:rPr>
              <w:t xml:space="preserve">Tracer les sorties</w:t>
            </w:r>
          </w:p>
        </w:tc>
        <w:tc>
          <w:tcPr>
            <w:shd w:val="clear" w:color="auto" w:fill="F5F7FB"/>
          </w:tcPr>
          <w:p>
            <w:pPr>
              <w:pStyle w:val="Compact"/>
            </w:pPr>
            <w:r>
              <w:rPr>
                <w:sz w:val="17"/>
              </w:rPr>
              <w:t xml:space="preserve">Registre des sites ; bons de sortie QR à usage unique ; comptage ; liquidation superficie/volumes</w:t>
            </w:r>
          </w:p>
        </w:tc>
        <w:tc>
          <w:tcPr>
            <w:shd w:val="clear" w:color="auto" w:fill="F5F7FB"/>
          </w:tcPr>
          <w:p>
            <w:pPr>
              <w:pStyle w:val="Compact"/>
            </w:pPr>
            <w:r>
              <w:rPr>
                <w:sz w:val="17"/>
              </w:rPr>
              <w:t xml:space="preserve">Bon non réutilisable</w:t>
            </w:r>
          </w:p>
        </w:tc>
        <w:tc>
          <w:tcPr>
            <w:shd w:val="clear" w:color="auto" w:fill="F5F7FB"/>
          </w:tcPr>
          <w:p>
            <w:pPr>
              <w:pStyle w:val="Compact"/>
            </w:pPr>
            <w:r>
              <w:rPr>
                <w:sz w:val="17"/>
              </w:rPr>
              <w:t xml:space="preserve">Sites actifs ; écart sorties/déclarations</w:t>
            </w:r>
          </w:p>
        </w:tc>
        <w:tc>
          <w:tcPr>
            <w:shd w:val="clear" w:color="auto" w:fill="F5F7FB"/>
          </w:tcPr>
          <w:p>
            <w:pPr>
              <w:pStyle w:val="Compact"/>
            </w:pPr>
            <w:r>
              <w:rPr>
                <w:sz w:val="17"/>
              </w:rPr>
              <w:t xml:space="preserve">R3 → R3</w:t>
            </w:r>
          </w:p>
        </w:tc>
      </w:tr>
      <w:tr>
        <w:tc>
          <w:tcPr/>
          <w:p>
            <w:pPr>
              <w:pStyle w:val="Compact"/>
            </w:pPr>
            <w:r>
              <w:rPr>
                <w:sz w:val="17"/>
              </w:rPr>
              <w:t xml:space="preserve">23</w:t>
            </w:r>
          </w:p>
        </w:tc>
        <w:tc>
          <w:tcPr/>
          <w:p>
            <w:pPr>
              <w:pStyle w:val="Compact"/>
            </w:pPr>
            <w:r>
              <w:rPr>
                <w:sz w:val="17"/>
              </w:rPr>
              <w:t xml:space="preserve">Recettes forestières</w:t>
            </w:r>
          </w:p>
        </w:tc>
        <w:tc>
          <w:tcPr/>
          <w:p>
            <w:pPr>
              <w:pStyle w:val="Compact"/>
            </w:pPr>
            <w:r>
              <w:rPr>
                <w:sz w:val="17"/>
              </w:rPr>
              <w:t xml:space="preserve">Concessions et produits non ligneux</w:t>
            </w:r>
          </w:p>
        </w:tc>
        <w:tc>
          <w:tcPr/>
          <w:p>
            <w:pPr>
              <w:pStyle w:val="Compact"/>
            </w:pPr>
            <w:r>
              <w:rPr>
                <w:sz w:val="17"/>
              </w:rPr>
              <w:t xml:space="preserve">Concessions ; déclarations aux points de contrôle ; liquidation sur superficie</w:t>
            </w:r>
          </w:p>
        </w:tc>
        <w:tc>
          <w:tcPr/>
          <w:p>
            <w:pPr>
              <w:pStyle w:val="Compact"/>
            </w:pPr>
            <w:r>
              <w:rPr>
                <w:sz w:val="17"/>
              </w:rPr>
              <w:t xml:space="preserve">Accès limité aux services compétents</w:t>
            </w:r>
          </w:p>
        </w:tc>
        <w:tc>
          <w:tcPr/>
          <w:p>
            <w:pPr>
              <w:pStyle w:val="Compact"/>
            </w:pPr>
            <w:r>
              <w:rPr>
                <w:sz w:val="17"/>
              </w:rPr>
              <w:t xml:space="preserve">Concessions liquidées ; déclarations</w:t>
            </w:r>
          </w:p>
        </w:tc>
        <w:tc>
          <w:tcPr/>
          <w:p>
            <w:pPr>
              <w:pStyle w:val="Compact"/>
            </w:pPr>
            <w:r>
              <w:rPr>
                <w:sz w:val="17"/>
              </w:rPr>
              <w:t xml:space="preserve">R4 → R4</w:t>
            </w:r>
          </w:p>
        </w:tc>
      </w:tr>
      <w:tr>
        <w:tc>
          <w:tcPr>
            <w:shd w:val="clear" w:color="auto" w:fill="F5F7FB"/>
          </w:tcPr>
          <w:p>
            <w:pPr>
              <w:pStyle w:val="Compact"/>
            </w:pPr>
            <w:r>
              <w:rPr>
                <w:sz w:val="17"/>
              </w:rPr>
              <w:t xml:space="preserve">24</w:t>
            </w:r>
          </w:p>
        </w:tc>
        <w:tc>
          <w:tcPr>
            <w:shd w:val="clear" w:color="auto" w:fill="F5F7FB"/>
          </w:tcPr>
          <w:p>
            <w:pPr>
              <w:pStyle w:val="Compact"/>
            </w:pPr>
            <w:r>
              <w:rPr>
                <w:sz w:val="17"/>
              </w:rPr>
              <w:t xml:space="preserve">Ports, embarcations, accostage</w:t>
            </w:r>
          </w:p>
        </w:tc>
        <w:tc>
          <w:tcPr>
            <w:shd w:val="clear" w:color="auto" w:fill="F5F7FB"/>
          </w:tcPr>
          <w:p>
            <w:pPr>
              <w:pStyle w:val="Compact"/>
            </w:pPr>
            <w:r>
              <w:rPr>
                <w:sz w:val="17"/>
              </w:rPr>
              <w:t xml:space="preserve">Mouvements et redevances portuaires</w:t>
            </w:r>
          </w:p>
        </w:tc>
        <w:tc>
          <w:tcPr>
            <w:shd w:val="clear" w:color="auto" w:fill="F5F7FB"/>
          </w:tcPr>
          <w:p>
            <w:pPr>
              <w:pStyle w:val="Compact"/>
            </w:pPr>
            <w:r>
              <w:rPr>
                <w:sz w:val="17"/>
              </w:rPr>
              <w:t xml:space="preserve">Registre des embarcations ; quais et ports privés ; mouvements ; redevances</w:t>
            </w:r>
          </w:p>
        </w:tc>
        <w:tc>
          <w:tcPr>
            <w:shd w:val="clear" w:color="auto" w:fill="F5F7FB"/>
          </w:tcPr>
          <w:p>
            <w:pPr>
              <w:pStyle w:val="Compact"/>
            </w:pPr>
            <w:r>
              <w:rPr>
                <w:sz w:val="17"/>
              </w:rPr>
              <w:t xml:space="preserve">Pilote après cadrage sectoriel (J30)</w:t>
            </w:r>
          </w:p>
        </w:tc>
        <w:tc>
          <w:tcPr>
            <w:shd w:val="clear" w:color="auto" w:fill="F5F7FB"/>
          </w:tcPr>
          <w:p>
            <w:pPr>
              <w:pStyle w:val="Compact"/>
            </w:pPr>
            <w:r>
              <w:rPr>
                <w:sz w:val="17"/>
              </w:rPr>
              <w:t xml:space="preserve">Embarcations ; mouvements ; recettes</w:t>
            </w:r>
          </w:p>
        </w:tc>
        <w:tc>
          <w:tcPr>
            <w:shd w:val="clear" w:color="auto" w:fill="F5F7FB"/>
          </w:tcPr>
          <w:p>
            <w:pPr>
              <w:pStyle w:val="Compact"/>
            </w:pPr>
            <w:r>
              <w:rPr>
                <w:sz w:val="17"/>
              </w:rPr>
              <w:t xml:space="preserve">R3 → R3</w:t>
            </w:r>
          </w:p>
        </w:tc>
      </w:tr>
      <w:tr>
        <w:tc>
          <w:tcPr/>
          <w:p>
            <w:pPr>
              <w:pStyle w:val="Compact"/>
            </w:pPr>
            <w:r>
              <w:rPr>
                <w:sz w:val="17"/>
              </w:rPr>
              <w:t xml:space="preserve">25</w:t>
            </w:r>
          </w:p>
        </w:tc>
        <w:tc>
          <w:tcPr/>
          <w:p>
            <w:pPr>
              <w:pStyle w:val="Compact"/>
            </w:pPr>
            <w:r>
              <w:rPr>
                <w:sz w:val="17"/>
              </w:rPr>
              <w:t xml:space="preserve">Péage provincial</w:t>
            </w:r>
          </w:p>
        </w:tc>
        <w:tc>
          <w:tcPr/>
          <w:p>
            <w:pPr>
              <w:pStyle w:val="Compact"/>
            </w:pPr>
            <w:r>
              <w:rPr>
                <w:sz w:val="17"/>
              </w:rPr>
              <w:t xml:space="preserve">Titres liés à la plaque</w:t>
            </w:r>
          </w:p>
        </w:tc>
        <w:tc>
          <w:tcPr/>
          <w:p>
            <w:pPr>
              <w:pStyle w:val="Compact"/>
            </w:pPr>
            <w:r>
              <w:rPr>
                <w:sz w:val="17"/>
              </w:rPr>
              <w:t xml:space="preserve">Axes et points ; passage unique, carnet, abonnement ; reçus QR</w:t>
            </w:r>
          </w:p>
        </w:tc>
        <w:tc>
          <w:tcPr/>
          <w:p>
            <w:pPr>
              <w:pStyle w:val="Compact"/>
            </w:pPr>
            <w:r>
              <w:rPr>
                <w:sz w:val="17"/>
              </w:rPr>
              <w:t xml:space="preserve">Aucun encaissement non tracé</w:t>
            </w:r>
          </w:p>
        </w:tc>
        <w:tc>
          <w:tcPr/>
          <w:p>
            <w:pPr>
              <w:pStyle w:val="Compact"/>
            </w:pPr>
            <w:r>
              <w:rPr>
                <w:sz w:val="17"/>
              </w:rPr>
              <w:t xml:space="preserve">Passages ; recettes par axe ; fraude détectée</w:t>
            </w:r>
          </w:p>
        </w:tc>
        <w:tc>
          <w:tcPr/>
          <w:p>
            <w:pPr>
              <w:pStyle w:val="Compact"/>
            </w:pPr>
            <w:r>
              <w:rPr>
                <w:sz w:val="17"/>
              </w:rPr>
              <w:t xml:space="preserve">R3 → R4</w:t>
            </w:r>
          </w:p>
        </w:tc>
      </w:tr>
      <w:tr>
        <w:tc>
          <w:tcPr>
            <w:shd w:val="clear" w:color="auto" w:fill="F5F7FB"/>
          </w:tcPr>
          <w:p>
            <w:pPr>
              <w:pStyle w:val="Compact"/>
            </w:pPr>
            <w:r>
              <w:rPr>
                <w:sz w:val="17"/>
              </w:rPr>
              <w:t xml:space="preserve">26</w:t>
            </w:r>
          </w:p>
        </w:tc>
        <w:tc>
          <w:tcPr>
            <w:shd w:val="clear" w:color="auto" w:fill="F5F7FB"/>
          </w:tcPr>
          <w:p>
            <w:pPr>
              <w:pStyle w:val="Compact"/>
            </w:pPr>
            <w:r>
              <w:rPr>
                <w:sz w:val="17"/>
              </w:rPr>
              <w:t xml:space="preserve">Moteur de règles</w:t>
            </w:r>
          </w:p>
        </w:tc>
        <w:tc>
          <w:tcPr>
            <w:shd w:val="clear" w:color="auto" w:fill="F5F7FB"/>
          </w:tcPr>
          <w:p>
            <w:pPr>
              <w:pStyle w:val="Compact"/>
            </w:pPr>
            <w:r>
              <w:rPr>
                <w:sz w:val="17"/>
              </w:rPr>
              <w:t xml:space="preserve">Registre juridique exécutable</w:t>
            </w:r>
          </w:p>
        </w:tc>
        <w:tc>
          <w:tcPr>
            <w:shd w:val="clear" w:color="auto" w:fill="F5F7FB"/>
          </w:tcPr>
          <w:p>
            <w:pPr>
              <w:pStyle w:val="Compact"/>
            </w:pPr>
            <w:r>
              <w:rPr>
                <w:sz w:val="17"/>
              </w:rPr>
              <w:t xml:space="preserve">Fiche complète ; cycle de vie ; versionnage ;</w:t>
            </w:r>
            <w:r>
              <w:rPr>
                <w:sz w:val="17"/>
              </w:rPr>
              <w:t xml:space="preserve"> </w:t>
            </w:r>
            <w:r>
              <w:rPr>
                <w:b/>
                <w:bCs/>
                <w:sz w:val="17"/>
              </w:rPr>
              <w:t xml:space="preserve">simulation sur échantillon</w:t>
            </w:r>
            <w:r>
              <w:rPr>
                <w:sz w:val="17"/>
              </w:rPr>
              <w:t xml:space="preserve"> </w:t>
            </w:r>
            <w:r>
              <w:rPr>
                <w:sz w:val="17"/>
              </w:rPr>
              <w:t xml:space="preserve">; veille ; séparation des compétences</w:t>
            </w:r>
          </w:p>
        </w:tc>
        <w:tc>
          <w:tcPr>
            <w:shd w:val="clear" w:color="auto" w:fill="F5F7FB"/>
          </w:tcPr>
          <w:p>
            <w:pPr>
              <w:pStyle w:val="Compact"/>
            </w:pPr>
            <w:r>
              <w:rPr>
                <w:sz w:val="17"/>
              </w:rPr>
              <w:t xml:space="preserve">Pas de publication sans texte en vigueur ; quatre personnes distinctes ; refus des doublons ; rétroactivité bloquée ; code stable</w:t>
            </w:r>
          </w:p>
        </w:tc>
        <w:tc>
          <w:tcPr>
            <w:shd w:val="clear" w:color="auto" w:fill="F5F7FB"/>
          </w:tcPr>
          <w:p>
            <w:pPr>
              <w:pStyle w:val="Compact"/>
            </w:pPr>
            <w:r>
              <w:rPr>
                <w:sz w:val="17"/>
              </w:rPr>
              <w:t xml:space="preserve">Règles actives validées ; règles expirant ; délai d’approbation</w:t>
            </w:r>
          </w:p>
        </w:tc>
        <w:tc>
          <w:tcPr>
            <w:shd w:val="clear" w:color="auto" w:fill="F5F7FB"/>
          </w:tcPr>
          <w:p>
            <w:pPr>
              <w:pStyle w:val="Compact"/>
            </w:pPr>
            <w:r>
              <w:rPr>
                <w:sz w:val="17"/>
              </w:rPr>
              <w:t xml:space="preserve">R1 → R1</w:t>
            </w:r>
          </w:p>
        </w:tc>
      </w:tr>
      <w:tr>
        <w:tc>
          <w:tcPr/>
          <w:p>
            <w:pPr>
              <w:pStyle w:val="Compact"/>
            </w:pPr>
            <w:r>
              <w:rPr>
                <w:sz w:val="17"/>
              </w:rPr>
              <w:t xml:space="preserve">27</w:t>
            </w:r>
          </w:p>
        </w:tc>
        <w:tc>
          <w:tcPr/>
          <w:p>
            <w:pPr>
              <w:pStyle w:val="Compact"/>
            </w:pPr>
            <w:r>
              <w:rPr>
                <w:sz w:val="17"/>
              </w:rPr>
              <w:t xml:space="preserve">Déclaration et liquidation</w:t>
            </w:r>
          </w:p>
        </w:tc>
        <w:tc>
          <w:tcPr/>
          <w:p>
            <w:pPr>
              <w:pStyle w:val="Compact"/>
            </w:pPr>
            <w:r>
              <w:rPr>
                <w:sz w:val="17"/>
              </w:rPr>
              <w:t xml:space="preserve">Obligations explicables</w:t>
            </w:r>
          </w:p>
        </w:tc>
        <w:tc>
          <w:tcPr/>
          <w:p>
            <w:pPr>
              <w:pStyle w:val="Compact"/>
            </w:pPr>
            <w:r>
              <w:rPr>
                <w:sz w:val="17"/>
              </w:rPr>
              <w:t xml:space="preserve">Déclarations adaptatives ; pré-remplissage ; calcul explicable ; avis ; recalcul contrôlé</w:t>
            </w:r>
          </w:p>
        </w:tc>
        <w:tc>
          <w:tcPr/>
          <w:p>
            <w:pPr>
              <w:pStyle w:val="Compact"/>
            </w:pPr>
            <w:r>
              <w:rPr>
                <w:sz w:val="17"/>
              </w:rPr>
              <w:t xml:space="preserve">Aucune logique fiscale dans l’interface ou l’IA ; montants décimaux</w:t>
            </w:r>
          </w:p>
        </w:tc>
        <w:tc>
          <w:tcPr/>
          <w:p>
            <w:pPr>
              <w:pStyle w:val="Compact"/>
            </w:pPr>
            <w:r>
              <w:rPr>
                <w:sz w:val="17"/>
              </w:rPr>
              <w:t xml:space="preserve">Obligations émises ; erreurs corrigées ; délai</w:t>
            </w:r>
          </w:p>
        </w:tc>
        <w:tc>
          <w:tcPr/>
          <w:p>
            <w:pPr>
              <w:pStyle w:val="Compact"/>
            </w:pPr>
            <w:r>
              <w:rPr>
                <w:sz w:val="17"/>
              </w:rPr>
              <w:t xml:space="preserve">R1 → R1</w:t>
            </w:r>
          </w:p>
        </w:tc>
      </w:tr>
      <w:tr>
        <w:tc>
          <w:tcPr>
            <w:shd w:val="clear" w:color="auto" w:fill="F5F7FB"/>
          </w:tcPr>
          <w:p>
            <w:pPr>
              <w:pStyle w:val="Compact"/>
            </w:pPr>
            <w:r>
              <w:rPr>
                <w:sz w:val="17"/>
              </w:rPr>
              <w:t xml:space="preserve">28</w:t>
            </w:r>
          </w:p>
        </w:tc>
        <w:tc>
          <w:tcPr>
            <w:shd w:val="clear" w:color="auto" w:fill="F5F7FB"/>
          </w:tcPr>
          <w:p>
            <w:pPr>
              <w:pStyle w:val="Compact"/>
            </w:pPr>
            <w:r>
              <w:rPr>
                <w:sz w:val="17"/>
              </w:rPr>
              <w:t xml:space="preserve">Orchestration des paiements</w:t>
            </w:r>
          </w:p>
        </w:tc>
        <w:tc>
          <w:tcPr>
            <w:shd w:val="clear" w:color="auto" w:fill="F5F7FB"/>
          </w:tcPr>
          <w:p>
            <w:pPr>
              <w:pStyle w:val="Compact"/>
            </w:pPr>
            <w:r>
              <w:rPr>
                <w:sz w:val="17"/>
              </w:rPr>
              <w:t xml:space="preserve">Références et confirmations</w:t>
            </w:r>
          </w:p>
        </w:tc>
        <w:tc>
          <w:tcPr>
            <w:shd w:val="clear" w:color="auto" w:fill="F5F7FB"/>
          </w:tcPr>
          <w:p>
            <w:pPr>
              <w:pStyle w:val="Compact"/>
            </w:pPr>
            <w:r>
              <w:rPr>
                <w:sz w:val="17"/>
              </w:rPr>
              <w:t xml:space="preserve">Canaux multiples ; référence idempotente expirable ; neuf états ; rappels signés ; vérification S2S</w:t>
            </w:r>
          </w:p>
        </w:tc>
        <w:tc>
          <w:tcPr>
            <w:shd w:val="clear" w:color="auto" w:fill="F5F7FB"/>
          </w:tcPr>
          <w:p>
            <w:pPr>
              <w:pStyle w:val="Compact"/>
            </w:pPr>
            <w:r>
              <w:rPr>
                <w:sz w:val="17"/>
              </w:rPr>
              <w:t xml:space="preserve">Aucun compte privé ; bénéficiaire issu du coffre ; agrégateur agréé BCC (pas de prestataire nommé)</w:t>
            </w:r>
          </w:p>
        </w:tc>
        <w:tc>
          <w:tcPr>
            <w:shd w:val="clear" w:color="auto" w:fill="F5F7FB"/>
          </w:tcPr>
          <w:p>
            <w:pPr>
              <w:pStyle w:val="Compact"/>
            </w:pPr>
            <w:r>
              <w:rPr>
                <w:sz w:val="17"/>
              </w:rPr>
              <w:t xml:space="preserve">Succès ; délai de confirmation ; doublons évités</w:t>
            </w:r>
          </w:p>
        </w:tc>
        <w:tc>
          <w:tcPr>
            <w:shd w:val="clear" w:color="auto" w:fill="F5F7FB"/>
          </w:tcPr>
          <w:p>
            <w:pPr>
              <w:pStyle w:val="Compact"/>
            </w:pPr>
            <w:r>
              <w:rPr>
                <w:sz w:val="17"/>
              </w:rPr>
              <w:t xml:space="preserve">R1 → R1</w:t>
            </w:r>
          </w:p>
        </w:tc>
      </w:tr>
      <w:tr>
        <w:tc>
          <w:tcPr/>
          <w:p>
            <w:pPr>
              <w:pStyle w:val="Compact"/>
            </w:pPr>
            <w:r>
              <w:rPr>
                <w:sz w:val="17"/>
              </w:rPr>
              <w:t xml:space="preserve">29</w:t>
            </w:r>
          </w:p>
        </w:tc>
        <w:tc>
          <w:tcPr/>
          <w:p>
            <w:pPr>
              <w:pStyle w:val="Compact"/>
            </w:pPr>
            <w:r>
              <w:rPr>
                <w:sz w:val="17"/>
              </w:rPr>
              <w:t xml:space="preserve">Règlement en trésorerie</w:t>
            </w:r>
          </w:p>
        </w:tc>
        <w:tc>
          <w:tcPr/>
          <w:p>
            <w:pPr>
              <w:pStyle w:val="Compact"/>
            </w:pPr>
            <w:r>
              <w:rPr>
                <w:sz w:val="17"/>
              </w:rPr>
              <w:t xml:space="preserve">Constater le crédit des comptes publics</w:t>
            </w:r>
          </w:p>
        </w:tc>
        <w:tc>
          <w:tcPr/>
          <w:p>
            <w:pPr>
              <w:pStyle w:val="Compact"/>
            </w:pPr>
            <w:r>
              <w:rPr>
                <w:sz w:val="17"/>
              </w:rPr>
              <w:t xml:space="preserve">Import des relevés ; imputation ; comptes d’attente</w:t>
            </w:r>
          </w:p>
        </w:tc>
        <w:tc>
          <w:tcPr/>
          <w:p>
            <w:pPr>
              <w:pStyle w:val="Compact"/>
            </w:pPr>
            <w:r>
              <w:rPr>
                <w:b/>
                <w:bCs/>
                <w:sz w:val="17"/>
              </w:rPr>
              <w:t xml:space="preserve">Double validation des imports</w:t>
            </w:r>
            <w:r>
              <w:rPr>
                <w:sz w:val="17"/>
              </w:rPr>
              <w:t xml:space="preserve"> </w:t>
            </w:r>
            <w:r>
              <w:rPr>
                <w:sz w:val="17"/>
              </w:rPr>
              <w:t xml:space="preserve">; intégrité des relevés</w:t>
            </w:r>
          </w:p>
        </w:tc>
        <w:tc>
          <w:tcPr/>
          <w:p>
            <w:pPr>
              <w:pStyle w:val="Compact"/>
            </w:pPr>
            <w:r>
              <w:rPr>
                <w:sz w:val="17"/>
              </w:rPr>
              <w:t xml:space="preserve">Délai de règlement ; fonds en attente</w:t>
            </w:r>
          </w:p>
        </w:tc>
        <w:tc>
          <w:tcPr/>
          <w:p>
            <w:pPr>
              <w:pStyle w:val="Compact"/>
            </w:pPr>
            <w:r>
              <w:rPr>
                <w:sz w:val="17"/>
              </w:rPr>
              <w:t xml:space="preserve">R1 → R1</w:t>
            </w:r>
          </w:p>
        </w:tc>
      </w:tr>
      <w:tr>
        <w:tc>
          <w:tcPr>
            <w:shd w:val="clear" w:color="auto" w:fill="F5F7FB"/>
          </w:tcPr>
          <w:p>
            <w:pPr>
              <w:pStyle w:val="Compact"/>
            </w:pPr>
            <w:r>
              <w:rPr>
                <w:sz w:val="17"/>
              </w:rPr>
              <w:t xml:space="preserve">30</w:t>
            </w:r>
          </w:p>
        </w:tc>
        <w:tc>
          <w:tcPr>
            <w:shd w:val="clear" w:color="auto" w:fill="F5F7FB"/>
          </w:tcPr>
          <w:p>
            <w:pPr>
              <w:pStyle w:val="Compact"/>
            </w:pPr>
            <w:r>
              <w:rPr>
                <w:sz w:val="17"/>
              </w:rPr>
              <w:t xml:space="preserve">Rapprochement</w:t>
            </w:r>
          </w:p>
        </w:tc>
        <w:tc>
          <w:tcPr>
            <w:shd w:val="clear" w:color="auto" w:fill="F5F7FB"/>
          </w:tcPr>
          <w:p>
            <w:pPr>
              <w:pStyle w:val="Compact"/>
            </w:pPr>
            <w:r>
              <w:rPr>
                <w:sz w:val="17"/>
              </w:rPr>
              <w:t xml:space="preserve">Appariement à trois voies</w:t>
            </w:r>
          </w:p>
        </w:tc>
        <w:tc>
          <w:tcPr>
            <w:shd w:val="clear" w:color="auto" w:fill="F5F7FB"/>
          </w:tcPr>
          <w:p>
            <w:pPr>
              <w:pStyle w:val="Compact"/>
            </w:pPr>
            <w:r>
              <w:rPr>
                <w:sz w:val="17"/>
              </w:rPr>
              <w:t xml:space="preserve">Quatre files d’exception ; délais par file et escalade ; quittance définitive au rapprochement</w:t>
            </w:r>
          </w:p>
        </w:tc>
        <w:tc>
          <w:tcPr>
            <w:shd w:val="clear" w:color="auto" w:fill="F5F7FB"/>
          </w:tcPr>
          <w:p>
            <w:pPr>
              <w:pStyle w:val="Compact"/>
            </w:pPr>
            <w:r>
              <w:rPr>
                <w:sz w:val="17"/>
              </w:rPr>
              <w:t xml:space="preserve">Aucune correction silencieuse</w:t>
            </w:r>
          </w:p>
        </w:tc>
        <w:tc>
          <w:tcPr>
            <w:shd w:val="clear" w:color="auto" w:fill="F5F7FB"/>
          </w:tcPr>
          <w:p>
            <w:pPr>
              <w:pStyle w:val="Compact"/>
            </w:pPr>
            <w:r>
              <w:rPr>
                <w:sz w:val="17"/>
              </w:rPr>
              <w:t xml:space="preserve">Rapprochement auto ; écart J+2/J+3 ; délai de traitement</w:t>
            </w:r>
          </w:p>
        </w:tc>
        <w:tc>
          <w:tcPr>
            <w:shd w:val="clear" w:color="auto" w:fill="F5F7FB"/>
          </w:tcPr>
          <w:p>
            <w:pPr>
              <w:pStyle w:val="Compact"/>
            </w:pPr>
            <w:r>
              <w:rPr>
                <w:sz w:val="17"/>
              </w:rPr>
              <w:t xml:space="preserve">R1 → R1</w:t>
            </w:r>
          </w:p>
        </w:tc>
      </w:tr>
      <w:tr>
        <w:tc>
          <w:tcPr/>
          <w:p>
            <w:pPr>
              <w:pStyle w:val="Compact"/>
            </w:pPr>
            <w:r>
              <w:rPr>
                <w:sz w:val="17"/>
              </w:rPr>
              <w:t xml:space="preserve">31</w:t>
            </w:r>
          </w:p>
        </w:tc>
        <w:tc>
          <w:tcPr/>
          <w:p>
            <w:pPr>
              <w:pStyle w:val="Compact"/>
            </w:pPr>
            <w:r>
              <w:rPr>
                <w:sz w:val="17"/>
              </w:rPr>
              <w:t xml:space="preserve">Quittances électroniques</w:t>
            </w:r>
          </w:p>
        </w:tc>
        <w:tc>
          <w:tcPr/>
          <w:p>
            <w:pPr>
              <w:pStyle w:val="Compact"/>
            </w:pPr>
            <w:r>
              <w:rPr>
                <w:sz w:val="17"/>
              </w:rPr>
              <w:t xml:space="preserve">Preuve de paiement vérifiable</w:t>
            </w:r>
          </w:p>
        </w:tc>
        <w:tc>
          <w:tcPr/>
          <w:p>
            <w:pPr>
              <w:pStyle w:val="Compact"/>
            </w:pPr>
            <w:r>
              <w:rPr>
                <w:sz w:val="17"/>
              </w:rPr>
              <w:t xml:space="preserve">Contenu § 19.1 ; statuts ; formes SMS, imprimée, PDF, vocale ; vérification scan, code, USSD, SVI</w:t>
            </w:r>
          </w:p>
        </w:tc>
        <w:tc>
          <w:tcPr/>
          <w:p>
            <w:pPr>
              <w:pStyle w:val="Compact"/>
            </w:pPr>
            <w:r>
              <w:rPr>
                <w:sz w:val="17"/>
              </w:rPr>
              <w:t xml:space="preserve">Numérotation exclusive ; divulgation minimale ; duplicata marqué</w:t>
            </w:r>
          </w:p>
        </w:tc>
        <w:tc>
          <w:tcPr/>
          <w:p>
            <w:pPr>
              <w:pStyle w:val="Compact"/>
            </w:pPr>
            <w:r>
              <w:rPr>
                <w:sz w:val="17"/>
              </w:rPr>
              <w:t xml:space="preserve">Délai paiement → quittance ; vérifications ; suspectes</w:t>
            </w:r>
          </w:p>
        </w:tc>
        <w:tc>
          <w:tcPr/>
          <w:p>
            <w:pPr>
              <w:pStyle w:val="Compact"/>
            </w:pPr>
            <w:r>
              <w:rPr>
                <w:sz w:val="17"/>
              </w:rPr>
              <w:t xml:space="preserve">R1 → R1</w:t>
            </w:r>
          </w:p>
        </w:tc>
      </w:tr>
      <w:tr>
        <w:tc>
          <w:tcPr>
            <w:shd w:val="clear" w:color="auto" w:fill="F5F7FB"/>
          </w:tcPr>
          <w:p>
            <w:pPr>
              <w:pStyle w:val="Compact"/>
            </w:pPr>
            <w:r>
              <w:rPr>
                <w:sz w:val="17"/>
              </w:rPr>
              <w:t xml:space="preserve">32</w:t>
            </w:r>
          </w:p>
        </w:tc>
        <w:tc>
          <w:tcPr>
            <w:shd w:val="clear" w:color="auto" w:fill="F5F7FB"/>
          </w:tcPr>
          <w:p>
            <w:pPr>
              <w:pStyle w:val="Compact"/>
            </w:pPr>
            <w:r>
              <w:rPr>
                <w:sz w:val="17"/>
              </w:rPr>
              <w:t xml:space="preserve">Arriérés et créances</w:t>
            </w:r>
          </w:p>
        </w:tc>
        <w:tc>
          <w:tcPr>
            <w:shd w:val="clear" w:color="auto" w:fill="F5F7FB"/>
          </w:tcPr>
          <w:p>
            <w:pPr>
              <w:pStyle w:val="Compact"/>
            </w:pPr>
            <w:r>
              <w:rPr>
                <w:sz w:val="17"/>
              </w:rPr>
              <w:t xml:space="preserve">Balance âgée et priorisation</w:t>
            </w:r>
          </w:p>
        </w:tc>
        <w:tc>
          <w:tcPr>
            <w:shd w:val="clear" w:color="auto" w:fill="F5F7FB"/>
          </w:tcPr>
          <w:p>
            <w:pPr>
              <w:pStyle w:val="Compact"/>
            </w:pPr>
            <w:r>
              <w:rPr>
                <w:sz w:val="17"/>
              </w:rPr>
              <w:t xml:space="preserve">Balance par recette, commune, contribuable ; segmentation ; plans d’apurement si autorisés</w:t>
            </w:r>
          </w:p>
        </w:tc>
        <w:tc>
          <w:tcPr>
            <w:shd w:val="clear" w:color="auto" w:fill="F5F7FB"/>
          </w:tcPr>
          <w:p>
            <w:pPr>
              <w:pStyle w:val="Compact"/>
            </w:pPr>
            <w:r>
              <w:rPr>
                <w:sz w:val="17"/>
              </w:rPr>
              <w:t xml:space="preserve">Aucune pénalité hors règle</w:t>
            </w:r>
          </w:p>
        </w:tc>
        <w:tc>
          <w:tcPr>
            <w:shd w:val="clear" w:color="auto" w:fill="F5F7FB"/>
          </w:tcPr>
          <w:p>
            <w:pPr>
              <w:pStyle w:val="Compact"/>
            </w:pPr>
            <w:r>
              <w:rPr>
                <w:sz w:val="17"/>
              </w:rPr>
              <w:t xml:space="preserve">Encours ; recouvré brut/net</w:t>
            </w:r>
          </w:p>
        </w:tc>
        <w:tc>
          <w:tcPr>
            <w:shd w:val="clear" w:color="auto" w:fill="F5F7FB"/>
          </w:tcPr>
          <w:p>
            <w:pPr>
              <w:pStyle w:val="Compact"/>
            </w:pPr>
            <w:r>
              <w:rPr>
                <w:sz w:val="17"/>
              </w:rPr>
              <w:t xml:space="preserve">R2 → R2</w:t>
            </w:r>
          </w:p>
        </w:tc>
      </w:tr>
      <w:tr>
        <w:tc>
          <w:tcPr/>
          <w:p>
            <w:pPr>
              <w:pStyle w:val="Compact"/>
            </w:pPr>
            <w:r>
              <w:rPr>
                <w:sz w:val="17"/>
              </w:rPr>
              <w:t xml:space="preserve">33</w:t>
            </w:r>
          </w:p>
        </w:tc>
        <w:tc>
          <w:tcPr/>
          <w:p>
            <w:pPr>
              <w:pStyle w:val="Compact"/>
            </w:pPr>
            <w:r>
              <w:rPr>
                <w:sz w:val="17"/>
              </w:rPr>
              <w:t xml:space="preserve">Campagnes de recouvrement</w:t>
            </w:r>
          </w:p>
        </w:tc>
        <w:tc>
          <w:tcPr/>
          <w:p>
            <w:pPr>
              <w:pStyle w:val="Compact"/>
            </w:pPr>
            <w:r>
              <w:rPr>
                <w:sz w:val="17"/>
              </w:rPr>
              <w:t xml:space="preserve">Relances graduées</w:t>
            </w:r>
          </w:p>
        </w:tc>
        <w:tc>
          <w:tcPr/>
          <w:p>
            <w:pPr>
              <w:pStyle w:val="Compact"/>
            </w:pPr>
            <w:r>
              <w:rPr>
                <w:sz w:val="17"/>
              </w:rPr>
              <w:t xml:space="preserve">Segments ; J−15, J−3, J+1, J+15, J+30 ; tests avant généralisation</w:t>
            </w:r>
          </w:p>
        </w:tc>
        <w:tc>
          <w:tcPr/>
          <w:p>
            <w:pPr>
              <w:pStyle w:val="Compact"/>
            </w:pPr>
            <w:r>
              <w:rPr>
                <w:sz w:val="17"/>
              </w:rPr>
              <w:t xml:space="preserve">Aucune contrainte en première étape ; arrêt si coût disproportionné</w:t>
            </w:r>
          </w:p>
        </w:tc>
        <w:tc>
          <w:tcPr/>
          <w:p>
            <w:pPr>
              <w:pStyle w:val="Compact"/>
            </w:pPr>
            <w:r>
              <w:rPr>
                <w:sz w:val="17"/>
              </w:rPr>
              <w:t xml:space="preserve">Régularisation ; coût par franc récupéré</w:t>
            </w:r>
          </w:p>
        </w:tc>
        <w:tc>
          <w:tcPr/>
          <w:p>
            <w:pPr>
              <w:pStyle w:val="Compact"/>
            </w:pPr>
            <w:r>
              <w:rPr>
                <w:sz w:val="17"/>
              </w:rPr>
              <w:t xml:space="preserve">R2 → R2</w:t>
            </w:r>
          </w:p>
        </w:tc>
      </w:tr>
      <w:tr>
        <w:tc>
          <w:tcPr>
            <w:shd w:val="clear" w:color="auto" w:fill="F5F7FB"/>
          </w:tcPr>
          <w:p>
            <w:pPr>
              <w:pStyle w:val="Compact"/>
            </w:pPr>
            <w:r>
              <w:rPr>
                <w:sz w:val="17"/>
              </w:rPr>
              <w:t xml:space="preserve">34</w:t>
            </w:r>
          </w:p>
        </w:tc>
        <w:tc>
          <w:tcPr>
            <w:shd w:val="clear" w:color="auto" w:fill="F5F7FB"/>
          </w:tcPr>
          <w:p>
            <w:pPr>
              <w:pStyle w:val="Compact"/>
            </w:pPr>
            <w:r>
              <w:rPr>
                <w:sz w:val="17"/>
              </w:rPr>
              <w:t xml:space="preserve">Recensement terrain</w:t>
            </w:r>
          </w:p>
        </w:tc>
        <w:tc>
          <w:tcPr>
            <w:shd w:val="clear" w:color="auto" w:fill="F5F7FB"/>
          </w:tcPr>
          <w:p>
            <w:pPr>
              <w:pStyle w:val="Compact"/>
            </w:pPr>
            <w:r>
              <w:rPr>
                <w:sz w:val="17"/>
              </w:rPr>
              <w:t xml:space="preserve">Découvrir les objets</w:t>
            </w:r>
          </w:p>
        </w:tc>
        <w:tc>
          <w:tcPr>
            <w:shd w:val="clear" w:color="auto" w:fill="F5F7FB"/>
          </w:tcPr>
          <w:p>
            <w:pPr>
              <w:pStyle w:val="Compact"/>
            </w:pPr>
            <w:r>
              <w:rPr>
                <w:sz w:val="17"/>
              </w:rPr>
              <w:t xml:space="preserve">Missions ; objet provisoire (GPS, photo, catégorie) ; vagues 0–5 ; synchronisation</w:t>
            </w:r>
          </w:p>
        </w:tc>
        <w:tc>
          <w:tcPr>
            <w:shd w:val="clear" w:color="auto" w:fill="F5F7FB"/>
          </w:tcPr>
          <w:p>
            <w:pPr>
              <w:pStyle w:val="Compact"/>
            </w:pPr>
            <w:r>
              <w:rPr>
                <w:sz w:val="17"/>
              </w:rPr>
              <w:t xml:space="preserve">Aucun effet fiscal avant qualification</w:t>
            </w:r>
          </w:p>
        </w:tc>
        <w:tc>
          <w:tcPr>
            <w:shd w:val="clear" w:color="auto" w:fill="F5F7FB"/>
          </w:tcPr>
          <w:p>
            <w:pPr>
              <w:pStyle w:val="Compact"/>
            </w:pPr>
            <w:r>
              <w:rPr>
                <w:sz w:val="17"/>
              </w:rPr>
              <w:t xml:space="preserve">Objets découverts ; couverture ; rejets qualité</w:t>
            </w:r>
          </w:p>
        </w:tc>
        <w:tc>
          <w:tcPr>
            <w:shd w:val="clear" w:color="auto" w:fill="F5F7FB"/>
          </w:tcPr>
          <w:p>
            <w:pPr>
              <w:pStyle w:val="Compact"/>
            </w:pPr>
            <w:r>
              <w:rPr>
                <w:sz w:val="17"/>
              </w:rPr>
              <w:t xml:space="preserve">R1 → R1 (R0 pour le recensement)</w:t>
            </w:r>
          </w:p>
        </w:tc>
      </w:tr>
      <w:tr>
        <w:tc>
          <w:tcPr/>
          <w:p>
            <w:pPr>
              <w:pStyle w:val="Compact"/>
            </w:pPr>
            <w:r>
              <w:rPr>
                <w:sz w:val="17"/>
              </w:rPr>
              <w:t xml:space="preserve">35</w:t>
            </w:r>
          </w:p>
        </w:tc>
        <w:tc>
          <w:tcPr/>
          <w:p>
            <w:pPr>
              <w:pStyle w:val="Compact"/>
            </w:pPr>
            <w:r>
              <w:rPr>
                <w:sz w:val="17"/>
              </w:rPr>
              <w:t xml:space="preserve">Inspection et constat</w:t>
            </w:r>
          </w:p>
        </w:tc>
        <w:tc>
          <w:tcPr/>
          <w:p>
            <w:pPr>
              <w:pStyle w:val="Compact"/>
            </w:pPr>
            <w:r>
              <w:rPr>
                <w:sz w:val="17"/>
              </w:rPr>
              <w:t xml:space="preserve">Constats probants</w:t>
            </w:r>
          </w:p>
        </w:tc>
        <w:tc>
          <w:tcPr/>
          <w:p>
            <w:pPr>
              <w:pStyle w:val="Compact"/>
            </w:pPr>
            <w:r>
              <w:rPr>
                <w:sz w:val="17"/>
              </w:rPr>
              <w:t xml:space="preserve">Dossiers préparés ; constat numérique (photos, GPS, signature ou refus) ; procès-verbal selon pouvoirs</w:t>
            </w:r>
          </w:p>
        </w:tc>
        <w:tc>
          <w:tcPr/>
          <w:p>
            <w:pPr>
              <w:pStyle w:val="Compact"/>
            </w:pPr>
            <w:r>
              <w:rPr>
                <w:b/>
                <w:bCs/>
                <w:sz w:val="17"/>
              </w:rPr>
              <w:t xml:space="preserve">Constat validé non modifiable</w:t>
            </w:r>
            <w:r>
              <w:rPr>
                <w:sz w:val="17"/>
              </w:rPr>
              <w:t xml:space="preserve"> </w:t>
            </w:r>
            <w:r>
              <w:rPr>
                <w:sz w:val="17"/>
              </w:rPr>
              <w:t xml:space="preserve">; géorepérage</w:t>
            </w:r>
          </w:p>
        </w:tc>
        <w:tc>
          <w:tcPr/>
          <w:p>
            <w:pPr>
              <w:pStyle w:val="Compact"/>
            </w:pPr>
            <w:r>
              <w:rPr>
                <w:sz w:val="17"/>
              </w:rPr>
              <w:t xml:space="preserve">Constats ; validation ; contestations</w:t>
            </w:r>
          </w:p>
        </w:tc>
        <w:tc>
          <w:tcPr/>
          <w:p>
            <w:pPr>
              <w:pStyle w:val="Compact"/>
            </w:pPr>
            <w:r>
              <w:rPr>
                <w:sz w:val="17"/>
              </w:rPr>
              <w:t xml:space="preserve">R1–R2 → R1</w:t>
            </w:r>
          </w:p>
        </w:tc>
      </w:tr>
      <w:tr>
        <w:tc>
          <w:tcPr>
            <w:shd w:val="clear" w:color="auto" w:fill="F5F7FB"/>
          </w:tcPr>
          <w:p>
            <w:pPr>
              <w:pStyle w:val="Compact"/>
            </w:pPr>
            <w:r>
              <w:rPr>
                <w:sz w:val="17"/>
              </w:rPr>
              <w:t xml:space="preserve">36</w:t>
            </w:r>
          </w:p>
        </w:tc>
        <w:tc>
          <w:tcPr>
            <w:shd w:val="clear" w:color="auto" w:fill="F5F7FB"/>
          </w:tcPr>
          <w:p>
            <w:pPr>
              <w:pStyle w:val="Compact"/>
            </w:pPr>
            <w:r>
              <w:rPr>
                <w:sz w:val="17"/>
              </w:rPr>
              <w:t xml:space="preserve">Dossiers d’exécution</w:t>
            </w:r>
          </w:p>
        </w:tc>
        <w:tc>
          <w:tcPr>
            <w:shd w:val="clear" w:color="auto" w:fill="F5F7FB"/>
          </w:tcPr>
          <w:p>
            <w:pPr>
              <w:pStyle w:val="Compact"/>
            </w:pPr>
            <w:r>
              <w:rPr>
                <w:sz w:val="17"/>
              </w:rPr>
              <w:t xml:space="preserve">Mesures légales tracées</w:t>
            </w:r>
          </w:p>
        </w:tc>
        <w:tc>
          <w:tcPr>
            <w:shd w:val="clear" w:color="auto" w:fill="F5F7FB"/>
          </w:tcPr>
          <w:p>
            <w:pPr>
              <w:pStyle w:val="Compact"/>
            </w:pPr>
            <w:r>
              <w:rPr>
                <w:sz w:val="17"/>
              </w:rPr>
              <w:t xml:space="preserve">Mise en demeure (double validation) ; suivi des mesures jusqu’à clôture</w:t>
            </w:r>
          </w:p>
        </w:tc>
        <w:tc>
          <w:tcPr>
            <w:shd w:val="clear" w:color="auto" w:fill="F5F7FB"/>
          </w:tcPr>
          <w:p>
            <w:pPr>
              <w:pStyle w:val="Compact"/>
            </w:pPr>
            <w:r>
              <w:rPr>
                <w:sz w:val="17"/>
              </w:rPr>
              <w:t xml:space="preserve">Aucune mesure automatique</w:t>
            </w:r>
          </w:p>
        </w:tc>
        <w:tc>
          <w:tcPr>
            <w:shd w:val="clear" w:color="auto" w:fill="F5F7FB"/>
          </w:tcPr>
          <w:p>
            <w:pPr>
              <w:pStyle w:val="Compact"/>
            </w:pPr>
            <w:r>
              <w:rPr>
                <w:sz w:val="17"/>
              </w:rPr>
              <w:t xml:space="preserve">Dossiers ouverts/clos ; délais</w:t>
            </w:r>
          </w:p>
        </w:tc>
        <w:tc>
          <w:tcPr>
            <w:shd w:val="clear" w:color="auto" w:fill="F5F7FB"/>
          </w:tcPr>
          <w:p>
            <w:pPr>
              <w:pStyle w:val="Compact"/>
            </w:pPr>
            <w:r>
              <w:rPr>
                <w:sz w:val="17"/>
              </w:rPr>
              <w:t xml:space="preserve">R2 → R3</w:t>
            </w:r>
          </w:p>
        </w:tc>
      </w:tr>
      <w:tr>
        <w:tc>
          <w:tcPr/>
          <w:p>
            <w:pPr>
              <w:pStyle w:val="Compact"/>
            </w:pPr>
            <w:r>
              <w:rPr>
                <w:sz w:val="17"/>
              </w:rPr>
              <w:t xml:space="preserve">37</w:t>
            </w:r>
          </w:p>
        </w:tc>
        <w:tc>
          <w:tcPr/>
          <w:p>
            <w:pPr>
              <w:pStyle w:val="Compact"/>
            </w:pPr>
            <w:r>
              <w:rPr>
                <w:sz w:val="17"/>
              </w:rPr>
              <w:t xml:space="preserve">Réclamations et recours</w:t>
            </w:r>
          </w:p>
        </w:tc>
        <w:tc>
          <w:tcPr/>
          <w:p>
            <w:pPr>
              <w:pStyle w:val="Compact"/>
            </w:pPr>
            <w:r>
              <w:rPr>
                <w:sz w:val="17"/>
              </w:rPr>
              <w:t xml:space="preserve">Droits du contribuable</w:t>
            </w:r>
          </w:p>
        </w:tc>
        <w:tc>
          <w:tcPr/>
          <w:p>
            <w:pPr>
              <w:pStyle w:val="Compact"/>
            </w:pPr>
            <w:r>
              <w:rPr>
                <w:sz w:val="17"/>
              </w:rPr>
              <w:t xml:space="preserve">Contestation typée ; décompte visible ; décision motivée + voie suivante</w:t>
            </w:r>
          </w:p>
        </w:tc>
        <w:tc>
          <w:tcPr/>
          <w:p>
            <w:pPr>
              <w:pStyle w:val="Compact"/>
            </w:pPr>
            <w:r>
              <w:rPr>
                <w:b/>
                <w:bCs/>
                <w:sz w:val="17"/>
              </w:rPr>
              <w:t xml:space="preserve">Décideur distinct du liquidateur</w:t>
            </w:r>
          </w:p>
        </w:tc>
        <w:tc>
          <w:tcPr/>
          <w:p>
            <w:pPr>
              <w:pStyle w:val="Compact"/>
            </w:pPr>
            <w:r>
              <w:rPr>
                <w:sz w:val="17"/>
              </w:rPr>
              <w:t xml:space="preserve">Recours dans le délai ; erreurs confirmées</w:t>
            </w:r>
          </w:p>
        </w:tc>
        <w:tc>
          <w:tcPr/>
          <w:p>
            <w:pPr>
              <w:pStyle w:val="Compact"/>
            </w:pPr>
            <w:r>
              <w:rPr>
                <w:sz w:val="17"/>
              </w:rPr>
              <w:t xml:space="preserve">R2 → R1</w:t>
            </w:r>
          </w:p>
        </w:tc>
      </w:tr>
      <w:tr>
        <w:tc>
          <w:tcPr>
            <w:shd w:val="clear" w:color="auto" w:fill="F5F7FB"/>
          </w:tcPr>
          <w:p>
            <w:pPr>
              <w:pStyle w:val="Compact"/>
            </w:pPr>
            <w:r>
              <w:rPr>
                <w:sz w:val="17"/>
              </w:rPr>
              <w:t xml:space="preserve">38</w:t>
            </w:r>
          </w:p>
        </w:tc>
        <w:tc>
          <w:tcPr>
            <w:shd w:val="clear" w:color="auto" w:fill="F5F7FB"/>
          </w:tcPr>
          <w:p>
            <w:pPr>
              <w:pStyle w:val="Compact"/>
            </w:pPr>
            <w:r>
              <w:rPr>
                <w:sz w:val="17"/>
              </w:rPr>
              <w:t xml:space="preserve">Gestion documentaire</w:t>
            </w:r>
          </w:p>
        </w:tc>
        <w:tc>
          <w:tcPr>
            <w:shd w:val="clear" w:color="auto" w:fill="F5F7FB"/>
          </w:tcPr>
          <w:p>
            <w:pPr>
              <w:pStyle w:val="Compact"/>
            </w:pPr>
            <w:r>
              <w:rPr>
                <w:sz w:val="17"/>
              </w:rPr>
              <w:t xml:space="preserve">Pièces scellées</w:t>
            </w:r>
          </w:p>
        </w:tc>
        <w:tc>
          <w:tcPr>
            <w:shd w:val="clear" w:color="auto" w:fill="F5F7FB"/>
          </w:tcPr>
          <w:p>
            <w:pPr>
              <w:pStyle w:val="Compact"/>
            </w:pPr>
            <w:r>
              <w:rPr>
                <w:sz w:val="17"/>
              </w:rPr>
              <w:t xml:space="preserve">Stockage chiffré (versions, empreintes) ; OCR ; classification ; conservation par catégorie</w:t>
            </w:r>
          </w:p>
        </w:tc>
        <w:tc>
          <w:tcPr>
            <w:shd w:val="clear" w:color="auto" w:fill="F5F7FB"/>
          </w:tcPr>
          <w:p>
            <w:pPr>
              <w:pStyle w:val="Compact"/>
            </w:pPr>
            <w:r>
              <w:rPr>
                <w:sz w:val="17"/>
              </w:rPr>
              <w:t xml:space="preserve">Exports filigranés et expirables ; purge sauf preuves d’audit</w:t>
            </w:r>
          </w:p>
        </w:tc>
        <w:tc>
          <w:tcPr>
            <w:shd w:val="clear" w:color="auto" w:fill="F5F7FB"/>
          </w:tcPr>
          <w:p>
            <w:pPr>
              <w:pStyle w:val="Compact"/>
            </w:pPr>
            <w:r>
              <w:rPr>
                <w:sz w:val="17"/>
              </w:rPr>
              <w:t xml:space="preserve">Volume ; intégrité vérifiée</w:t>
            </w:r>
          </w:p>
        </w:tc>
        <w:tc>
          <w:tcPr>
            <w:shd w:val="clear" w:color="auto" w:fill="F5F7FB"/>
          </w:tcPr>
          <w:p>
            <w:pPr>
              <w:pStyle w:val="Compact"/>
            </w:pPr>
            <w:r>
              <w:rPr>
                <w:sz w:val="17"/>
              </w:rPr>
              <w:t xml:space="preserve">R1 → R1</w:t>
            </w:r>
          </w:p>
        </w:tc>
      </w:tr>
      <w:tr>
        <w:tc>
          <w:tcPr/>
          <w:p>
            <w:pPr>
              <w:pStyle w:val="Compact"/>
            </w:pPr>
            <w:r>
              <w:rPr>
                <w:sz w:val="17"/>
              </w:rPr>
              <w:t xml:space="preserve">39</w:t>
            </w:r>
          </w:p>
        </w:tc>
        <w:tc>
          <w:tcPr/>
          <w:p>
            <w:pPr>
              <w:pStyle w:val="Compact"/>
            </w:pPr>
            <w:r>
              <w:rPr>
                <w:sz w:val="17"/>
              </w:rPr>
              <w:t xml:space="preserve">Notifications et communication</w:t>
            </w:r>
          </w:p>
        </w:tc>
        <w:tc>
          <w:tcPr/>
          <w:p>
            <w:pPr>
              <w:pStyle w:val="Compact"/>
            </w:pPr>
            <w:r>
              <w:rPr>
                <w:sz w:val="17"/>
              </w:rPr>
              <w:t xml:space="preserve">Moteur événementiel multicanal</w:t>
            </w:r>
          </w:p>
        </w:tc>
        <w:tc>
          <w:tcPr/>
          <w:p>
            <w:pPr>
              <w:pStyle w:val="Compact"/>
            </w:pPr>
            <w:r>
              <w:rPr>
                <w:sz w:val="17"/>
              </w:rPr>
              <w:t xml:space="preserve">§ 11.4 : 255 événements ; modèles versionnés ; préférences ; preuve de remise ;</w:t>
            </w:r>
            <w:r>
              <w:rPr>
                <w:sz w:val="17"/>
              </w:rPr>
              <w:t xml:space="preserve"> </w:t>
            </w:r>
            <w:r>
              <w:rPr>
                <w:b/>
                <w:bCs/>
                <w:sz w:val="17"/>
              </w:rPr>
              <w:t xml:space="preserve">réessai sur canal de secours</w:t>
            </w:r>
            <w:r>
              <w:rPr>
                <w:sz w:val="17"/>
              </w:rPr>
              <w:t xml:space="preserve"> </w:t>
            </w:r>
            <w:r>
              <w:rPr>
                <w:sz w:val="17"/>
              </w:rPr>
              <w:t xml:space="preserve">; avis apposé sur la plaque</w:t>
            </w:r>
          </w:p>
        </w:tc>
        <w:tc>
          <w:tcPr/>
          <w:p>
            <w:pPr>
              <w:pStyle w:val="Compact"/>
            </w:pPr>
            <w:r>
              <w:rPr>
                <w:sz w:val="17"/>
              </w:rPr>
              <w:t xml:space="preserve">Messages minimaux ; avis légaux seulement si autorisés ; WhatsApp sur consentement</w:t>
            </w:r>
          </w:p>
        </w:tc>
        <w:tc>
          <w:tcPr/>
          <w:p>
            <w:pPr>
              <w:pStyle w:val="Compact"/>
            </w:pPr>
            <w:r>
              <w:rPr>
                <w:sz w:val="17"/>
              </w:rPr>
              <w:t xml:space="preserve">Délivrance ; délai ; ouverture</w:t>
            </w:r>
          </w:p>
        </w:tc>
        <w:tc>
          <w:tcPr/>
          <w:p>
            <w:pPr>
              <w:pStyle w:val="Compact"/>
            </w:pPr>
            <w:r>
              <w:rPr>
                <w:sz w:val="17"/>
              </w:rPr>
              <w:t xml:space="preserve">R1 → R1</w:t>
            </w:r>
          </w:p>
        </w:tc>
      </w:tr>
      <w:tr>
        <w:tc>
          <w:tcPr>
            <w:shd w:val="clear" w:color="auto" w:fill="F5F7FB"/>
          </w:tcPr>
          <w:p>
            <w:pPr>
              <w:pStyle w:val="Compact"/>
            </w:pPr>
            <w:r>
              <w:rPr>
                <w:sz w:val="17"/>
              </w:rPr>
              <w:t xml:space="preserve">40</w:t>
            </w:r>
          </w:p>
        </w:tc>
        <w:tc>
          <w:tcPr>
            <w:shd w:val="clear" w:color="auto" w:fill="F5F7FB"/>
          </w:tcPr>
          <w:p>
            <w:pPr>
              <w:pStyle w:val="Compact"/>
            </w:pPr>
            <w:r>
              <w:rPr>
                <w:sz w:val="17"/>
              </w:rPr>
              <w:t xml:space="preserve">Renseignement anti-fraude</w:t>
            </w:r>
          </w:p>
        </w:tc>
        <w:tc>
          <w:tcPr>
            <w:shd w:val="clear" w:color="auto" w:fill="F5F7FB"/>
          </w:tcPr>
          <w:p>
            <w:pPr>
              <w:pStyle w:val="Compact"/>
            </w:pPr>
            <w:r>
              <w:rPr>
                <w:sz w:val="17"/>
              </w:rPr>
              <w:t xml:space="preserve">Détecter, instruire, prouver</w:t>
            </w:r>
          </w:p>
        </w:tc>
        <w:tc>
          <w:tcPr>
            <w:shd w:val="clear" w:color="auto" w:fill="F5F7FB"/>
          </w:tcPr>
          <w:p>
            <w:pPr>
              <w:pStyle w:val="Compact"/>
            </w:pPr>
            <w:r>
              <w:rPr>
                <w:sz w:val="17"/>
              </w:rPr>
              <w:t xml:space="preserve">Signaux ; dossiers d’enquête ; scores explicables ; signalements (69) ; suspension conservatoire d’un accès technique</w:t>
            </w:r>
            <w:r>
              <w:rPr>
                <w:sz w:val="17"/>
              </w:rPr>
              <w:t xml:space="preserve"> </w:t>
            </w:r>
            <w:r>
              <w:rPr>
                <w:b/>
                <w:bCs/>
                <w:sz w:val="17"/>
              </w:rPr>
              <w:t xml:space="preserve">sur décision motivée</w:t>
            </w:r>
          </w:p>
        </w:tc>
        <w:tc>
          <w:tcPr>
            <w:shd w:val="clear" w:color="auto" w:fill="F5F7FB"/>
          </w:tcPr>
          <w:p>
            <w:pPr>
              <w:pStyle w:val="Compact"/>
            </w:pPr>
            <w:r>
              <w:rPr>
                <w:sz w:val="17"/>
              </w:rPr>
              <w:t xml:space="preserve">Clôture d’alerte par un responsable distinct de l’enquêteur</w:t>
            </w:r>
          </w:p>
        </w:tc>
        <w:tc>
          <w:tcPr>
            <w:shd w:val="clear" w:color="auto" w:fill="F5F7FB"/>
          </w:tcPr>
          <w:p>
            <w:pPr>
              <w:pStyle w:val="Compact"/>
            </w:pPr>
            <w:r>
              <w:rPr>
                <w:sz w:val="17"/>
              </w:rPr>
              <w:t xml:space="preserve">Alertes ouvertes/résolues ; délai ; déperdition évitée</w:t>
            </w:r>
          </w:p>
        </w:tc>
        <w:tc>
          <w:tcPr>
            <w:shd w:val="clear" w:color="auto" w:fill="F5F7FB"/>
          </w:tcPr>
          <w:p>
            <w:pPr>
              <w:pStyle w:val="Compact"/>
            </w:pPr>
            <w:r>
              <w:rPr>
                <w:sz w:val="17"/>
              </w:rPr>
              <w:t xml:space="preserve">R2–R3 → R2</w:t>
            </w:r>
          </w:p>
        </w:tc>
      </w:tr>
      <w:tr>
        <w:tc>
          <w:tcPr/>
          <w:p>
            <w:pPr>
              <w:pStyle w:val="Compact"/>
            </w:pPr>
            <w:r>
              <w:rPr>
                <w:sz w:val="17"/>
              </w:rPr>
              <w:t xml:space="preserve">41</w:t>
            </w:r>
          </w:p>
        </w:tc>
        <w:tc>
          <w:tcPr/>
          <w:p>
            <w:pPr>
              <w:pStyle w:val="Compact"/>
            </w:pPr>
            <w:r>
              <w:rPr>
                <w:sz w:val="17"/>
              </w:rPr>
              <w:t xml:space="preserve">Centre de commandement</w:t>
            </w:r>
          </w:p>
        </w:tc>
        <w:tc>
          <w:tcPr/>
          <w:p>
            <w:pPr>
              <w:pStyle w:val="Compact"/>
            </w:pPr>
            <w:r>
              <w:rPr>
                <w:sz w:val="17"/>
              </w:rPr>
              <w:t xml:space="preserve">Vision exécutive</w:t>
            </w:r>
          </w:p>
        </w:tc>
        <w:tc>
          <w:tcPr/>
          <w:p>
            <w:pPr>
              <w:pStyle w:val="Compact"/>
            </w:pPr>
            <w:r>
              <w:rPr>
                <w:sz w:val="17"/>
              </w:rPr>
              <w:t xml:space="preserve">Échelle des 11 niveaux ; carte de chaleur ; alertes ; décisions tracées ; export signé</w:t>
            </w:r>
          </w:p>
        </w:tc>
        <w:tc>
          <w:tcPr/>
          <w:p>
            <w:pPr>
              <w:pStyle w:val="Compact"/>
            </w:pPr>
            <w:r>
              <w:rPr>
                <w:sz w:val="17"/>
              </w:rPr>
              <w:t xml:space="preserve">Aucune capacité d’édition financière</w:t>
            </w:r>
          </w:p>
        </w:tc>
        <w:tc>
          <w:tcPr/>
          <w:p>
            <w:pPr>
              <w:pStyle w:val="Compact"/>
            </w:pPr>
            <w:r>
              <w:rPr>
                <w:sz w:val="17"/>
              </w:rPr>
              <w:t xml:space="preserve">Écart assignation/rapproché ; couverture ; alertes critiques</w:t>
            </w:r>
          </w:p>
        </w:tc>
        <w:tc>
          <w:tcPr/>
          <w:p>
            <w:pPr>
              <w:pStyle w:val="Compact"/>
            </w:pPr>
            <w:r>
              <w:rPr>
                <w:sz w:val="17"/>
              </w:rPr>
              <w:t xml:space="preserve">R2 → R1</w:t>
            </w:r>
          </w:p>
        </w:tc>
      </w:tr>
      <w:tr>
        <w:tc>
          <w:tcPr>
            <w:shd w:val="clear" w:color="auto" w:fill="F5F7FB"/>
          </w:tcPr>
          <w:p>
            <w:pPr>
              <w:pStyle w:val="Compact"/>
            </w:pPr>
            <w:r>
              <w:rPr>
                <w:sz w:val="17"/>
              </w:rPr>
              <w:t xml:space="preserve">42</w:t>
            </w:r>
          </w:p>
        </w:tc>
        <w:tc>
          <w:tcPr>
            <w:shd w:val="clear" w:color="auto" w:fill="F5F7FB"/>
          </w:tcPr>
          <w:p>
            <w:pPr>
              <w:pStyle w:val="Compact"/>
            </w:pPr>
            <w:r>
              <w:rPr>
                <w:sz w:val="17"/>
              </w:rPr>
              <w:t xml:space="preserve">Tableau de bord DGIPK (régie fiscale)</w:t>
            </w:r>
          </w:p>
        </w:tc>
        <w:tc>
          <w:tcPr>
            <w:shd w:val="clear" w:color="auto" w:fill="F5F7FB"/>
          </w:tcPr>
          <w:p>
            <w:pPr>
              <w:pStyle w:val="Compact"/>
            </w:pPr>
            <w:r>
              <w:rPr>
                <w:sz w:val="17"/>
              </w:rPr>
              <w:t xml:space="preserve">Pilotage de la régie des impôts</w:t>
            </w:r>
          </w:p>
        </w:tc>
        <w:tc>
          <w:tcPr>
            <w:shd w:val="clear" w:color="auto" w:fill="F5F7FB"/>
          </w:tcPr>
          <w:p>
            <w:pPr>
              <w:pStyle w:val="Compact"/>
            </w:pPr>
            <w:r>
              <w:rPr>
                <w:sz w:val="17"/>
              </w:rPr>
              <w:t xml:space="preserve">Assiette, liquidation, recouvrement, contentieux, performance ; affectation des zones ; validation des campagnes</w:t>
            </w:r>
          </w:p>
        </w:tc>
        <w:tc>
          <w:tcPr>
            <w:shd w:val="clear" w:color="auto" w:fill="F5F7FB"/>
          </w:tcPr>
          <w:p>
            <w:pPr>
              <w:pStyle w:val="Compact"/>
            </w:pPr>
            <w:r>
              <w:rPr>
                <w:sz w:val="17"/>
              </w:rPr>
              <w:t xml:space="preserve">Périmètre de compétence</w:t>
            </w:r>
          </w:p>
        </w:tc>
        <w:tc>
          <w:tcPr>
            <w:shd w:val="clear" w:color="auto" w:fill="F5F7FB"/>
          </w:tcPr>
          <w:p>
            <w:pPr>
              <w:pStyle w:val="Compact"/>
            </w:pPr>
            <w:r>
              <w:rPr>
                <w:sz w:val="17"/>
              </w:rPr>
              <w:t xml:space="preserve">Recouvrement ; délai de contentieux</w:t>
            </w:r>
          </w:p>
        </w:tc>
        <w:tc>
          <w:tcPr>
            <w:shd w:val="clear" w:color="auto" w:fill="F5F7FB"/>
          </w:tcPr>
          <w:p>
            <w:pPr>
              <w:pStyle w:val="Compact"/>
            </w:pPr>
            <w:r>
              <w:rPr>
                <w:sz w:val="17"/>
              </w:rPr>
              <w:t xml:space="preserve">R2 → R1</w:t>
            </w:r>
          </w:p>
        </w:tc>
      </w:tr>
      <w:tr>
        <w:tc>
          <w:tcPr/>
          <w:p>
            <w:pPr>
              <w:pStyle w:val="Compact"/>
            </w:pPr>
            <w:r>
              <w:rPr>
                <w:sz w:val="17"/>
              </w:rPr>
              <w:t xml:space="preserve">43</w:t>
            </w:r>
          </w:p>
        </w:tc>
        <w:tc>
          <w:tcPr/>
          <w:p>
            <w:pPr>
              <w:pStyle w:val="Compact"/>
            </w:pPr>
            <w:r>
              <w:rPr>
                <w:sz w:val="17"/>
              </w:rPr>
              <w:t xml:space="preserve">Tableau de bord DGTK (régie des taxes)</w:t>
            </w:r>
          </w:p>
        </w:tc>
        <w:tc>
          <w:tcPr/>
          <w:p>
            <w:pPr>
              <w:pStyle w:val="Compact"/>
            </w:pPr>
            <w:r>
              <w:rPr>
                <w:sz w:val="17"/>
              </w:rPr>
              <w:t xml:space="preserve">Pilotage des droits, taxes, redevances</w:t>
            </w:r>
          </w:p>
        </w:tc>
        <w:tc>
          <w:tcPr/>
          <w:p>
            <w:pPr>
              <w:pStyle w:val="Compact"/>
            </w:pPr>
            <w:r>
              <w:rPr>
                <w:sz w:val="17"/>
              </w:rPr>
              <w:t xml:space="preserve">Recettes par taxe ; autorisations et échéances ; résultats des contrôles</w:t>
            </w:r>
          </w:p>
        </w:tc>
        <w:tc>
          <w:tcPr/>
          <w:p>
            <w:pPr>
              <w:pStyle w:val="Compact"/>
            </w:pPr>
            <w:r>
              <w:rPr>
                <w:sz w:val="17"/>
              </w:rPr>
              <w:t xml:space="preserve">Périmètre de compétence</w:t>
            </w:r>
          </w:p>
        </w:tc>
        <w:tc>
          <w:tcPr/>
          <w:p>
            <w:pPr>
              <w:pStyle w:val="Compact"/>
            </w:pPr>
            <w:r>
              <w:rPr>
                <w:sz w:val="17"/>
              </w:rPr>
              <w:t xml:space="preserve">Recettes par taxe ; renouvellements</w:t>
            </w:r>
          </w:p>
        </w:tc>
        <w:tc>
          <w:tcPr/>
          <w:p>
            <w:pPr>
              <w:pStyle w:val="Compact"/>
            </w:pPr>
            <w:r>
              <w:rPr>
                <w:sz w:val="17"/>
              </w:rPr>
              <w:t xml:space="preserve">R2 → R1</w:t>
            </w:r>
          </w:p>
        </w:tc>
      </w:tr>
      <w:tr>
        <w:tc>
          <w:tcPr>
            <w:shd w:val="clear" w:color="auto" w:fill="F5F7FB"/>
          </w:tcPr>
          <w:p>
            <w:pPr>
              <w:pStyle w:val="Compact"/>
            </w:pPr>
            <w:r>
              <w:rPr>
                <w:sz w:val="17"/>
              </w:rPr>
              <w:t xml:space="preserve">44</w:t>
            </w:r>
          </w:p>
        </w:tc>
        <w:tc>
          <w:tcPr>
            <w:shd w:val="clear" w:color="auto" w:fill="F5F7FB"/>
          </w:tcPr>
          <w:p>
            <w:pPr>
              <w:pStyle w:val="Compact"/>
            </w:pPr>
            <w:r>
              <w:rPr>
                <w:sz w:val="17"/>
              </w:rPr>
              <w:t xml:space="preserve">Tableaux ministériels</w:t>
            </w:r>
          </w:p>
        </w:tc>
        <w:tc>
          <w:tcPr>
            <w:shd w:val="clear" w:color="auto" w:fill="F5F7FB"/>
          </w:tcPr>
          <w:p>
            <w:pPr>
              <w:pStyle w:val="Compact"/>
            </w:pPr>
            <w:r>
              <w:rPr>
                <w:sz w:val="17"/>
              </w:rPr>
              <w:t xml:space="preserve">Pilotage sectoriel</w:t>
            </w:r>
          </w:p>
        </w:tc>
        <w:tc>
          <w:tcPr>
            <w:shd w:val="clear" w:color="auto" w:fill="F5F7FB"/>
          </w:tcPr>
          <w:p>
            <w:pPr>
              <w:pStyle w:val="Compact"/>
            </w:pPr>
            <w:r>
              <w:rPr>
                <w:sz w:val="17"/>
              </w:rPr>
              <w:t xml:space="preserve">Modules rattachés ; recettes du périmètre ; performance par module</w:t>
            </w:r>
          </w:p>
        </w:tc>
        <w:tc>
          <w:tcPr>
            <w:shd w:val="clear" w:color="auto" w:fill="F5F7FB"/>
          </w:tcPr>
          <w:p>
            <w:pPr>
              <w:pStyle w:val="Compact"/>
            </w:pPr>
            <w:r>
              <w:rPr>
                <w:sz w:val="17"/>
              </w:rPr>
              <w:t xml:space="preserve">Aucune donnée hors compétence ;</w:t>
            </w:r>
            <w:r>
              <w:rPr>
                <w:sz w:val="17"/>
              </w:rPr>
              <w:t xml:space="preserve"> </w:t>
            </w:r>
            <w:r>
              <w:rPr>
                <w:b/>
                <w:bCs/>
                <w:sz w:val="17"/>
              </w:rPr>
              <w:t xml:space="preserve">aucune « part de 10 % »</w:t>
            </w:r>
            <w:r>
              <w:rPr>
                <w:sz w:val="17"/>
              </w:rPr>
              <w:t xml:space="preserve"> </w:t>
            </w:r>
            <w:r>
              <w:rPr>
                <w:sz w:val="17"/>
              </w:rPr>
              <w:t xml:space="preserve">(ARB-05)</w:t>
            </w:r>
          </w:p>
        </w:tc>
        <w:tc>
          <w:tcPr>
            <w:shd w:val="clear" w:color="auto" w:fill="F5F7FB"/>
          </w:tcPr>
          <w:p>
            <w:pPr>
              <w:pStyle w:val="Compact"/>
            </w:pPr>
            <w:r>
              <w:rPr>
                <w:sz w:val="17"/>
              </w:rPr>
              <w:t xml:space="preserve">Recettes par module ; délais</w:t>
            </w:r>
          </w:p>
        </w:tc>
        <w:tc>
          <w:tcPr>
            <w:shd w:val="clear" w:color="auto" w:fill="F5F7FB"/>
          </w:tcPr>
          <w:p>
            <w:pPr>
              <w:pStyle w:val="Compact"/>
            </w:pPr>
            <w:r>
              <w:rPr>
                <w:sz w:val="17"/>
              </w:rPr>
              <w:t xml:space="preserve">R2 → R2</w:t>
            </w:r>
          </w:p>
        </w:tc>
      </w:tr>
      <w:tr>
        <w:tc>
          <w:tcPr/>
          <w:p>
            <w:pPr>
              <w:pStyle w:val="Compact"/>
            </w:pPr>
            <w:r>
              <w:rPr>
                <w:sz w:val="17"/>
              </w:rPr>
              <w:t xml:space="preserve">45</w:t>
            </w:r>
          </w:p>
        </w:tc>
        <w:tc>
          <w:tcPr/>
          <w:p>
            <w:pPr>
              <w:pStyle w:val="Compact"/>
            </w:pPr>
            <w:r>
              <w:rPr>
                <w:sz w:val="17"/>
              </w:rPr>
              <w:t xml:space="preserve">Salle de contrôle financière</w:t>
            </w:r>
          </w:p>
        </w:tc>
        <w:tc>
          <w:tcPr/>
          <w:p>
            <w:pPr>
              <w:pStyle w:val="Compact"/>
            </w:pPr>
            <w:r>
              <w:rPr>
                <w:sz w:val="17"/>
              </w:rPr>
              <w:t xml:space="preserve">Surveillance de la trésorerie</w:t>
            </w:r>
          </w:p>
        </w:tc>
        <w:tc>
          <w:tcPr/>
          <w:p>
            <w:pPr>
              <w:pStyle w:val="Compact"/>
            </w:pPr>
            <w:r>
              <w:rPr>
                <w:sz w:val="17"/>
              </w:rPr>
              <w:t xml:space="preserve">Règlements, exceptions, incidents, changements de paramètres sensibles</w:t>
            </w:r>
          </w:p>
        </w:tc>
        <w:tc>
          <w:tcPr/>
          <w:p>
            <w:pPr>
              <w:pStyle w:val="Compact"/>
            </w:pPr>
            <w:r>
              <w:rPr>
                <w:sz w:val="17"/>
              </w:rPr>
              <w:t xml:space="preserve">Aucune correction silencieuse ; escalade hors délai</w:t>
            </w:r>
          </w:p>
        </w:tc>
        <w:tc>
          <w:tcPr/>
          <w:p>
            <w:pPr>
              <w:pStyle w:val="Compact"/>
            </w:pPr>
            <w:r>
              <w:rPr>
                <w:sz w:val="17"/>
              </w:rPr>
              <w:t xml:space="preserve">Exceptions ouvertes ; délai de clôture</w:t>
            </w:r>
          </w:p>
        </w:tc>
        <w:tc>
          <w:tcPr/>
          <w:p>
            <w:pPr>
              <w:pStyle w:val="Compact"/>
            </w:pPr>
            <w:r>
              <w:rPr>
                <w:sz w:val="17"/>
              </w:rPr>
              <w:t xml:space="preserve">R1–R2 → R1</w:t>
            </w:r>
          </w:p>
        </w:tc>
      </w:tr>
      <w:tr>
        <w:tc>
          <w:tcPr>
            <w:shd w:val="clear" w:color="auto" w:fill="F5F7FB"/>
          </w:tcPr>
          <w:p>
            <w:pPr>
              <w:pStyle w:val="Compact"/>
            </w:pPr>
            <w:r>
              <w:rPr>
                <w:sz w:val="17"/>
              </w:rPr>
              <w:t xml:space="preserve">46</w:t>
            </w:r>
          </w:p>
        </w:tc>
        <w:tc>
          <w:tcPr>
            <w:shd w:val="clear" w:color="auto" w:fill="F5F7FB"/>
          </w:tcPr>
          <w:p>
            <w:pPr>
              <w:pStyle w:val="Compact"/>
            </w:pPr>
            <w:r>
              <w:rPr>
                <w:sz w:val="17"/>
              </w:rPr>
              <w:t xml:space="preserve">Audit et investigation</w:t>
            </w:r>
          </w:p>
        </w:tc>
        <w:tc>
          <w:tcPr>
            <w:shd w:val="clear" w:color="auto" w:fill="F5F7FB"/>
          </w:tcPr>
          <w:p>
            <w:pPr>
              <w:pStyle w:val="Compact"/>
            </w:pPr>
            <w:r>
              <w:rPr>
                <w:sz w:val="17"/>
              </w:rPr>
              <w:t xml:space="preserve">Preuve opposable</w:t>
            </w:r>
          </w:p>
        </w:tc>
        <w:tc>
          <w:tcPr>
            <w:shd w:val="clear" w:color="auto" w:fill="F5F7FB"/>
          </w:tcPr>
          <w:p>
            <w:pPr>
              <w:pStyle w:val="Compact"/>
            </w:pPr>
            <w:r>
              <w:rPr>
                <w:sz w:val="17"/>
              </w:rPr>
              <w:t xml:space="preserve">Lecture intégrale ; échantillonnage ; export scellé avec chaîne de possession ; vérification de la racine quotidienne</w:t>
            </w:r>
          </w:p>
        </w:tc>
        <w:tc>
          <w:tcPr>
            <w:shd w:val="clear" w:color="auto" w:fill="F5F7FB"/>
          </w:tcPr>
          <w:p>
            <w:pPr>
              <w:pStyle w:val="Compact"/>
            </w:pPr>
            <w:r>
              <w:rPr>
                <w:sz w:val="17"/>
              </w:rPr>
              <w:t xml:space="preserve">Aucune modification possible</w:t>
            </w:r>
          </w:p>
        </w:tc>
        <w:tc>
          <w:tcPr>
            <w:shd w:val="clear" w:color="auto" w:fill="F5F7FB"/>
          </w:tcPr>
          <w:p>
            <w:pPr>
              <w:pStyle w:val="Compact"/>
            </w:pPr>
            <w:r>
              <w:rPr>
                <w:sz w:val="17"/>
              </w:rPr>
              <w:t xml:space="preserve">Missions ; constats ; recommandations suivies</w:t>
            </w:r>
          </w:p>
        </w:tc>
        <w:tc>
          <w:tcPr>
            <w:shd w:val="clear" w:color="auto" w:fill="F5F7FB"/>
          </w:tcPr>
          <w:p>
            <w:pPr>
              <w:pStyle w:val="Compact"/>
            </w:pPr>
            <w:r>
              <w:rPr>
                <w:sz w:val="17"/>
              </w:rPr>
              <w:t xml:space="preserve">R1 → R1</w:t>
            </w:r>
          </w:p>
        </w:tc>
      </w:tr>
      <w:tr>
        <w:tc>
          <w:tcPr/>
          <w:p>
            <w:pPr>
              <w:pStyle w:val="Compact"/>
            </w:pPr>
            <w:r>
              <w:rPr>
                <w:sz w:val="17"/>
              </w:rPr>
              <w:t xml:space="preserve">47</w:t>
            </w:r>
          </w:p>
        </w:tc>
        <w:tc>
          <w:tcPr/>
          <w:p>
            <w:pPr>
              <w:pStyle w:val="Compact"/>
            </w:pPr>
            <w:r>
              <w:rPr>
                <w:sz w:val="17"/>
              </w:rPr>
              <w:t xml:space="preserve">Prévision des recettes</w:t>
            </w:r>
          </w:p>
        </w:tc>
        <w:tc>
          <w:tcPr/>
          <w:p>
            <w:pPr>
              <w:pStyle w:val="Compact"/>
            </w:pPr>
            <w:r>
              <w:rPr>
                <w:sz w:val="17"/>
              </w:rPr>
              <w:t xml:space="preserve">Scénarios</w:t>
            </w:r>
          </w:p>
        </w:tc>
        <w:tc>
          <w:tcPr/>
          <w:p>
            <w:pPr>
              <w:pStyle w:val="Compact"/>
            </w:pPr>
            <w:r>
              <w:rPr>
                <w:sz w:val="17"/>
              </w:rPr>
              <w:t xml:space="preserve">Trois scénarios ; sensibilité ; prévision hebdomadaire de trésorerie par catégorie et commune</w:t>
            </w:r>
          </w:p>
        </w:tc>
        <w:tc>
          <w:tcPr/>
          <w:p>
            <w:pPr>
              <w:pStyle w:val="Compact"/>
            </w:pPr>
            <w:r>
              <w:rPr>
                <w:sz w:val="17"/>
              </w:rPr>
              <w:t xml:space="preserve">Hypothèses jointes ; ne fixe pas d’assignation</w:t>
            </w:r>
          </w:p>
        </w:tc>
        <w:tc>
          <w:tcPr/>
          <w:p>
            <w:pPr>
              <w:pStyle w:val="Compact"/>
            </w:pPr>
            <w:r>
              <w:rPr>
                <w:sz w:val="17"/>
              </w:rPr>
              <w:t xml:space="preserve">Écart prévision/réalisé</w:t>
            </w:r>
          </w:p>
        </w:tc>
        <w:tc>
          <w:tcPr/>
          <w:p>
            <w:pPr>
              <w:pStyle w:val="Compact"/>
            </w:pPr>
            <w:r>
              <w:rPr>
                <w:sz w:val="17"/>
              </w:rPr>
              <w:t xml:space="preserve">R3 → R2</w:t>
            </w:r>
          </w:p>
        </w:tc>
      </w:tr>
      <w:tr>
        <w:tc>
          <w:tcPr>
            <w:shd w:val="clear" w:color="auto" w:fill="F5F7FB"/>
          </w:tcPr>
          <w:p>
            <w:pPr>
              <w:pStyle w:val="Compact"/>
            </w:pPr>
            <w:r>
              <w:rPr>
                <w:sz w:val="17"/>
              </w:rPr>
              <w:t xml:space="preserve">48</w:t>
            </w:r>
          </w:p>
        </w:tc>
        <w:tc>
          <w:tcPr>
            <w:shd w:val="clear" w:color="auto" w:fill="F5F7FB"/>
          </w:tcPr>
          <w:p>
            <w:pPr>
              <w:pStyle w:val="Compact"/>
            </w:pPr>
            <w:r>
              <w:rPr>
                <w:sz w:val="17"/>
              </w:rPr>
              <w:t xml:space="preserve">Recommandation d’investissement</w:t>
            </w:r>
          </w:p>
        </w:tc>
        <w:tc>
          <w:tcPr>
            <w:shd w:val="clear" w:color="auto" w:fill="F5F7FB"/>
          </w:tcPr>
          <w:p>
            <w:pPr>
              <w:pStyle w:val="Compact"/>
            </w:pPr>
            <w:r>
              <w:rPr>
                <w:sz w:val="17"/>
              </w:rPr>
              <w:t xml:space="preserve">Scénarios d’emploi des fonds</w:t>
            </w:r>
          </w:p>
        </w:tc>
        <w:tc>
          <w:tcPr>
            <w:shd w:val="clear" w:color="auto" w:fill="F5F7FB"/>
          </w:tcPr>
          <w:p>
            <w:pPr>
              <w:pStyle w:val="Compact"/>
            </w:pPr>
            <w:r>
              <w:rPr>
                <w:sz w:val="17"/>
              </w:rPr>
              <w:t xml:space="preserve">Capacité disponible ; scénarios ; fiches projet</w:t>
            </w:r>
          </w:p>
        </w:tc>
        <w:tc>
          <w:tcPr>
            <w:shd w:val="clear" w:color="auto" w:fill="F5F7FB"/>
          </w:tcPr>
          <w:p>
            <w:pPr>
              <w:pStyle w:val="Compact"/>
            </w:pPr>
            <w:r>
              <w:rPr>
                <w:sz w:val="17"/>
              </w:rPr>
              <w:t xml:space="preserve">L’IA propose, l’autorité décide</w:t>
            </w:r>
          </w:p>
        </w:tc>
        <w:tc>
          <w:tcPr>
            <w:shd w:val="clear" w:color="auto" w:fill="F5F7FB"/>
          </w:tcPr>
          <w:p>
            <w:pPr>
              <w:pStyle w:val="Compact"/>
            </w:pPr>
            <w:r>
              <w:rPr>
                <w:sz w:val="17"/>
              </w:rPr>
              <w:t xml:space="preserve">Scénarios produits/retenus</w:t>
            </w:r>
          </w:p>
        </w:tc>
        <w:tc>
          <w:tcPr>
            <w:shd w:val="clear" w:color="auto" w:fill="F5F7FB"/>
          </w:tcPr>
          <w:p>
            <w:pPr>
              <w:pStyle w:val="Compact"/>
            </w:pPr>
            <w:r>
              <w:rPr>
                <w:sz w:val="17"/>
              </w:rPr>
              <w:t xml:space="preserve">R3–R4 → R3</w:t>
            </w:r>
          </w:p>
        </w:tc>
      </w:tr>
      <w:tr>
        <w:tc>
          <w:tcPr/>
          <w:p>
            <w:pPr>
              <w:pStyle w:val="Compact"/>
            </w:pPr>
            <w:r>
              <w:rPr>
                <w:sz w:val="17"/>
              </w:rPr>
              <w:t xml:space="preserve">49</w:t>
            </w:r>
          </w:p>
        </w:tc>
        <w:tc>
          <w:tcPr/>
          <w:p>
            <w:pPr>
              <w:pStyle w:val="Compact"/>
            </w:pPr>
            <w:r>
              <w:rPr>
                <w:sz w:val="17"/>
              </w:rPr>
              <w:t xml:space="preserve">Gestion des agents d’IA</w:t>
            </w:r>
          </w:p>
        </w:tc>
        <w:tc>
          <w:tcPr/>
          <w:p>
            <w:pPr>
              <w:pStyle w:val="Compact"/>
            </w:pPr>
            <w:r>
              <w:rPr>
                <w:sz w:val="17"/>
              </w:rPr>
              <w:t xml:space="preserve">Gouvernance des modèles</w:t>
            </w:r>
          </w:p>
        </w:tc>
        <w:tc>
          <w:tcPr/>
          <w:p>
            <w:pPr>
              <w:pStyle w:val="Compact"/>
            </w:pPr>
            <w:r>
              <w:rPr>
                <w:sz w:val="17"/>
              </w:rPr>
              <w:t xml:space="preserve">Registre ; évaluations ; coupe-circuit ; journal des décisions assistées</w:t>
            </w:r>
          </w:p>
        </w:tc>
        <w:tc>
          <w:tcPr/>
          <w:p>
            <w:pPr>
              <w:pStyle w:val="Compact"/>
            </w:pPr>
            <w:r>
              <w:rPr>
                <w:sz w:val="17"/>
              </w:rPr>
              <w:t xml:space="preserve">Interdits absolus ; validation avant service ; retour arrière</w:t>
            </w:r>
          </w:p>
        </w:tc>
        <w:tc>
          <w:tcPr/>
          <w:p>
            <w:pPr>
              <w:pStyle w:val="Compact"/>
            </w:pPr>
            <w:r>
              <w:rPr>
                <w:sz w:val="17"/>
              </w:rPr>
              <w:t xml:space="preserve">Dérive ; acceptation</w:t>
            </w:r>
          </w:p>
        </w:tc>
        <w:tc>
          <w:tcPr/>
          <w:p>
            <w:pPr>
              <w:pStyle w:val="Compact"/>
            </w:pPr>
            <w:r>
              <w:rPr>
                <w:sz w:val="17"/>
              </w:rPr>
              <w:t xml:space="preserve">R3 → R2</w:t>
            </w:r>
          </w:p>
        </w:tc>
      </w:tr>
      <w:tr>
        <w:tc>
          <w:tcPr>
            <w:shd w:val="clear" w:color="auto" w:fill="F5F7FB"/>
          </w:tcPr>
          <w:p>
            <w:pPr>
              <w:pStyle w:val="Compact"/>
            </w:pPr>
            <w:r>
              <w:rPr>
                <w:sz w:val="17"/>
              </w:rPr>
              <w:t xml:space="preserve">50</w:t>
            </w:r>
          </w:p>
        </w:tc>
        <w:tc>
          <w:tcPr>
            <w:shd w:val="clear" w:color="auto" w:fill="F5F7FB"/>
          </w:tcPr>
          <w:p>
            <w:pPr>
              <w:pStyle w:val="Compact"/>
            </w:pPr>
            <w:r>
              <w:rPr>
                <w:sz w:val="17"/>
              </w:rPr>
              <w:t xml:space="preserve">Apprentissage et connaissance</w:t>
            </w:r>
          </w:p>
        </w:tc>
        <w:tc>
          <w:tcPr>
            <w:shd w:val="clear" w:color="auto" w:fill="F5F7FB"/>
          </w:tcPr>
          <w:p>
            <w:pPr>
              <w:pStyle w:val="Compact"/>
            </w:pPr>
            <w:r>
              <w:rPr>
                <w:sz w:val="17"/>
              </w:rPr>
              <w:t xml:space="preserve">Former et certifier</w:t>
            </w:r>
          </w:p>
        </w:tc>
        <w:tc>
          <w:tcPr>
            <w:shd w:val="clear" w:color="auto" w:fill="F5F7FB"/>
          </w:tcPr>
          <w:p>
            <w:pPr>
              <w:pStyle w:val="Compact"/>
            </w:pPr>
            <w:r>
              <w:rPr>
                <w:sz w:val="17"/>
              </w:rPr>
              <w:t xml:space="preserve">Micro-apprentissage ; certification et recertification ; base de procédures</w:t>
            </w:r>
          </w:p>
        </w:tc>
        <w:tc>
          <w:tcPr>
            <w:shd w:val="clear" w:color="auto" w:fill="F5F7FB"/>
          </w:tcPr>
          <w:p>
            <w:pPr>
              <w:pStyle w:val="Compact"/>
            </w:pPr>
            <w:r>
              <w:rPr>
                <w:b/>
                <w:bCs/>
                <w:sz w:val="17"/>
              </w:rPr>
              <w:t xml:space="preserve">Bloque l’habilitation d’un agent non certifié</w:t>
            </w:r>
            <w:r>
              <w:rPr>
                <w:sz w:val="17"/>
              </w:rPr>
              <w:t xml:space="preserve"> </w:t>
            </w:r>
            <w:r>
              <w:rPr>
                <w:sz w:val="17"/>
              </w:rPr>
              <w:t xml:space="preserve">; pas de surveillance intrusive</w:t>
            </w:r>
          </w:p>
        </w:tc>
        <w:tc>
          <w:tcPr>
            <w:shd w:val="clear" w:color="auto" w:fill="F5F7FB"/>
          </w:tcPr>
          <w:p>
            <w:pPr>
              <w:pStyle w:val="Compact"/>
            </w:pPr>
            <w:r>
              <w:rPr>
                <w:sz w:val="17"/>
              </w:rPr>
              <w:t xml:space="preserve">Agents certifiés ; réussite</w:t>
            </w:r>
          </w:p>
        </w:tc>
        <w:tc>
          <w:tcPr>
            <w:shd w:val="clear" w:color="auto" w:fill="F5F7FB"/>
          </w:tcPr>
          <w:p>
            <w:pPr>
              <w:pStyle w:val="Compact"/>
            </w:pPr>
            <w:r>
              <w:rPr>
                <w:sz w:val="17"/>
              </w:rPr>
              <w:t xml:space="preserve">R1 → R1</w:t>
            </w:r>
          </w:p>
        </w:tc>
      </w:tr>
      <w:tr>
        <w:tc>
          <w:tcPr/>
          <w:p>
            <w:pPr>
              <w:pStyle w:val="Compact"/>
            </w:pPr>
            <w:r>
              <w:rPr>
                <w:sz w:val="17"/>
              </w:rPr>
              <w:t xml:space="preserve">51</w:t>
            </w:r>
          </w:p>
        </w:tc>
        <w:tc>
          <w:tcPr/>
          <w:p>
            <w:pPr>
              <w:pStyle w:val="Compact"/>
            </w:pPr>
            <w:r>
              <w:rPr>
                <w:sz w:val="17"/>
              </w:rPr>
              <w:t xml:space="preserve">Accès et délégations</w:t>
            </w:r>
          </w:p>
        </w:tc>
        <w:tc>
          <w:tcPr/>
          <w:p>
            <w:pPr>
              <w:pStyle w:val="Compact"/>
            </w:pPr>
            <w:r>
              <w:rPr>
                <w:sz w:val="17"/>
              </w:rPr>
              <w:t xml:space="preserve">Autorisation fine</w:t>
            </w:r>
          </w:p>
        </w:tc>
        <w:tc>
          <w:tcPr/>
          <w:p>
            <w:pPr>
              <w:pStyle w:val="Compact"/>
            </w:pPr>
            <w:r>
              <w:rPr>
                <w:sz w:val="17"/>
              </w:rPr>
              <w:t xml:space="preserve">RBAC + ABAC ; délégations ; JIT ; revues trimestrielles (mensuelles pour les privilégiés) ; conflits d’intérêts</w:t>
            </w:r>
          </w:p>
        </w:tc>
        <w:tc>
          <w:tcPr/>
          <w:p>
            <w:pPr>
              <w:pStyle w:val="Compact"/>
            </w:pPr>
            <w:r>
              <w:rPr>
                <w:sz w:val="17"/>
              </w:rPr>
              <w:t xml:space="preserve">Comptes partagés interdits</w:t>
            </w:r>
          </w:p>
        </w:tc>
        <w:tc>
          <w:tcPr/>
          <w:p>
            <w:pPr>
              <w:pStyle w:val="Compact"/>
            </w:pPr>
            <w:r>
              <w:rPr>
                <w:sz w:val="17"/>
              </w:rPr>
              <w:t xml:space="preserve">Accès revus ; privilèges excessifs</w:t>
            </w:r>
          </w:p>
        </w:tc>
        <w:tc>
          <w:tcPr/>
          <w:p>
            <w:pPr>
              <w:pStyle w:val="Compact"/>
            </w:pPr>
            <w:r>
              <w:rPr>
                <w:sz w:val="17"/>
              </w:rPr>
              <w:t xml:space="preserve">R1 → R1</w:t>
            </w:r>
          </w:p>
        </w:tc>
      </w:tr>
      <w:tr>
        <w:tc>
          <w:tcPr>
            <w:shd w:val="clear" w:color="auto" w:fill="F5F7FB"/>
          </w:tcPr>
          <w:p>
            <w:pPr>
              <w:pStyle w:val="Compact"/>
            </w:pPr>
            <w:r>
              <w:rPr>
                <w:sz w:val="17"/>
              </w:rPr>
              <w:t xml:space="preserve">52</w:t>
            </w:r>
          </w:p>
        </w:tc>
        <w:tc>
          <w:tcPr>
            <w:shd w:val="clear" w:color="auto" w:fill="F5F7FB"/>
          </w:tcPr>
          <w:p>
            <w:pPr>
              <w:pStyle w:val="Compact"/>
            </w:pPr>
            <w:r>
              <w:rPr>
                <w:sz w:val="17"/>
              </w:rPr>
              <w:t xml:space="preserve">Intégration et API</w:t>
            </w:r>
          </w:p>
        </w:tc>
        <w:tc>
          <w:tcPr>
            <w:shd w:val="clear" w:color="auto" w:fill="F5F7FB"/>
          </w:tcPr>
          <w:p>
            <w:pPr>
              <w:pStyle w:val="Compact"/>
            </w:pPr>
            <w:r>
              <w:rPr>
                <w:sz w:val="17"/>
              </w:rPr>
              <w:t xml:space="preserve">Échanges contractualisés</w:t>
            </w:r>
          </w:p>
        </w:tc>
        <w:tc>
          <w:tcPr>
            <w:shd w:val="clear" w:color="auto" w:fill="F5F7FB"/>
          </w:tcPr>
          <w:p>
            <w:pPr>
              <w:pStyle w:val="Compact"/>
            </w:pPr>
            <w:r>
              <w:rPr>
                <w:sz w:val="17"/>
              </w:rPr>
              <w:t xml:space="preserve">REST + événements ; OAuth2/OIDC, mTLS ; quotas ; registre des interfaces</w:t>
            </w:r>
          </w:p>
        </w:tc>
        <w:tc>
          <w:tcPr>
            <w:shd w:val="clear" w:color="auto" w:fill="F5F7FB"/>
          </w:tcPr>
          <w:p>
            <w:pPr>
              <w:pStyle w:val="Compact"/>
            </w:pPr>
            <w:r>
              <w:rPr>
                <w:sz w:val="17"/>
              </w:rPr>
              <w:t xml:space="preserve">Protocole signé pour chaque échange ; rejet hors objet</w:t>
            </w:r>
          </w:p>
        </w:tc>
        <w:tc>
          <w:tcPr>
            <w:shd w:val="clear" w:color="auto" w:fill="F5F7FB"/>
          </w:tcPr>
          <w:p>
            <w:pPr>
              <w:pStyle w:val="Compact"/>
            </w:pPr>
            <w:r>
              <w:rPr>
                <w:sz w:val="17"/>
              </w:rPr>
              <w:t xml:space="preserve">Appels ; erreurs ; disponibilité partenaires</w:t>
            </w:r>
          </w:p>
        </w:tc>
        <w:tc>
          <w:tcPr>
            <w:shd w:val="clear" w:color="auto" w:fill="F5F7FB"/>
          </w:tcPr>
          <w:p>
            <w:pPr>
              <w:pStyle w:val="Compact"/>
            </w:pPr>
            <w:r>
              <w:rPr>
                <w:sz w:val="17"/>
              </w:rPr>
              <w:t xml:space="preserve">R1 → R1</w:t>
            </w:r>
          </w:p>
        </w:tc>
      </w:tr>
      <w:tr>
        <w:tc>
          <w:tcPr/>
          <w:p>
            <w:pPr>
              <w:pStyle w:val="Compact"/>
            </w:pPr>
            <w:r>
              <w:rPr>
                <w:sz w:val="17"/>
              </w:rPr>
              <w:t xml:space="preserve">53</w:t>
            </w:r>
          </w:p>
        </w:tc>
        <w:tc>
          <w:tcPr/>
          <w:p>
            <w:pPr>
              <w:pStyle w:val="Compact"/>
            </w:pPr>
            <w:r>
              <w:rPr>
                <w:sz w:val="17"/>
              </w:rPr>
              <w:t xml:space="preserve">Administration de la plateforme</w:t>
            </w:r>
          </w:p>
        </w:tc>
        <w:tc>
          <w:tcPr/>
          <w:p>
            <w:pPr>
              <w:pStyle w:val="Compact"/>
            </w:pPr>
            <w:r>
              <w:rPr>
                <w:sz w:val="17"/>
              </w:rPr>
              <w:t xml:space="preserve">Exploitation technique</w:t>
            </w:r>
          </w:p>
        </w:tc>
        <w:tc>
          <w:tcPr/>
          <w:p>
            <w:pPr>
              <w:pStyle w:val="Compact"/>
            </w:pPr>
            <w:r>
              <w:rPr>
                <w:sz w:val="17"/>
              </w:rPr>
              <w:t xml:space="preserve">Environnements recette / pré-production / production ; déploiements ; retour arrière</w:t>
            </w:r>
          </w:p>
        </w:tc>
        <w:tc>
          <w:tcPr/>
          <w:p>
            <w:pPr>
              <w:pStyle w:val="Compact"/>
            </w:pPr>
            <w:r>
              <w:rPr>
                <w:sz w:val="17"/>
              </w:rPr>
              <w:t xml:space="preserve">Validation du comité des changements ; aucune lecture métier ni modification financière</w:t>
            </w:r>
          </w:p>
        </w:tc>
        <w:tc>
          <w:tcPr/>
          <w:p>
            <w:pPr>
              <w:pStyle w:val="Compact"/>
            </w:pPr>
            <w:r>
              <w:rPr>
                <w:sz w:val="17"/>
              </w:rPr>
              <w:t xml:space="preserve">Déploiements réussis ; incidents</w:t>
            </w:r>
          </w:p>
        </w:tc>
        <w:tc>
          <w:tcPr/>
          <w:p>
            <w:pPr>
              <w:pStyle w:val="Compact"/>
            </w:pPr>
            <w:r>
              <w:rPr>
                <w:sz w:val="17"/>
              </w:rPr>
              <w:t xml:space="preserve">R1 → R1</w:t>
            </w:r>
          </w:p>
        </w:tc>
      </w:tr>
      <w:tr>
        <w:tc>
          <w:tcPr>
            <w:shd w:val="clear" w:color="auto" w:fill="F5F7FB"/>
          </w:tcPr>
          <w:p>
            <w:pPr>
              <w:pStyle w:val="Compact"/>
            </w:pPr>
            <w:r>
              <w:rPr>
                <w:sz w:val="17"/>
              </w:rPr>
              <w:t xml:space="preserve">54</w:t>
            </w:r>
          </w:p>
        </w:tc>
        <w:tc>
          <w:tcPr>
            <w:shd w:val="clear" w:color="auto" w:fill="F5F7FB"/>
          </w:tcPr>
          <w:p>
            <w:pPr>
              <w:pStyle w:val="Compact"/>
            </w:pPr>
            <w:r>
              <w:rPr>
                <w:sz w:val="17"/>
              </w:rPr>
              <w:t xml:space="preserve">Transparence publique</w:t>
            </w:r>
          </w:p>
        </w:tc>
        <w:tc>
          <w:tcPr>
            <w:shd w:val="clear" w:color="auto" w:fill="F5F7FB"/>
          </w:tcPr>
          <w:p>
            <w:pPr>
              <w:pStyle w:val="Compact"/>
            </w:pPr>
            <w:r>
              <w:rPr>
                <w:sz w:val="17"/>
              </w:rPr>
              <w:t xml:space="preserve">Redevabilité</w:t>
            </w:r>
          </w:p>
        </w:tc>
        <w:tc>
          <w:tcPr>
            <w:shd w:val="clear" w:color="auto" w:fill="F5F7FB"/>
          </w:tcPr>
          <w:p>
            <w:pPr>
              <w:pStyle w:val="Compact"/>
            </w:pPr>
            <w:r>
              <w:rPr>
                <w:sz w:val="17"/>
              </w:rPr>
              <w:t xml:space="preserve">Recettes agrégées par commune ; réalisations ; parts légales par catégorie de bénéficiaire</w:t>
            </w:r>
          </w:p>
        </w:tc>
        <w:tc>
          <w:tcPr>
            <w:shd w:val="clear" w:color="auto" w:fill="F5F7FB"/>
          </w:tcPr>
          <w:p>
            <w:pPr>
              <w:pStyle w:val="Compact"/>
            </w:pPr>
            <w:r>
              <w:rPr>
                <w:sz w:val="17"/>
              </w:rPr>
              <w:t xml:space="preserve">Test anti-ré-identification</w:t>
            </w:r>
          </w:p>
        </w:tc>
        <w:tc>
          <w:tcPr>
            <w:shd w:val="clear" w:color="auto" w:fill="F5F7FB"/>
          </w:tcPr>
          <w:p>
            <w:pPr>
              <w:pStyle w:val="Compact"/>
            </w:pPr>
            <w:r>
              <w:rPr>
                <w:sz w:val="17"/>
              </w:rPr>
              <w:t xml:space="preserve">Consultations ; publications à temps</w:t>
            </w:r>
          </w:p>
        </w:tc>
        <w:tc>
          <w:tcPr>
            <w:shd w:val="clear" w:color="auto" w:fill="F5F7FB"/>
          </w:tcPr>
          <w:p>
            <w:pPr>
              <w:pStyle w:val="Compact"/>
            </w:pPr>
            <w:r>
              <w:rPr>
                <w:sz w:val="17"/>
              </w:rPr>
              <w:t xml:space="preserve">R3 → R2</w:t>
            </w:r>
          </w:p>
        </w:tc>
      </w:tr>
      <w:tr>
        <w:tc>
          <w:tcPr/>
          <w:p>
            <w:pPr>
              <w:pStyle w:val="Compact"/>
            </w:pPr>
            <w:r>
              <w:rPr>
                <w:sz w:val="17"/>
              </w:rPr>
              <w:t xml:space="preserve">55</w:t>
            </w:r>
          </w:p>
        </w:tc>
        <w:tc>
          <w:tcPr/>
          <w:p>
            <w:pPr>
              <w:pStyle w:val="Compact"/>
            </w:pPr>
            <w:r>
              <w:rPr>
                <w:sz w:val="17"/>
              </w:rPr>
              <w:t xml:space="preserve">Supervision et santé</w:t>
            </w:r>
          </w:p>
        </w:tc>
        <w:tc>
          <w:tcPr/>
          <w:p>
            <w:pPr>
              <w:pStyle w:val="Compact"/>
            </w:pPr>
            <w:r>
              <w:rPr>
                <w:sz w:val="17"/>
              </w:rPr>
              <w:t xml:space="preserve">Disponibilité</w:t>
            </w:r>
          </w:p>
        </w:tc>
        <w:tc>
          <w:tcPr/>
          <w:p>
            <w:pPr>
              <w:pStyle w:val="Compact"/>
            </w:pPr>
            <w:r>
              <w:rPr>
                <w:sz w:val="17"/>
              </w:rPr>
              <w:t xml:space="preserve">Observabilité ; alertes ; incidents ; astreinte</w:t>
            </w:r>
          </w:p>
        </w:tc>
        <w:tc>
          <w:tcPr/>
          <w:p>
            <w:pPr>
              <w:pStyle w:val="Compact"/>
            </w:pPr>
            <w:r>
              <w:rPr>
                <w:sz w:val="17"/>
              </w:rPr>
              <w:t xml:space="preserve">Logs sans secrets ni données inutiles</w:t>
            </w:r>
          </w:p>
        </w:tc>
        <w:tc>
          <w:tcPr/>
          <w:p>
            <w:pPr>
              <w:pStyle w:val="Compact"/>
            </w:pPr>
            <w:r>
              <w:rPr>
                <w:sz w:val="17"/>
              </w:rPr>
              <w:t xml:space="preserve">Disponibilité ; délai de rétablissement</w:t>
            </w:r>
          </w:p>
        </w:tc>
        <w:tc>
          <w:tcPr/>
          <w:p>
            <w:pPr>
              <w:pStyle w:val="Compact"/>
            </w:pPr>
            <w:r>
              <w:rPr>
                <w:sz w:val="17"/>
              </w:rPr>
              <w:t xml:space="preserve">R1 → R1</w:t>
            </w:r>
          </w:p>
        </w:tc>
      </w:tr>
      <w:tr>
        <w:tc>
          <w:tcPr>
            <w:shd w:val="clear" w:color="auto" w:fill="F5F7FB"/>
          </w:tcPr>
          <w:p>
            <w:pPr>
              <w:pStyle w:val="Compact"/>
            </w:pPr>
            <w:r>
              <w:rPr>
                <w:sz w:val="17"/>
              </w:rPr>
              <w:t xml:space="preserve">56</w:t>
            </w:r>
          </w:p>
        </w:tc>
        <w:tc>
          <w:tcPr>
            <w:shd w:val="clear" w:color="auto" w:fill="F5F7FB"/>
          </w:tcPr>
          <w:p>
            <w:pPr>
              <w:pStyle w:val="Compact"/>
            </w:pPr>
            <w:r>
              <w:rPr>
                <w:sz w:val="17"/>
              </w:rPr>
              <w:t xml:space="preserve">Grands redevables</w:t>
            </w:r>
          </w:p>
        </w:tc>
        <w:tc>
          <w:tcPr>
            <w:shd w:val="clear" w:color="auto" w:fill="F5F7FB"/>
          </w:tcPr>
          <w:p>
            <w:pPr>
              <w:pStyle w:val="Compact"/>
            </w:pPr>
            <w:r>
              <w:rPr>
                <w:sz w:val="17"/>
              </w:rPr>
              <w:t xml:space="preserve">Fiabiliser les recettes concentrées</w:t>
            </w:r>
          </w:p>
        </w:tc>
        <w:tc>
          <w:tcPr>
            <w:shd w:val="clear" w:color="auto" w:fill="F5F7FB"/>
          </w:tcPr>
          <w:p>
            <w:pPr>
              <w:pStyle w:val="Compact"/>
            </w:pPr>
            <w:r>
              <w:rPr>
                <w:sz w:val="17"/>
              </w:rPr>
              <w:t xml:space="preserve">Portefeuille dédié ; conventions ; gestion de cas ; gestionnaire dédié</w:t>
            </w:r>
          </w:p>
        </w:tc>
        <w:tc>
          <w:tcPr>
            <w:shd w:val="clear" w:color="auto" w:fill="F5F7FB"/>
          </w:tcPr>
          <w:p>
            <w:pPr>
              <w:pStyle w:val="Compact"/>
            </w:pPr>
            <w:r>
              <w:rPr>
                <w:b/>
                <w:bCs/>
                <w:sz w:val="17"/>
              </w:rPr>
              <w:t xml:space="preserve">Rotation des gestionnaires</w:t>
            </w:r>
            <w:r>
              <w:rPr>
                <w:sz w:val="17"/>
              </w:rPr>
              <w:t xml:space="preserve"> </w:t>
            </w:r>
            <w:r>
              <w:rPr>
                <w:sz w:val="17"/>
              </w:rPr>
              <w:t xml:space="preserve">; décisions collégiales</w:t>
            </w:r>
          </w:p>
        </w:tc>
        <w:tc>
          <w:tcPr>
            <w:shd w:val="clear" w:color="auto" w:fill="F5F7FB"/>
          </w:tcPr>
          <w:p>
            <w:pPr>
              <w:pStyle w:val="Compact"/>
            </w:pPr>
            <w:r>
              <w:rPr>
                <w:sz w:val="17"/>
              </w:rPr>
              <w:t xml:space="preserve">Recettes ; délais de paiement</w:t>
            </w:r>
          </w:p>
        </w:tc>
        <w:tc>
          <w:tcPr>
            <w:shd w:val="clear" w:color="auto" w:fill="F5F7FB"/>
          </w:tcPr>
          <w:p>
            <w:pPr>
              <w:pStyle w:val="Compact"/>
            </w:pPr>
            <w:r>
              <w:rPr>
                <w:sz w:val="17"/>
              </w:rPr>
              <w:t xml:space="preserve">R2 → R2</w:t>
            </w:r>
          </w:p>
        </w:tc>
      </w:tr>
      <w:tr>
        <w:tc>
          <w:tcPr/>
          <w:p>
            <w:pPr>
              <w:pStyle w:val="Compact"/>
            </w:pPr>
            <w:r>
              <w:rPr>
                <w:sz w:val="17"/>
              </w:rPr>
              <w:t xml:space="preserve">57</w:t>
            </w:r>
          </w:p>
        </w:tc>
        <w:tc>
          <w:tcPr/>
          <w:p>
            <w:pPr>
              <w:pStyle w:val="Compact"/>
            </w:pPr>
            <w:r>
              <w:rPr>
                <w:sz w:val="17"/>
              </w:rPr>
              <w:t xml:space="preserve">Registre des exonérations</w:t>
            </w:r>
          </w:p>
        </w:tc>
        <w:tc>
          <w:tcPr/>
          <w:p>
            <w:pPr>
              <w:pStyle w:val="Compact"/>
            </w:pPr>
            <w:r>
              <w:rPr>
                <w:sz w:val="17"/>
              </w:rPr>
              <w:t xml:space="preserve">Contrôler l’érosion</w:t>
            </w:r>
          </w:p>
        </w:tc>
        <w:tc>
          <w:tcPr/>
          <w:p>
            <w:pPr>
              <w:pStyle w:val="Compact"/>
            </w:pPr>
            <w:r>
              <w:rPr>
                <w:sz w:val="17"/>
              </w:rPr>
              <w:t xml:space="preserve">Demande avec pièces ; décision en double validation ; échéance et révision automatiques</w:t>
            </w:r>
          </w:p>
        </w:tc>
        <w:tc>
          <w:tcPr/>
          <w:p>
            <w:pPr>
              <w:pStyle w:val="Compact"/>
            </w:pPr>
            <w:r>
              <w:rPr>
                <w:sz w:val="17"/>
              </w:rPr>
              <w:t xml:space="preserve">Aucune exonération sans base légale ; alerte de concentration</w:t>
            </w:r>
          </w:p>
        </w:tc>
        <w:tc>
          <w:tcPr/>
          <w:p>
            <w:pPr>
              <w:pStyle w:val="Compact"/>
            </w:pPr>
            <w:r>
              <w:rPr>
                <w:sz w:val="17"/>
              </w:rPr>
              <w:t xml:space="preserve">Exonérations actives ; montants ; anomalies</w:t>
            </w:r>
          </w:p>
        </w:tc>
        <w:tc>
          <w:tcPr/>
          <w:p>
            <w:pPr>
              <w:pStyle w:val="Compact"/>
            </w:pPr>
            <w:r>
              <w:rPr>
                <w:sz w:val="17"/>
              </w:rPr>
              <w:t xml:space="preserve">R2 → R1</w:t>
            </w:r>
          </w:p>
        </w:tc>
      </w:tr>
      <w:tr>
        <w:tc>
          <w:tcPr>
            <w:shd w:val="clear" w:color="auto" w:fill="F5F7FB"/>
          </w:tcPr>
          <w:p>
            <w:pPr>
              <w:pStyle w:val="Compact"/>
            </w:pPr>
            <w:r>
              <w:rPr>
                <w:sz w:val="17"/>
              </w:rPr>
              <w:t xml:space="preserve">58</w:t>
            </w:r>
          </w:p>
        </w:tc>
        <w:tc>
          <w:tcPr>
            <w:shd w:val="clear" w:color="auto" w:fill="F5F7FB"/>
          </w:tcPr>
          <w:p>
            <w:pPr>
              <w:pStyle w:val="Compact"/>
            </w:pPr>
            <w:r>
              <w:rPr>
                <w:sz w:val="17"/>
              </w:rPr>
              <w:t xml:space="preserve">Équipements terrain (MDM)</w:t>
            </w:r>
          </w:p>
        </w:tc>
        <w:tc>
          <w:tcPr>
            <w:shd w:val="clear" w:color="auto" w:fill="F5F7FB"/>
          </w:tcPr>
          <w:p>
            <w:pPr>
              <w:pStyle w:val="Compact"/>
            </w:pPr>
            <w:r>
              <w:rPr>
                <w:sz w:val="17"/>
              </w:rPr>
              <w:t xml:space="preserve">Terminaux maîtrisés</w:t>
            </w:r>
          </w:p>
        </w:tc>
        <w:tc>
          <w:tcPr>
            <w:shd w:val="clear" w:color="auto" w:fill="F5F7FB"/>
          </w:tcPr>
          <w:p>
            <w:pPr>
              <w:pStyle w:val="Compact"/>
            </w:pPr>
            <w:r>
              <w:rPr>
                <w:sz w:val="17"/>
              </w:rPr>
              <w:t xml:space="preserve">Enrôlement, politiques, effacement à distance ; attestation ; expiration des données</w:t>
            </w:r>
          </w:p>
        </w:tc>
        <w:tc>
          <w:tcPr>
            <w:shd w:val="clear" w:color="auto" w:fill="F5F7FB"/>
          </w:tcPr>
          <w:p>
            <w:pPr>
              <w:pStyle w:val="Compact"/>
            </w:pPr>
            <w:r>
              <w:rPr>
                <w:sz w:val="17"/>
              </w:rPr>
              <w:t xml:space="preserve">Détection d’appareil modifié ; révocation en masse</w:t>
            </w:r>
          </w:p>
        </w:tc>
        <w:tc>
          <w:tcPr>
            <w:shd w:val="clear" w:color="auto" w:fill="F5F7FB"/>
          </w:tcPr>
          <w:p>
            <w:pPr>
              <w:pStyle w:val="Compact"/>
            </w:pPr>
            <w:r>
              <w:rPr>
                <w:sz w:val="17"/>
              </w:rPr>
              <w:t xml:space="preserve">Terminaux actifs ; incidents ; révocations</w:t>
            </w:r>
          </w:p>
        </w:tc>
        <w:tc>
          <w:tcPr>
            <w:shd w:val="clear" w:color="auto" w:fill="F5F7FB"/>
          </w:tcPr>
          <w:p>
            <w:pPr>
              <w:pStyle w:val="Compact"/>
            </w:pPr>
            <w:r>
              <w:rPr>
                <w:sz w:val="17"/>
              </w:rPr>
              <w:t xml:space="preserve">R1 → R1</w:t>
            </w:r>
          </w:p>
        </w:tc>
      </w:tr>
      <w:tr>
        <w:tc>
          <w:tcPr/>
          <w:p>
            <w:pPr>
              <w:pStyle w:val="Compact"/>
            </w:pPr>
            <w:r>
              <w:rPr>
                <w:sz w:val="17"/>
              </w:rPr>
              <w:t xml:space="preserve">59</w:t>
            </w:r>
          </w:p>
        </w:tc>
        <w:tc>
          <w:tcPr/>
          <w:p>
            <w:pPr>
              <w:pStyle w:val="Compact"/>
            </w:pPr>
            <w:r>
              <w:rPr>
                <w:sz w:val="17"/>
              </w:rPr>
              <w:t xml:space="preserve">Grand livre public</w:t>
            </w:r>
          </w:p>
        </w:tc>
        <w:tc>
          <w:tcPr/>
          <w:p>
            <w:pPr>
              <w:pStyle w:val="Compact"/>
            </w:pPr>
            <w:r>
              <w:rPr>
                <w:sz w:val="17"/>
              </w:rPr>
              <w:t xml:space="preserve">Partie double en ajout seul</w:t>
            </w:r>
          </w:p>
        </w:tc>
        <w:tc>
          <w:tcPr/>
          <w:p>
            <w:pPr>
              <w:pStyle w:val="Compact"/>
            </w:pPr>
            <w:r>
              <w:rPr>
                <w:sz w:val="17"/>
              </w:rPr>
              <w:t xml:space="preserve">Écritures équilibrées ; comptes d’attente ; contre-écritures ; clôtures</w:t>
            </w:r>
          </w:p>
        </w:tc>
        <w:tc>
          <w:tcPr/>
          <w:p>
            <w:pPr>
              <w:pStyle w:val="Compact"/>
            </w:pPr>
            <w:r>
              <w:rPr>
                <w:sz w:val="17"/>
              </w:rPr>
              <w:t xml:space="preserve">Écritures scellées et chaînées ; aucune modification destructive</w:t>
            </w:r>
          </w:p>
        </w:tc>
        <w:tc>
          <w:tcPr/>
          <w:p>
            <w:pPr>
              <w:pStyle w:val="Compact"/>
            </w:pPr>
            <w:r>
              <w:rPr>
                <w:sz w:val="17"/>
              </w:rPr>
              <w:t xml:space="preserve">Écart GL/relevés ; délai de clôture</w:t>
            </w:r>
          </w:p>
        </w:tc>
        <w:tc>
          <w:tcPr/>
          <w:p>
            <w:pPr>
              <w:pStyle w:val="Compact"/>
            </w:pPr>
            <w:r>
              <w:rPr>
                <w:sz w:val="17"/>
              </w:rPr>
              <w:t xml:space="preserve">R1 → R1</w:t>
            </w:r>
          </w:p>
        </w:tc>
      </w:tr>
      <w:tr>
        <w:tc>
          <w:tcPr>
            <w:shd w:val="clear" w:color="auto" w:fill="F5F7FB"/>
          </w:tcPr>
          <w:p>
            <w:pPr>
              <w:pStyle w:val="Compact"/>
            </w:pPr>
            <w:r>
              <w:rPr>
                <w:sz w:val="17"/>
              </w:rPr>
              <w:t xml:space="preserve">60</w:t>
            </w:r>
          </w:p>
        </w:tc>
        <w:tc>
          <w:tcPr>
            <w:shd w:val="clear" w:color="auto" w:fill="F5F7FB"/>
          </w:tcPr>
          <w:p>
            <w:pPr>
              <w:pStyle w:val="Compact"/>
            </w:pPr>
            <w:r>
              <w:rPr>
                <w:sz w:val="17"/>
              </w:rPr>
              <w:t xml:space="preserve">Coffre des comptes bénéficiaires</w:t>
            </w:r>
          </w:p>
        </w:tc>
        <w:tc>
          <w:tcPr>
            <w:shd w:val="clear" w:color="auto" w:fill="F5F7FB"/>
          </w:tcPr>
          <w:p>
            <w:pPr>
              <w:pStyle w:val="Compact"/>
            </w:pPr>
            <w:r>
              <w:rPr>
                <w:sz w:val="17"/>
              </w:rPr>
              <w:t xml:space="preserve">Verrouiller les destinations</w:t>
            </w:r>
          </w:p>
        </w:tc>
        <w:tc>
          <w:tcPr>
            <w:shd w:val="clear" w:color="auto" w:fill="F5F7FB"/>
          </w:tcPr>
          <w:p>
            <w:pPr>
              <w:pStyle w:val="Compact"/>
            </w:pPr>
            <w:r>
              <w:rPr>
                <w:sz w:val="17"/>
              </w:rPr>
              <w:t xml:space="preserve">Registre des comptes bancaires</w:t>
            </w:r>
            <w:r>
              <w:rPr>
                <w:sz w:val="17"/>
              </w:rPr>
              <w:t xml:space="preserve"> </w:t>
            </w:r>
            <w:r>
              <w:rPr>
                <w:b/>
                <w:bCs/>
                <w:sz w:val="17"/>
              </w:rPr>
              <w:t xml:space="preserve">et de monnaie mobile</w:t>
            </w:r>
            <w:r>
              <w:rPr>
                <w:sz w:val="17"/>
              </w:rPr>
              <w:t xml:space="preserve"> </w:t>
            </w:r>
            <w:r>
              <w:rPr>
                <w:sz w:val="17"/>
              </w:rPr>
              <w:t xml:space="preserve">publics ; changement sous quorum, hors bande, 72 h,</w:t>
            </w:r>
            <w:r>
              <w:rPr>
                <w:sz w:val="17"/>
              </w:rPr>
              <w:t xml:space="preserve"> </w:t>
            </w:r>
            <w:r>
              <w:rPr>
                <w:b/>
                <w:bCs/>
                <w:sz w:val="17"/>
              </w:rPr>
              <w:t xml:space="preserve">date d’effet future</w:t>
            </w:r>
          </w:p>
        </w:tc>
        <w:tc>
          <w:tcPr>
            <w:shd w:val="clear" w:color="auto" w:fill="F5F7FB"/>
          </w:tcPr>
          <w:p>
            <w:pPr>
              <w:pStyle w:val="Compact"/>
            </w:pPr>
            <w:r>
              <w:rPr>
                <w:sz w:val="17"/>
              </w:rPr>
              <w:t xml:space="preserve">Aucun administrateur ne peut substituer un compte</w:t>
            </w:r>
          </w:p>
        </w:tc>
        <w:tc>
          <w:tcPr>
            <w:shd w:val="clear" w:color="auto" w:fill="F5F7FB"/>
          </w:tcPr>
          <w:p>
            <w:pPr>
              <w:pStyle w:val="Compact"/>
            </w:pPr>
            <w:r>
              <w:rPr>
                <w:sz w:val="17"/>
              </w:rPr>
              <w:t xml:space="preserve">Changements demandés/approuvés/refusés</w:t>
            </w:r>
          </w:p>
        </w:tc>
        <w:tc>
          <w:tcPr>
            <w:shd w:val="clear" w:color="auto" w:fill="F5F7FB"/>
          </w:tcPr>
          <w:p>
            <w:pPr>
              <w:pStyle w:val="Compact"/>
            </w:pPr>
            <w:r>
              <w:rPr>
                <w:sz w:val="17"/>
              </w:rPr>
              <w:t xml:space="preserve">R1 → R1</w:t>
            </w:r>
          </w:p>
        </w:tc>
      </w:tr>
      <w:tr>
        <w:tc>
          <w:tcPr/>
          <w:p>
            <w:pPr>
              <w:pStyle w:val="Compact"/>
            </w:pPr>
            <w:r>
              <w:rPr>
                <w:sz w:val="17"/>
              </w:rPr>
              <w:t xml:space="preserve">61</w:t>
            </w:r>
          </w:p>
        </w:tc>
        <w:tc>
          <w:tcPr/>
          <w:p>
            <w:pPr>
              <w:pStyle w:val="Compact"/>
            </w:pPr>
            <w:r>
              <w:rPr>
                <w:sz w:val="17"/>
              </w:rPr>
              <w:t xml:space="preserve">Découverte des recettes</w:t>
            </w:r>
          </w:p>
        </w:tc>
        <w:tc>
          <w:tcPr/>
          <w:p>
            <w:pPr>
              <w:pStyle w:val="Compact"/>
            </w:pPr>
            <w:r>
              <w:rPr>
                <w:sz w:val="17"/>
              </w:rPr>
              <w:t xml:space="preserve">Pipeline des opportunités</w:t>
            </w:r>
          </w:p>
        </w:tc>
        <w:tc>
          <w:tcPr/>
          <w:p>
            <w:pPr>
              <w:pStyle w:val="Compact"/>
            </w:pPr>
            <w:r>
              <w:rPr>
                <w:sz w:val="17"/>
              </w:rPr>
              <w:t xml:space="preserve">Signaux ; fiches ; pipeline en 8 étapes ; revenu net ajusté du risque ; listes de travail</w:t>
            </w:r>
          </w:p>
        </w:tc>
        <w:tc>
          <w:tcPr/>
          <w:p>
            <w:pPr>
              <w:pStyle w:val="Compact"/>
            </w:pPr>
            <w:r>
              <w:rPr>
                <w:sz w:val="17"/>
              </w:rPr>
              <w:t xml:space="preserve">Aucune opportunité ne devient taxe par algorithme</w:t>
            </w:r>
          </w:p>
        </w:tc>
        <w:tc>
          <w:tcPr/>
          <w:p>
            <w:pPr>
              <w:pStyle w:val="Compact"/>
            </w:pPr>
            <w:r>
              <w:rPr>
                <w:sz w:val="17"/>
              </w:rPr>
              <w:t xml:space="preserve">Opportunités instruites ; gain net des pilotes</w:t>
            </w:r>
          </w:p>
        </w:tc>
        <w:tc>
          <w:tcPr/>
          <w:p>
            <w:pPr>
              <w:pStyle w:val="Compact"/>
            </w:pPr>
            <w:r>
              <w:rPr>
                <w:sz w:val="17"/>
              </w:rPr>
              <w:t xml:space="preserve">R3 → R2</w:t>
            </w:r>
          </w:p>
        </w:tc>
      </w:tr>
      <w:tr>
        <w:tc>
          <w:tcPr>
            <w:shd w:val="clear" w:color="auto" w:fill="F5F7FB"/>
          </w:tcPr>
          <w:p>
            <w:pPr>
              <w:pStyle w:val="Compact"/>
            </w:pPr>
            <w:r>
              <w:rPr>
                <w:sz w:val="17"/>
              </w:rPr>
              <w:t xml:space="preserve">62</w:t>
            </w:r>
          </w:p>
        </w:tc>
        <w:tc>
          <w:tcPr>
            <w:shd w:val="clear" w:color="auto" w:fill="F5F7FB"/>
          </w:tcPr>
          <w:p>
            <w:pPr>
              <w:pStyle w:val="Compact"/>
            </w:pPr>
            <w:r>
              <w:rPr>
                <w:sz w:val="17"/>
              </w:rPr>
              <w:t xml:space="preserve">Rapprochement aérien</w:t>
            </w:r>
          </w:p>
        </w:tc>
        <w:tc>
          <w:tcPr>
            <w:shd w:val="clear" w:color="auto" w:fill="F5F7FB"/>
          </w:tcPr>
          <w:p>
            <w:pPr>
              <w:pStyle w:val="Compact"/>
            </w:pPr>
            <w:r>
              <w:rPr>
                <w:sz w:val="17"/>
              </w:rPr>
              <w:t xml:space="preserve">Écarts mensuels par compagnie</w:t>
            </w:r>
          </w:p>
        </w:tc>
        <w:tc>
          <w:tcPr>
            <w:shd w:val="clear" w:color="auto" w:fill="F5F7FB"/>
          </w:tcPr>
          <w:p>
            <w:pPr>
              <w:pStyle w:val="Compact"/>
            </w:pPr>
            <w:r>
              <w:rPr>
                <w:sz w:val="17"/>
              </w:rPr>
              <w:t xml:space="preserve">Billets, embarquements, sorties, reversements</w:t>
            </w:r>
          </w:p>
        </w:tc>
        <w:tc>
          <w:tcPr>
            <w:shd w:val="clear" w:color="auto" w:fill="F5F7FB"/>
          </w:tcPr>
          <w:p>
            <w:pPr>
              <w:pStyle w:val="Compact"/>
            </w:pPr>
            <w:r>
              <w:rPr>
                <w:sz w:val="17"/>
              </w:rPr>
              <w:t xml:space="preserve">Sous validation juridique (J23) ; contradictoire</w:t>
            </w:r>
          </w:p>
        </w:tc>
        <w:tc>
          <w:tcPr>
            <w:shd w:val="clear" w:color="auto" w:fill="F5F7FB"/>
          </w:tcPr>
          <w:p>
            <w:pPr>
              <w:pStyle w:val="Compact"/>
            </w:pPr>
            <w:r>
              <w:rPr>
                <w:sz w:val="17"/>
              </w:rPr>
              <w:t xml:space="preserve">Écart de réconciliation</w:t>
            </w:r>
          </w:p>
        </w:tc>
        <w:tc>
          <w:tcPr>
            <w:shd w:val="clear" w:color="auto" w:fill="F5F7FB"/>
          </w:tcPr>
          <w:p>
            <w:pPr>
              <w:pStyle w:val="Compact"/>
            </w:pPr>
            <w:r>
              <w:rPr>
                <w:sz w:val="17"/>
              </w:rPr>
              <w:t xml:space="preserve">R3–R4 → R4</w:t>
            </w:r>
          </w:p>
        </w:tc>
      </w:tr>
      <w:tr>
        <w:tc>
          <w:tcPr/>
          <w:p>
            <w:pPr>
              <w:pStyle w:val="Compact"/>
            </w:pPr>
            <w:r>
              <w:rPr>
                <w:sz w:val="17"/>
              </w:rPr>
              <w:t xml:space="preserve">63</w:t>
            </w:r>
          </w:p>
        </w:tc>
        <w:tc>
          <w:tcPr/>
          <w:p>
            <w:pPr>
              <w:pStyle w:val="Compact"/>
            </w:pPr>
            <w:r>
              <w:rPr>
                <w:sz w:val="17"/>
              </w:rPr>
              <w:t xml:space="preserve">Enrôlement assisté et guichets</w:t>
            </w:r>
          </w:p>
        </w:tc>
        <w:tc>
          <w:tcPr/>
          <w:p>
            <w:pPr>
              <w:pStyle w:val="Compact"/>
            </w:pPr>
            <w:r>
              <w:rPr>
                <w:sz w:val="17"/>
              </w:rPr>
              <w:t xml:space="preserve">Inclusion</w:t>
            </w:r>
          </w:p>
        </w:tc>
        <w:tc>
          <w:tcPr/>
          <w:p>
            <w:pPr>
              <w:pStyle w:val="Compact"/>
            </w:pPr>
            <w:r>
              <w:rPr>
                <w:sz w:val="17"/>
              </w:rPr>
              <w:t xml:space="preserve">Enrôlement à domicile hors ligne ; guichets communaux ; consentement ; avis à pictogrammes ; compte N0-A + carte</w:t>
            </w:r>
          </w:p>
        </w:tc>
        <w:tc>
          <w:tcPr/>
          <w:p>
            <w:pPr>
              <w:pStyle w:val="Compact"/>
            </w:pPr>
            <w:r>
              <w:rPr>
                <w:sz w:val="17"/>
              </w:rPr>
              <w:t xml:space="preserve">Lecture audio obligatoire ; aucun paiement reçu</w:t>
            </w:r>
          </w:p>
        </w:tc>
        <w:tc>
          <w:tcPr/>
          <w:p>
            <w:pPr>
              <w:pStyle w:val="Compact"/>
            </w:pPr>
            <w:r>
              <w:rPr>
                <w:sz w:val="17"/>
              </w:rPr>
              <w:t xml:space="preserve">Enrôlements assistés ; part par commune</w:t>
            </w:r>
          </w:p>
        </w:tc>
        <w:tc>
          <w:tcPr/>
          <w:p>
            <w:pPr>
              <w:pStyle w:val="Compact"/>
            </w:pPr>
            <w:r>
              <w:rPr>
                <w:sz w:val="17"/>
              </w:rPr>
              <w:t xml:space="preserve">R1 → R1</w:t>
            </w:r>
          </w:p>
        </w:tc>
      </w:tr>
      <w:tr>
        <w:tc>
          <w:tcPr>
            <w:shd w:val="clear" w:color="auto" w:fill="F5F7FB"/>
          </w:tcPr>
          <w:p>
            <w:pPr>
              <w:pStyle w:val="Compact"/>
            </w:pPr>
            <w:r>
              <w:rPr>
                <w:sz w:val="17"/>
              </w:rPr>
              <w:t xml:space="preserve">64</w:t>
            </w:r>
          </w:p>
        </w:tc>
        <w:tc>
          <w:tcPr>
            <w:shd w:val="clear" w:color="auto" w:fill="F5F7FB"/>
          </w:tcPr>
          <w:p>
            <w:pPr>
              <w:pStyle w:val="Compact"/>
            </w:pPr>
            <w:r>
              <w:rPr>
                <w:sz w:val="17"/>
              </w:rPr>
              <w:t xml:space="preserve">SVI multilingue</w:t>
            </w:r>
          </w:p>
        </w:tc>
        <w:tc>
          <w:tcPr>
            <w:shd w:val="clear" w:color="auto" w:fill="F5F7FB"/>
          </w:tcPr>
          <w:p>
            <w:pPr>
              <w:pStyle w:val="Compact"/>
            </w:pPr>
            <w:r>
              <w:rPr>
                <w:sz w:val="17"/>
              </w:rPr>
              <w:t xml:space="preserve">Service vocal</w:t>
            </w:r>
          </w:p>
        </w:tc>
        <w:tc>
          <w:tcPr>
            <w:shd w:val="clear" w:color="auto" w:fill="F5F7FB"/>
          </w:tcPr>
          <w:p>
            <w:pPr>
              <w:pStyle w:val="Compact"/>
            </w:pPr>
            <w:r>
              <w:rPr>
                <w:sz w:val="17"/>
              </w:rPr>
              <w:t xml:space="preserve">Menus dans cinq langues + français ; consultation par carte ou objet ; paiement ; confirmation vocale</w:t>
            </w:r>
          </w:p>
        </w:tc>
        <w:tc>
          <w:tcPr>
            <w:shd w:val="clear" w:color="auto" w:fill="F5F7FB"/>
          </w:tcPr>
          <w:p>
            <w:pPr>
              <w:pStyle w:val="Compact"/>
            </w:pPr>
            <w:r>
              <w:rPr>
                <w:sz w:val="17"/>
              </w:rPr>
              <w:t xml:space="preserve">Numéro gratuit (J29)</w:t>
            </w:r>
          </w:p>
        </w:tc>
        <w:tc>
          <w:tcPr>
            <w:shd w:val="clear" w:color="auto" w:fill="F5F7FB"/>
          </w:tcPr>
          <w:p>
            <w:pPr>
              <w:pStyle w:val="Compact"/>
            </w:pPr>
            <w:r>
              <w:rPr>
                <w:sz w:val="17"/>
              </w:rPr>
              <w:t xml:space="preserve">Appels ; opérations à la voix</w:t>
            </w:r>
          </w:p>
        </w:tc>
        <w:tc>
          <w:tcPr>
            <w:shd w:val="clear" w:color="auto" w:fill="F5F7FB"/>
          </w:tcPr>
          <w:p>
            <w:pPr>
              <w:pStyle w:val="Compact"/>
            </w:pPr>
            <w:r>
              <w:rPr>
                <w:sz w:val="17"/>
              </w:rPr>
              <w:t xml:space="preserve">R1 → R2</w:t>
            </w:r>
          </w:p>
        </w:tc>
      </w:tr>
      <w:tr>
        <w:tc>
          <w:tcPr/>
          <w:p>
            <w:pPr>
              <w:pStyle w:val="Compact"/>
            </w:pPr>
            <w:r>
              <w:rPr>
                <w:sz w:val="17"/>
              </w:rPr>
              <w:t xml:space="preserve">65</w:t>
            </w:r>
          </w:p>
        </w:tc>
        <w:tc>
          <w:tcPr/>
          <w:p>
            <w:pPr>
              <w:pStyle w:val="Compact"/>
            </w:pPr>
            <w:r>
              <w:rPr>
                <w:sz w:val="17"/>
              </w:rPr>
              <w:t xml:space="preserve">Carte MOSOLO</w:t>
            </w:r>
          </w:p>
        </w:tc>
        <w:tc>
          <w:tcPr/>
          <w:p>
            <w:pPr>
              <w:pStyle w:val="Compact"/>
            </w:pPr>
            <w:r>
              <w:rPr>
                <w:sz w:val="17"/>
              </w:rPr>
              <w:t xml:space="preserve">Identifiant physique</w:t>
            </w:r>
          </w:p>
        </w:tc>
        <w:tc>
          <w:tcPr/>
          <w:p>
            <w:pPr>
              <w:pStyle w:val="Compact"/>
            </w:pPr>
            <w:r>
              <w:rPr>
                <w:sz w:val="17"/>
              </w:rPr>
              <w:t xml:space="preserve">Carte QR signée ; blocage et réémission ; usages guichet, point agréé, agent</w:t>
            </w:r>
          </w:p>
        </w:tc>
        <w:tc>
          <w:tcPr/>
          <w:p>
            <w:pPr>
              <w:pStyle w:val="Compact"/>
            </w:pPr>
            <w:r>
              <w:rPr>
                <w:sz w:val="17"/>
              </w:rPr>
              <w:t xml:space="preserve">Réémission sous double validation ; révocation de l’ancien QR</w:t>
            </w:r>
          </w:p>
        </w:tc>
        <w:tc>
          <w:tcPr/>
          <w:p>
            <w:pPr>
              <w:pStyle w:val="Compact"/>
            </w:pPr>
            <w:r>
              <w:rPr>
                <w:sz w:val="17"/>
              </w:rPr>
              <w:t xml:space="preserve">Cartes actives ; réémissions</w:t>
            </w:r>
          </w:p>
        </w:tc>
        <w:tc>
          <w:tcPr/>
          <w:p>
            <w:pPr>
              <w:pStyle w:val="Compact"/>
            </w:pPr>
            <w:r>
              <w:rPr>
                <w:sz w:val="17"/>
              </w:rPr>
              <w:t xml:space="preserve">R1 → R2</w:t>
            </w:r>
          </w:p>
        </w:tc>
      </w:tr>
      <w:tr>
        <w:tc>
          <w:tcPr>
            <w:shd w:val="clear" w:color="auto" w:fill="F5F7FB"/>
          </w:tcPr>
          <w:p>
            <w:pPr>
              <w:pStyle w:val="Compact"/>
            </w:pPr>
            <w:r>
              <w:rPr>
                <w:sz w:val="17"/>
              </w:rPr>
              <w:t xml:space="preserve">66</w:t>
            </w:r>
          </w:p>
        </w:tc>
        <w:tc>
          <w:tcPr>
            <w:shd w:val="clear" w:color="auto" w:fill="F5F7FB"/>
          </w:tcPr>
          <w:p>
            <w:pPr>
              <w:pStyle w:val="Compact"/>
            </w:pPr>
            <w:r>
              <w:rPr>
                <w:sz w:val="17"/>
              </w:rPr>
              <w:t xml:space="preserve">Points de paiement agréés</w:t>
            </w:r>
          </w:p>
        </w:tc>
        <w:tc>
          <w:tcPr>
            <w:shd w:val="clear" w:color="auto" w:fill="F5F7FB"/>
          </w:tcPr>
          <w:p>
            <w:pPr>
              <w:pStyle w:val="Compact"/>
            </w:pPr>
            <w:r>
              <w:rPr>
                <w:sz w:val="17"/>
              </w:rPr>
              <w:t xml:space="preserve">Seul canal d’espèces</w:t>
            </w:r>
          </w:p>
        </w:tc>
        <w:tc>
          <w:tcPr>
            <w:shd w:val="clear" w:color="auto" w:fill="F5F7FB"/>
          </w:tcPr>
          <w:p>
            <w:pPr>
              <w:pStyle w:val="Compact"/>
            </w:pPr>
            <w:r>
              <w:rPr>
                <w:sz w:val="17"/>
              </w:rPr>
              <w:t xml:space="preserve">Référencement ; encaissement sur référence ; preuve ; règlement dans le délai ; suspension décidée par le Trésor</w:t>
            </w:r>
          </w:p>
        </w:tc>
        <w:tc>
          <w:tcPr>
            <w:shd w:val="clear" w:color="auto" w:fill="F5F7FB"/>
          </w:tcPr>
          <w:p>
            <w:pPr>
              <w:pStyle w:val="Compact"/>
            </w:pPr>
            <w:r>
              <w:rPr>
                <w:sz w:val="17"/>
              </w:rPr>
              <w:t xml:space="preserve">Point non référencé ≠ preuve</w:t>
            </w:r>
          </w:p>
        </w:tc>
        <w:tc>
          <w:tcPr>
            <w:shd w:val="clear" w:color="auto" w:fill="F5F7FB"/>
          </w:tcPr>
          <w:p>
            <w:pPr>
              <w:pStyle w:val="Compact"/>
            </w:pPr>
            <w:r>
              <w:rPr>
                <w:sz w:val="17"/>
              </w:rPr>
              <w:t xml:space="preserve">Accessibilité ; délai de règlement ; points suspendus</w:t>
            </w:r>
          </w:p>
        </w:tc>
        <w:tc>
          <w:tcPr>
            <w:shd w:val="clear" w:color="auto" w:fill="F5F7FB"/>
          </w:tcPr>
          <w:p>
            <w:pPr>
              <w:pStyle w:val="Compact"/>
            </w:pPr>
            <w:r>
              <w:rPr>
                <w:sz w:val="17"/>
              </w:rPr>
              <w:t xml:space="preserve">R1 → R1</w:t>
            </w:r>
          </w:p>
        </w:tc>
      </w:tr>
      <w:tr>
        <w:tc>
          <w:tcPr/>
          <w:p>
            <w:pPr>
              <w:pStyle w:val="Compact"/>
            </w:pPr>
            <w:r>
              <w:rPr>
                <w:sz w:val="17"/>
              </w:rPr>
              <w:t xml:space="preserve">67</w:t>
            </w:r>
          </w:p>
        </w:tc>
        <w:tc>
          <w:tcPr/>
          <w:p>
            <w:pPr>
              <w:pStyle w:val="Compact"/>
            </w:pPr>
            <w:r>
              <w:rPr>
                <w:sz w:val="17"/>
              </w:rPr>
              <w:t xml:space="preserve">Portail partenaires et équipes</w:t>
            </w:r>
          </w:p>
        </w:tc>
        <w:tc>
          <w:tcPr/>
          <w:p>
            <w:pPr>
              <w:pStyle w:val="Compact"/>
            </w:pPr>
            <w:r>
              <w:rPr>
                <w:sz w:val="17"/>
              </w:rPr>
              <w:t xml:space="preserve">Sous-traitance maîtrisée</w:t>
            </w:r>
          </w:p>
        </w:tc>
        <w:tc>
          <w:tcPr/>
          <w:p>
            <w:pPr>
              <w:pStyle w:val="Compact"/>
            </w:pPr>
            <w:r>
              <w:rPr>
                <w:sz w:val="17"/>
              </w:rPr>
              <w:t xml:space="preserve">Accréditation ; lots ; équipes ; qualité ; paiement sur livrables vérifiés</w:t>
            </w:r>
          </w:p>
        </w:tc>
        <w:tc>
          <w:tcPr/>
          <w:p>
            <w:pPr>
              <w:pStyle w:val="Compact"/>
            </w:pPr>
            <w:r>
              <w:rPr>
                <w:sz w:val="17"/>
              </w:rPr>
              <w:t xml:space="preserve">Aucune mission hors lot ; aucun encaissement ; aucune auto-validation</w:t>
            </w:r>
          </w:p>
        </w:tc>
        <w:tc>
          <w:tcPr/>
          <w:p>
            <w:pPr>
              <w:pStyle w:val="Compact"/>
            </w:pPr>
            <w:r>
              <w:rPr>
                <w:sz w:val="17"/>
              </w:rPr>
              <w:t xml:space="preserve">Qualité par sous-traitant ; production ; rejets</w:t>
            </w:r>
          </w:p>
        </w:tc>
        <w:tc>
          <w:tcPr/>
          <w:p>
            <w:pPr>
              <w:pStyle w:val="Compact"/>
            </w:pPr>
            <w:r>
              <w:rPr>
                <w:sz w:val="17"/>
              </w:rPr>
              <w:t xml:space="preserve">R1–R2 → R2</w:t>
            </w:r>
          </w:p>
        </w:tc>
      </w:tr>
      <w:tr>
        <w:tc>
          <w:tcPr>
            <w:shd w:val="clear" w:color="auto" w:fill="F5F7FB"/>
          </w:tcPr>
          <w:p>
            <w:pPr>
              <w:pStyle w:val="Compact"/>
            </w:pPr>
            <w:r>
              <w:rPr>
                <w:sz w:val="17"/>
              </w:rPr>
              <w:t xml:space="preserve">68</w:t>
            </w:r>
          </w:p>
        </w:tc>
        <w:tc>
          <w:tcPr>
            <w:shd w:val="clear" w:color="auto" w:fill="F5F7FB"/>
          </w:tcPr>
          <w:p>
            <w:pPr>
              <w:pStyle w:val="Compact"/>
            </w:pPr>
            <w:r>
              <w:rPr>
                <w:sz w:val="17"/>
              </w:rPr>
              <w:t xml:space="preserve">Vérification par code court</w:t>
            </w:r>
          </w:p>
        </w:tc>
        <w:tc>
          <w:tcPr>
            <w:shd w:val="clear" w:color="auto" w:fill="F5F7FB"/>
          </w:tcPr>
          <w:p>
            <w:pPr>
              <w:pStyle w:val="Compact"/>
            </w:pPr>
            <w:r>
              <w:rPr>
                <w:sz w:val="17"/>
              </w:rPr>
              <w:t xml:space="preserve">Confiance du public</w:t>
            </w:r>
          </w:p>
        </w:tc>
        <w:tc>
          <w:tcPr>
            <w:shd w:val="clear" w:color="auto" w:fill="F5F7FB"/>
          </w:tcPr>
          <w:p>
            <w:pPr>
              <w:pStyle w:val="Compact"/>
            </w:pPr>
            <w:r>
              <w:rPr>
                <w:sz w:val="17"/>
              </w:rPr>
              <w:t xml:space="preserve">Codes avec chiffre de contrôle ; SMS, USSD, SVI, web ; réponse minimale</w:t>
            </w:r>
          </w:p>
        </w:tc>
        <w:tc>
          <w:tcPr>
            <w:shd w:val="clear" w:color="auto" w:fill="F5F7FB"/>
          </w:tcPr>
          <w:p>
            <w:pPr>
              <w:pStyle w:val="Compact"/>
            </w:pPr>
            <w:r>
              <w:rPr>
                <w:sz w:val="17"/>
              </w:rPr>
              <w:t xml:space="preserve">Limites de débit anti-énumération</w:t>
            </w:r>
          </w:p>
        </w:tc>
        <w:tc>
          <w:tcPr>
            <w:shd w:val="clear" w:color="auto" w:fill="F5F7FB"/>
          </w:tcPr>
          <w:p>
            <w:pPr>
              <w:pStyle w:val="Compact"/>
            </w:pPr>
            <w:r>
              <w:rPr>
                <w:sz w:val="17"/>
              </w:rPr>
              <w:t xml:space="preserve">Vérifications ; tentatives suspectes</w:t>
            </w:r>
          </w:p>
        </w:tc>
        <w:tc>
          <w:tcPr>
            <w:shd w:val="clear" w:color="auto" w:fill="F5F7FB"/>
          </w:tcPr>
          <w:p>
            <w:pPr>
              <w:pStyle w:val="Compact"/>
            </w:pPr>
            <w:r>
              <w:rPr>
                <w:sz w:val="17"/>
              </w:rPr>
              <w:t xml:space="preserve">R1 → R1</w:t>
            </w:r>
          </w:p>
        </w:tc>
      </w:tr>
      <w:tr>
        <w:tc>
          <w:tcPr/>
          <w:p>
            <w:pPr>
              <w:pStyle w:val="Compact"/>
            </w:pPr>
            <w:r>
              <w:rPr>
                <w:sz w:val="17"/>
              </w:rPr>
              <w:t xml:space="preserve">69</w:t>
            </w:r>
          </w:p>
        </w:tc>
        <w:tc>
          <w:tcPr/>
          <w:p>
            <w:pPr>
              <w:pStyle w:val="Compact"/>
            </w:pPr>
            <w:r>
              <w:rPr>
                <w:sz w:val="17"/>
              </w:rPr>
              <w:t xml:space="preserve">Signalement et contrôles mystère</w:t>
            </w:r>
          </w:p>
        </w:tc>
        <w:tc>
          <w:tcPr/>
          <w:p>
            <w:pPr>
              <w:pStyle w:val="Compact"/>
            </w:pPr>
            <w:r>
              <w:rPr>
                <w:sz w:val="17"/>
              </w:rPr>
              <w:t xml:space="preserve">Détecter les abus</w:t>
            </w:r>
          </w:p>
        </w:tc>
        <w:tc>
          <w:tcPr/>
          <w:p>
            <w:pPr>
              <w:pStyle w:val="Compact"/>
            </w:pPr>
            <w:r>
              <w:rPr>
                <w:sz w:val="17"/>
              </w:rPr>
              <w:t xml:space="preserve">Numéro gratuit ; anonymat ; qualification ; contrôles mystère publiés</w:t>
            </w:r>
          </w:p>
        </w:tc>
        <w:tc>
          <w:tcPr/>
          <w:p>
            <w:pPr>
              <w:pStyle w:val="Compact"/>
            </w:pPr>
            <w:r>
              <w:rPr>
                <w:sz w:val="17"/>
              </w:rPr>
              <w:t xml:space="preserve">Identité du signalant protégée</w:t>
            </w:r>
          </w:p>
        </w:tc>
        <w:tc>
          <w:tcPr/>
          <w:p>
            <w:pPr>
              <w:pStyle w:val="Compact"/>
            </w:pPr>
            <w:r>
              <w:rPr>
                <w:sz w:val="17"/>
              </w:rPr>
              <w:t xml:space="preserve">Signalements ; délai ; part confirmée</w:t>
            </w:r>
          </w:p>
        </w:tc>
        <w:tc>
          <w:tcPr/>
          <w:p>
            <w:pPr>
              <w:pStyle w:val="Compact"/>
            </w:pPr>
            <w:r>
              <w:rPr>
                <w:sz w:val="17"/>
              </w:rPr>
              <w:t xml:space="preserve">R2 → R2</w:t>
            </w:r>
          </w:p>
        </w:tc>
      </w:tr>
      <w:tr>
        <w:tc>
          <w:tcPr>
            <w:shd w:val="clear" w:color="auto" w:fill="F5F7FB"/>
          </w:tcPr>
          <w:p>
            <w:pPr>
              <w:pStyle w:val="Compact"/>
            </w:pPr>
            <w:r>
              <w:rPr>
                <w:sz w:val="17"/>
              </w:rPr>
              <w:t xml:space="preserve">70</w:t>
            </w:r>
          </w:p>
        </w:tc>
        <w:tc>
          <w:tcPr>
            <w:shd w:val="clear" w:color="auto" w:fill="F5F7FB"/>
          </w:tcPr>
          <w:p>
            <w:pPr>
              <w:pStyle w:val="Compact"/>
            </w:pPr>
            <w:r>
              <w:rPr>
                <w:sz w:val="17"/>
              </w:rPr>
              <w:t xml:space="preserve">Moteur de titres</w:t>
            </w:r>
          </w:p>
        </w:tc>
        <w:tc>
          <w:tcPr>
            <w:shd w:val="clear" w:color="auto" w:fill="F5F7FB"/>
          </w:tcPr>
          <w:p>
            <w:pPr>
              <w:pStyle w:val="Compact"/>
            </w:pPr>
            <w:r>
              <w:rPr>
                <w:sz w:val="17"/>
              </w:rPr>
              <w:t xml:space="preserve">Titres à durée</w:t>
            </w:r>
          </w:p>
        </w:tc>
        <w:tc>
          <w:tcPr>
            <w:shd w:val="clear" w:color="auto" w:fill="F5F7FB"/>
          </w:tcPr>
          <w:p>
            <w:pPr>
              <w:pStyle w:val="Compact"/>
            </w:pPr>
            <w:r>
              <w:rPr>
                <w:sz w:val="17"/>
              </w:rPr>
              <w:t xml:space="preserve">Modèles de validité ; six statuts ; supports ; visuels par module ; rappels ; prolongation</w:t>
            </w:r>
          </w:p>
        </w:tc>
        <w:tc>
          <w:tcPr>
            <w:shd w:val="clear" w:color="auto" w:fill="F5F7FB"/>
          </w:tcPr>
          <w:p>
            <w:pPr>
              <w:pStyle w:val="Compact"/>
            </w:pPr>
            <w:r>
              <w:rPr>
                <w:sz w:val="17"/>
              </w:rPr>
              <w:t xml:space="preserve">Validité sur l’heure serveur ; aucune pénalité automatique</w:t>
            </w:r>
          </w:p>
        </w:tc>
        <w:tc>
          <w:tcPr>
            <w:shd w:val="clear" w:color="auto" w:fill="F5F7FB"/>
          </w:tcPr>
          <w:p>
            <w:pPr>
              <w:pStyle w:val="Compact"/>
            </w:pPr>
            <w:r>
              <w:rPr>
                <w:sz w:val="17"/>
              </w:rPr>
              <w:t xml:space="preserve">Titres actifs ; renouvellements en ambre</w:t>
            </w:r>
          </w:p>
        </w:tc>
        <w:tc>
          <w:tcPr>
            <w:shd w:val="clear" w:color="auto" w:fill="F5F7FB"/>
          </w:tcPr>
          <w:p>
            <w:pPr>
              <w:pStyle w:val="Compact"/>
            </w:pPr>
            <w:r>
              <w:rPr>
                <w:sz w:val="17"/>
              </w:rPr>
              <w:t xml:space="preserve">R1–R2 → R2</w:t>
            </w:r>
          </w:p>
        </w:tc>
      </w:tr>
      <w:tr>
        <w:tc>
          <w:tcPr/>
          <w:p>
            <w:pPr>
              <w:pStyle w:val="Compact"/>
            </w:pPr>
            <w:r>
              <w:rPr>
                <w:sz w:val="17"/>
              </w:rPr>
              <w:t xml:space="preserve">71</w:t>
            </w:r>
          </w:p>
        </w:tc>
        <w:tc>
          <w:tcPr/>
          <w:p>
            <w:pPr>
              <w:pStyle w:val="Compact"/>
            </w:pPr>
            <w:r>
              <w:rPr>
                <w:sz w:val="17"/>
              </w:rPr>
              <w:t xml:space="preserve">Contrôle des titres</w:t>
            </w:r>
          </w:p>
        </w:tc>
        <w:tc>
          <w:tcPr/>
          <w:p>
            <w:pPr>
              <w:pStyle w:val="Compact"/>
            </w:pPr>
            <w:r>
              <w:rPr>
                <w:sz w:val="17"/>
              </w:rPr>
              <w:t xml:space="preserve">Vérification terrain</w:t>
            </w:r>
          </w:p>
        </w:tc>
        <w:tc>
          <w:tcPr/>
          <w:p>
            <w:pPr>
              <w:pStyle w:val="Compact"/>
            </w:pPr>
            <w:r>
              <w:rPr>
                <w:sz w:val="17"/>
              </w:rPr>
              <w:t xml:space="preserve">Par plaque (tous titres actifs) ; hors ligne ; usage unique ; journal</w:t>
            </w:r>
          </w:p>
        </w:tc>
        <w:tc>
          <w:tcPr/>
          <w:p>
            <w:pPr>
              <w:pStyle w:val="Compact"/>
            </w:pPr>
            <w:r>
              <w:rPr>
                <w:sz w:val="17"/>
              </w:rPr>
              <w:t xml:space="preserve">Terminal enrôlé obligatoire ; reconfirmation à la synchronisation</w:t>
            </w:r>
          </w:p>
        </w:tc>
        <w:tc>
          <w:tcPr/>
          <w:p>
            <w:pPr>
              <w:pStyle w:val="Compact"/>
            </w:pPr>
            <w:r>
              <w:rPr>
                <w:sz w:val="17"/>
              </w:rPr>
              <w:t xml:space="preserve">Contrôles ; taux de rouge ; réutilisations</w:t>
            </w:r>
          </w:p>
        </w:tc>
        <w:tc>
          <w:tcPr/>
          <w:p>
            <w:pPr>
              <w:pStyle w:val="Compact"/>
            </w:pPr>
            <w:r>
              <w:rPr>
                <w:sz w:val="17"/>
              </w:rPr>
              <w:t xml:space="preserve">R1–R2 → R2</w:t>
            </w:r>
          </w:p>
        </w:tc>
      </w:tr>
      <w:tr>
        <w:tc>
          <w:tcPr>
            <w:shd w:val="clear" w:color="auto" w:fill="F5F7FB"/>
          </w:tcPr>
          <w:p>
            <w:pPr>
              <w:pStyle w:val="Compact"/>
            </w:pPr>
            <w:r>
              <w:rPr>
                <w:sz w:val="17"/>
              </w:rPr>
              <w:t xml:space="preserve">72</w:t>
            </w:r>
          </w:p>
        </w:tc>
        <w:tc>
          <w:tcPr>
            <w:shd w:val="clear" w:color="auto" w:fill="F5F7FB"/>
          </w:tcPr>
          <w:p>
            <w:pPr>
              <w:pStyle w:val="Compact"/>
            </w:pPr>
            <w:r>
              <w:rPr>
                <w:sz w:val="17"/>
              </w:rPr>
              <w:t xml:space="preserve">Espaces d’entité et configuration</w:t>
            </w:r>
          </w:p>
        </w:tc>
        <w:tc>
          <w:tcPr>
            <w:shd w:val="clear" w:color="auto" w:fill="F5F7FB"/>
          </w:tcPr>
          <w:p>
            <w:pPr>
              <w:pStyle w:val="Compact"/>
            </w:pPr>
            <w:r>
              <w:rPr>
                <w:sz w:val="17"/>
              </w:rPr>
              <w:t xml:space="preserve">Multi-entités</w:t>
            </w:r>
          </w:p>
        </w:tc>
        <w:tc>
          <w:tcPr>
            <w:shd w:val="clear" w:color="auto" w:fill="F5F7FB"/>
          </w:tcPr>
          <w:p>
            <w:pPr>
              <w:pStyle w:val="Compact"/>
            </w:pPr>
            <w:r>
              <w:rPr>
                <w:sz w:val="17"/>
              </w:rPr>
              <w:t xml:space="preserve">Espaces cloisonnés ; fiches de configuration ; arbitrage ; accords de service</w:t>
            </w:r>
          </w:p>
        </w:tc>
        <w:tc>
          <w:tcPr>
            <w:shd w:val="clear" w:color="auto" w:fill="F5F7FB"/>
          </w:tcPr>
          <w:p>
            <w:pPr>
              <w:pStyle w:val="Compact"/>
            </w:pPr>
            <w:r>
              <w:rPr>
                <w:sz w:val="17"/>
              </w:rPr>
              <w:t xml:space="preserve">Aucune entité n’accède au périmètre d’une autre ; activation après recette et seconde validation</w:t>
            </w:r>
          </w:p>
        </w:tc>
        <w:tc>
          <w:tcPr>
            <w:shd w:val="clear" w:color="auto" w:fill="F5F7FB"/>
          </w:tcPr>
          <w:p>
            <w:pPr>
              <w:pStyle w:val="Compact"/>
            </w:pPr>
            <w:r>
              <w:rPr>
                <w:sz w:val="17"/>
              </w:rPr>
              <w:t xml:space="preserve">Modules activés ; arbitrages ; délais</w:t>
            </w:r>
          </w:p>
        </w:tc>
        <w:tc>
          <w:tcPr>
            <w:shd w:val="clear" w:color="auto" w:fill="F5F7FB"/>
          </w:tcPr>
          <w:p>
            <w:pPr>
              <w:pStyle w:val="Compact"/>
            </w:pPr>
            <w:r>
              <w:rPr>
                <w:sz w:val="17"/>
              </w:rPr>
              <w:t xml:space="preserve">R1–R3 → R1</w:t>
            </w:r>
          </w:p>
        </w:tc>
      </w:tr>
      <w:tr>
        <w:tc>
          <w:tcPr/>
          <w:p>
            <w:pPr>
              <w:pStyle w:val="Compact"/>
            </w:pPr>
            <w:r>
              <w:rPr>
                <w:sz w:val="17"/>
              </w:rPr>
              <w:t xml:space="preserve">73</w:t>
            </w:r>
          </w:p>
        </w:tc>
        <w:tc>
          <w:tcPr/>
          <w:p>
            <w:pPr>
              <w:pStyle w:val="Compact"/>
            </w:pPr>
            <w:r>
              <w:rPr>
                <w:sz w:val="17"/>
              </w:rPr>
              <w:t xml:space="preserve">Répartition</w:t>
            </w:r>
            <w:r>
              <w:rPr>
                <w:sz w:val="17"/>
              </w:rPr>
              <w:t xml:space="preserve"> </w:t>
            </w:r>
            <w:r>
              <w:rPr>
                <w:b/>
                <w:bCs/>
                <w:sz w:val="17"/>
              </w:rPr>
              <w:t xml:space="preserve">légale</w:t>
            </w:r>
            <w:r>
              <w:rPr>
                <w:sz w:val="17"/>
              </w:rPr>
              <w:t xml:space="preserve"> </w:t>
            </w:r>
            <w:r>
              <w:rPr>
                <w:sz w:val="17"/>
              </w:rPr>
              <w:t xml:space="preserve">des recettes</w:t>
            </w:r>
          </w:p>
        </w:tc>
        <w:tc>
          <w:tcPr/>
          <w:p>
            <w:pPr>
              <w:pStyle w:val="Compact"/>
            </w:pPr>
            <w:r>
              <w:rPr>
                <w:sz w:val="17"/>
              </w:rPr>
              <w:t xml:space="preserve">Parts prévues par un texte</w:t>
            </w:r>
          </w:p>
        </w:tc>
        <w:tc>
          <w:tcPr/>
          <w:p>
            <w:pPr>
              <w:pStyle w:val="Compact"/>
            </w:pPr>
            <w:r>
              <w:rPr>
                <w:sz w:val="17"/>
              </w:rPr>
              <w:t xml:space="preserve">Clés légales versionnées ; calcul sur recettes rapprochées ; tableau calculé / rapproché / reversé</w:t>
            </w:r>
          </w:p>
        </w:tc>
        <w:tc>
          <w:tcPr/>
          <w:p>
            <w:pPr>
              <w:pStyle w:val="Compact"/>
            </w:pPr>
            <w:r>
              <w:rPr>
                <w:b/>
                <w:bCs/>
                <w:sz w:val="17"/>
              </w:rPr>
              <w:t xml:space="preserve">Aucun flux vers un compte privé</w:t>
            </w:r>
            <w:r>
              <w:rPr>
                <w:sz w:val="17"/>
              </w:rPr>
              <w:t xml:space="preserve"> </w:t>
            </w:r>
            <w:r>
              <w:rPr>
                <w:sz w:val="17"/>
              </w:rPr>
              <w:t xml:space="preserve">; somme = 100 % ; référence d’acte</w:t>
            </w:r>
          </w:p>
        </w:tc>
        <w:tc>
          <w:tcPr/>
          <w:p>
            <w:pPr>
              <w:pStyle w:val="Compact"/>
            </w:pPr>
            <w:r>
              <w:rPr>
                <w:sz w:val="17"/>
              </w:rPr>
              <w:t xml:space="preserve">Écart de répartition ; délai de reversement</w:t>
            </w:r>
          </w:p>
        </w:tc>
        <w:tc>
          <w:tcPr/>
          <w:p>
            <w:pPr>
              <w:pStyle w:val="Compact"/>
            </w:pPr>
            <w:r>
              <w:rPr>
                <w:sz w:val="17"/>
              </w:rPr>
              <w:t xml:space="preserve">R1 → R3 (requalifié, ARB-67)</w:t>
            </w:r>
          </w:p>
        </w:tc>
      </w:tr>
      <w:tr>
        <w:tc>
          <w:tcPr>
            <w:shd w:val="clear" w:color="auto" w:fill="F5F7FB"/>
          </w:tcPr>
          <w:p>
            <w:pPr>
              <w:pStyle w:val="Compact"/>
            </w:pPr>
            <w:r>
              <w:rPr>
                <w:sz w:val="17"/>
              </w:rPr>
              <w:t xml:space="preserve">74</w:t>
            </w:r>
          </w:p>
        </w:tc>
        <w:tc>
          <w:tcPr>
            <w:shd w:val="clear" w:color="auto" w:fill="F5F7FB"/>
          </w:tcPr>
          <w:p>
            <w:pPr>
              <w:pStyle w:val="Compact"/>
            </w:pPr>
            <w:r>
              <w:rPr>
                <w:sz w:val="17"/>
              </w:rPr>
              <w:t xml:space="preserve">Invitations et accès</w:t>
            </w:r>
          </w:p>
        </w:tc>
        <w:tc>
          <w:tcPr>
            <w:shd w:val="clear" w:color="auto" w:fill="F5F7FB"/>
          </w:tcPr>
          <w:p>
            <w:pPr>
              <w:pStyle w:val="Compact"/>
            </w:pPr>
            <w:r>
              <w:rPr>
                <w:sz w:val="17"/>
              </w:rPr>
              <w:t xml:space="preserve">Comptes de travail sur invitation</w:t>
            </w:r>
          </w:p>
        </w:tc>
        <w:tc>
          <w:tcPr>
            <w:shd w:val="clear" w:color="auto" w:fill="F5F7FB"/>
          </w:tcPr>
          <w:p>
            <w:pPr>
              <w:pStyle w:val="Compact"/>
            </w:pPr>
            <w:r>
              <w:rPr>
                <w:sz w:val="17"/>
              </w:rPr>
              <w:t xml:space="preserve">Cascade sans élévation ; lien à usage unique ; inscription assistée ; seconde validation ; révocation en cascade</w:t>
            </w:r>
          </w:p>
        </w:tc>
        <w:tc>
          <w:tcPr>
            <w:shd w:val="clear" w:color="auto" w:fill="F5F7FB"/>
          </w:tcPr>
          <w:p>
            <w:pPr>
              <w:pStyle w:val="Compact"/>
            </w:pPr>
            <w:r>
              <w:rPr>
                <w:sz w:val="17"/>
              </w:rPr>
              <w:t xml:space="preserve">L’opérateur d’accès ne connaît jamais les secrets</w:t>
            </w:r>
          </w:p>
        </w:tc>
        <w:tc>
          <w:tcPr>
            <w:shd w:val="clear" w:color="auto" w:fill="F5F7FB"/>
          </w:tcPr>
          <w:p>
            <w:pPr>
              <w:pStyle w:val="Compact"/>
            </w:pPr>
            <w:r>
              <w:rPr>
                <w:sz w:val="17"/>
              </w:rPr>
              <w:t xml:space="preserve">Invitations acceptées ; délais ; révocations</w:t>
            </w:r>
          </w:p>
        </w:tc>
        <w:tc>
          <w:tcPr>
            <w:shd w:val="clear" w:color="auto" w:fill="F5F7FB"/>
          </w:tcPr>
          <w:p>
            <w:pPr>
              <w:pStyle w:val="Compact"/>
            </w:pPr>
            <w:r>
              <w:rPr>
                <w:sz w:val="17"/>
              </w:rPr>
              <w:t xml:space="preserve">R1 → R1</w:t>
            </w:r>
          </w:p>
        </w:tc>
      </w:tr>
      <w:tr>
        <w:tc>
          <w:tcPr/>
          <w:p>
            <w:pPr>
              <w:pStyle w:val="Compact"/>
            </w:pPr>
            <w:r>
              <w:rPr>
                <w:sz w:val="17"/>
              </w:rPr>
              <w:t xml:space="preserve">75</w:t>
            </w:r>
          </w:p>
        </w:tc>
        <w:tc>
          <w:tcPr/>
          <w:p>
            <w:pPr>
              <w:pStyle w:val="Compact"/>
            </w:pPr>
            <w:r>
              <w:rPr>
                <w:sz w:val="17"/>
              </w:rPr>
              <w:t xml:space="preserve">Stationnement intelligent ParkSmart</w:t>
            </w:r>
          </w:p>
        </w:tc>
        <w:tc>
          <w:tcPr/>
          <w:p>
            <w:pPr>
              <w:pStyle w:val="Compact"/>
            </w:pPr>
            <w:r>
              <w:rPr>
                <w:sz w:val="17"/>
              </w:rPr>
              <w:t xml:space="preserve">Stationnement rentable et fluide</w:t>
            </w:r>
          </w:p>
        </w:tc>
        <w:tc>
          <w:tcPr/>
          <w:p>
            <w:pPr>
              <w:pStyle w:val="Compact"/>
            </w:pPr>
            <w:r>
              <w:rPr>
                <w:sz w:val="17"/>
              </w:rPr>
              <w:t xml:space="preserve">Zones ; tarification réglementée dans les bornes de l’acte ; réservations ; capteurs et LPR progressifs ; score de conformité par plaque</w:t>
            </w:r>
          </w:p>
        </w:tc>
        <w:tc>
          <w:tcPr/>
          <w:p>
            <w:pPr>
              <w:pStyle w:val="Compact"/>
            </w:pPr>
            <w:r>
              <w:rPr>
                <w:sz w:val="17"/>
              </w:rPr>
              <w:t xml:space="preserve">Fourrière et blocage décidés par l’autorité</w:t>
            </w:r>
          </w:p>
        </w:tc>
        <w:tc>
          <w:tcPr/>
          <w:p>
            <w:pPr>
              <w:pStyle w:val="Compact"/>
            </w:pPr>
            <w:r>
              <w:rPr>
                <w:sz w:val="17"/>
              </w:rPr>
              <w:t xml:space="preserve">Occupation, rotation, recettes par mètre linéaire</w:t>
            </w:r>
          </w:p>
        </w:tc>
        <w:tc>
          <w:tcPr/>
          <w:p>
            <w:pPr>
              <w:pStyle w:val="Compact"/>
            </w:pPr>
            <w:r>
              <w:rPr>
                <w:sz w:val="17"/>
              </w:rPr>
              <w:t xml:space="preserve">R1–R3 → R2 (après acte)</w:t>
            </w:r>
          </w:p>
        </w:tc>
      </w:tr>
      <w:tr>
        <w:tc>
          <w:tcPr>
            <w:shd w:val="clear" w:color="auto" w:fill="F5F7FB"/>
          </w:tcPr>
          <w:p>
            <w:pPr>
              <w:pStyle w:val="Compact"/>
            </w:pPr>
            <w:r>
              <w:rPr>
                <w:sz w:val="17"/>
              </w:rPr>
              <w:t xml:space="preserve">76</w:t>
            </w:r>
          </w:p>
        </w:tc>
        <w:tc>
          <w:tcPr>
            <w:shd w:val="clear" w:color="auto" w:fill="F5F7FB"/>
          </w:tcPr>
          <w:p>
            <w:pPr>
              <w:pStyle w:val="Compact"/>
            </w:pPr>
            <w:r>
              <w:rPr>
                <w:sz w:val="17"/>
              </w:rPr>
              <w:t xml:space="preserve">Billetterie multi-opérateurs</w:t>
            </w:r>
          </w:p>
        </w:tc>
        <w:tc>
          <w:tcPr>
            <w:shd w:val="clear" w:color="auto" w:fill="F5F7FB"/>
          </w:tcPr>
          <w:p>
            <w:pPr>
              <w:pStyle w:val="Compact"/>
            </w:pPr>
            <w:r>
              <w:rPr>
                <w:sz w:val="17"/>
              </w:rPr>
              <w:t xml:space="preserve">Tickets à durée pour les usages urbains</w:t>
            </w:r>
          </w:p>
        </w:tc>
        <w:tc>
          <w:tcPr>
            <w:shd w:val="clear" w:color="auto" w:fill="F5F7FB"/>
          </w:tcPr>
          <w:p>
            <w:pPr>
              <w:pStyle w:val="Compact"/>
            </w:pPr>
            <w:r>
              <w:rPr>
                <w:sz w:val="17"/>
              </w:rPr>
              <w:t xml:space="preserve">Opérateurs ; tickets 1 h à 30 jours ; vente application/USSD/point agréé + SMS ; audit comportemental ; séparation comptable</w:t>
            </w:r>
          </w:p>
        </w:tc>
        <w:tc>
          <w:tcPr>
            <w:shd w:val="clear" w:color="auto" w:fill="F5F7FB"/>
          </w:tcPr>
          <w:p>
            <w:pPr>
              <w:pStyle w:val="Compact"/>
            </w:pPr>
            <w:r>
              <w:rPr>
                <w:sz w:val="17"/>
              </w:rPr>
              <w:t xml:space="preserve">Espèces via point agréé seulement ; agent exclusif à un opérateur ; pénalité selon RW1</w:t>
            </w:r>
          </w:p>
        </w:tc>
        <w:tc>
          <w:tcPr>
            <w:shd w:val="clear" w:color="auto" w:fill="F5F7FB"/>
          </w:tcPr>
          <w:p>
            <w:pPr>
              <w:pStyle w:val="Compact"/>
            </w:pPr>
            <w:r>
              <w:rPr>
                <w:sz w:val="17"/>
              </w:rPr>
              <w:t xml:space="preserve">Tickets vendus ; contrôles ; pénalités contestées</w:t>
            </w:r>
          </w:p>
        </w:tc>
        <w:tc>
          <w:tcPr>
            <w:shd w:val="clear" w:color="auto" w:fill="F5F7FB"/>
          </w:tcPr>
          <w:p>
            <w:pPr>
              <w:pStyle w:val="Compact"/>
            </w:pPr>
            <w:r>
              <w:rPr>
                <w:sz w:val="17"/>
              </w:rPr>
              <w:t xml:space="preserve">R1–R2 → R3</w:t>
            </w:r>
          </w:p>
        </w:tc>
      </w:tr>
      <w:tr>
        <w:tc>
          <w:tcPr/>
          <w:p>
            <w:pPr>
              <w:pStyle w:val="Compact"/>
            </w:pPr>
            <w:r>
              <w:rPr>
                <w:sz w:val="17"/>
              </w:rPr>
              <w:t xml:space="preserve">77</w:t>
            </w:r>
          </w:p>
        </w:tc>
        <w:tc>
          <w:tcPr/>
          <w:p>
            <w:pPr>
              <w:pStyle w:val="Compact"/>
            </w:pPr>
            <w:r>
              <w:rPr>
                <w:sz w:val="17"/>
              </w:rPr>
              <w:t xml:space="preserve">KIN PUB CONTROL</w:t>
            </w:r>
          </w:p>
        </w:tc>
        <w:tc>
          <w:tcPr/>
          <w:p>
            <w:pPr>
              <w:pStyle w:val="Compact"/>
            </w:pPr>
            <w:r>
              <w:rPr>
                <w:sz w:val="17"/>
              </w:rPr>
              <w:t xml:space="preserve">Contrôle publicitaire probant</w:t>
            </w:r>
          </w:p>
        </w:tc>
        <w:tc>
          <w:tcPr/>
          <w:p>
            <w:pPr>
              <w:pStyle w:val="Compact"/>
            </w:pPr>
            <w:r>
              <w:rPr>
                <w:sz w:val="17"/>
              </w:rPr>
              <w:t xml:space="preserve">OCR ; dossier de constat ; notification ; supervision ; recherche de l’autorisation</w:t>
            </w:r>
          </w:p>
        </w:tc>
        <w:tc>
          <w:tcPr/>
          <w:p>
            <w:pPr>
              <w:pStyle w:val="Compact"/>
            </w:pPr>
            <w:r>
              <w:rPr>
                <w:sz w:val="17"/>
              </w:rPr>
              <w:t xml:space="preserve">Contrôleur constate, superviseur vérifie, autorité décide</w:t>
            </w:r>
          </w:p>
        </w:tc>
        <w:tc>
          <w:tcPr/>
          <w:p>
            <w:pPr>
              <w:pStyle w:val="Compact"/>
            </w:pPr>
            <w:r>
              <w:rPr>
                <w:sz w:val="17"/>
              </w:rPr>
              <w:t xml:space="preserve">Supports régularisés ; constats validés</w:t>
            </w:r>
          </w:p>
        </w:tc>
        <w:tc>
          <w:tcPr/>
          <w:p>
            <w:pPr>
              <w:pStyle w:val="Compact"/>
            </w:pPr>
            <w:r>
              <w:rPr>
                <w:sz w:val="17"/>
              </w:rPr>
              <w:t xml:space="preserve">R2 → R2</w:t>
            </w:r>
          </w:p>
        </w:tc>
      </w:tr>
      <w:tr>
        <w:tc>
          <w:tcPr>
            <w:shd w:val="clear" w:color="auto" w:fill="F5F7FB"/>
          </w:tcPr>
          <w:p>
            <w:pPr>
              <w:pStyle w:val="Compact"/>
            </w:pPr>
            <w:r>
              <w:rPr>
                <w:sz w:val="17"/>
              </w:rPr>
              <w:t xml:space="preserve">78</w:t>
            </w:r>
          </w:p>
        </w:tc>
        <w:tc>
          <w:tcPr>
            <w:shd w:val="clear" w:color="auto" w:fill="F5F7FB"/>
          </w:tcPr>
          <w:p>
            <w:pPr>
              <w:pStyle w:val="Compact"/>
            </w:pPr>
            <w:r>
              <w:rPr>
                <w:sz w:val="17"/>
              </w:rPr>
              <w:t xml:space="preserve">Hub de réconciliation aérienne</w:t>
            </w:r>
          </w:p>
        </w:tc>
        <w:tc>
          <w:tcPr>
            <w:shd w:val="clear" w:color="auto" w:fill="F5F7FB"/>
          </w:tcPr>
          <w:p>
            <w:pPr>
              <w:pStyle w:val="Compact"/>
            </w:pPr>
            <w:r>
              <w:rPr>
                <w:sz w:val="17"/>
              </w:rPr>
              <w:t xml:space="preserve">Données aériennes</w:t>
            </w:r>
          </w:p>
        </w:tc>
        <w:tc>
          <w:tcPr>
            <w:shd w:val="clear" w:color="auto" w:fill="F5F7FB"/>
          </w:tcPr>
          <w:p>
            <w:pPr>
              <w:pStyle w:val="Compact"/>
            </w:pPr>
            <w:r>
              <w:rPr>
                <w:sz w:val="17"/>
              </w:rPr>
              <w:t xml:space="preserve">Connecteurs BSP, GDS, DCS ; portail des agences ; IFA ; rapprochement</w:t>
            </w:r>
          </w:p>
        </w:tc>
        <w:tc>
          <w:tcPr>
            <w:shd w:val="clear" w:color="auto" w:fill="F5F7FB"/>
          </w:tcPr>
          <w:p>
            <w:pPr>
              <w:pStyle w:val="Compact"/>
            </w:pPr>
            <w:r>
              <w:rPr>
                <w:sz w:val="17"/>
              </w:rPr>
              <w:t xml:space="preserve">Mesures contraignantes seulement après arrêté</w:t>
            </w:r>
          </w:p>
        </w:tc>
        <w:tc>
          <w:tcPr>
            <w:shd w:val="clear" w:color="auto" w:fill="F5F7FB"/>
          </w:tcPr>
          <w:p>
            <w:pPr>
              <w:pStyle w:val="Compact"/>
            </w:pPr>
            <w:r>
              <w:rPr>
                <w:sz w:val="17"/>
              </w:rPr>
              <w:t xml:space="preserve">Passagers tracés ; écart de reversement</w:t>
            </w:r>
          </w:p>
        </w:tc>
        <w:tc>
          <w:tcPr>
            <w:shd w:val="clear" w:color="auto" w:fill="F5F7FB"/>
          </w:tcPr>
          <w:p>
            <w:pPr>
              <w:pStyle w:val="Compact"/>
            </w:pPr>
            <w:r>
              <w:rPr>
                <w:sz w:val="17"/>
              </w:rPr>
              <w:t xml:space="preserve">R3–R4 → R4</w:t>
            </w:r>
          </w:p>
        </w:tc>
      </w:tr>
      <w:tr>
        <w:tc>
          <w:tcPr/>
          <w:p>
            <w:pPr>
              <w:pStyle w:val="Compact"/>
            </w:pPr>
            <w:r>
              <w:rPr>
                <w:sz w:val="17"/>
              </w:rPr>
              <w:t xml:space="preserve">79</w:t>
            </w:r>
          </w:p>
        </w:tc>
        <w:tc>
          <w:tcPr/>
          <w:p>
            <w:pPr>
              <w:pStyle w:val="Compact"/>
            </w:pPr>
            <w:r>
              <w:rPr>
                <w:sz w:val="17"/>
              </w:rPr>
              <w:t xml:space="preserve">Plaque fiscale immobilière</w:t>
            </w:r>
          </w:p>
        </w:tc>
        <w:tc>
          <w:tcPr/>
          <w:p>
            <w:pPr>
              <w:pStyle w:val="Compact"/>
            </w:pPr>
            <w:r>
              <w:rPr>
                <w:sz w:val="17"/>
              </w:rPr>
              <w:t xml:space="preserve">Identité visible du bien</w:t>
            </w:r>
          </w:p>
        </w:tc>
        <w:tc>
          <w:tcPr/>
          <w:p>
            <w:pPr>
              <w:pStyle w:val="Compact"/>
            </w:pPr>
            <w:r>
              <w:rPr>
                <w:sz w:val="17"/>
              </w:rPr>
              <w:t xml:space="preserve">Plaque NFIU + QR ; statut d’occupation ; situation (agent habilité) ; paiement sans smartphone ; rapports journaliers</w:t>
            </w:r>
          </w:p>
        </w:tc>
        <w:tc>
          <w:tcPr/>
          <w:p>
            <w:pPr>
              <w:pStyle w:val="Compact"/>
            </w:pPr>
            <w:r>
              <w:rPr>
                <w:sz w:val="17"/>
              </w:rPr>
              <w:t xml:space="preserve">Montants non modifiables par l’agent ; scan public minimal</w:t>
            </w:r>
          </w:p>
        </w:tc>
        <w:tc>
          <w:tcPr/>
          <w:p>
            <w:pPr>
              <w:pStyle w:val="Compact"/>
            </w:pPr>
            <w:r>
              <w:rPr>
                <w:sz w:val="17"/>
              </w:rPr>
              <w:t xml:space="preserve">Maisons immatriculées ; conformité IF/IRL</w:t>
            </w:r>
          </w:p>
        </w:tc>
        <w:tc>
          <w:tcPr/>
          <w:p>
            <w:pPr>
              <w:pStyle w:val="Compact"/>
            </w:pPr>
            <w:r>
              <w:rPr>
                <w:sz w:val="17"/>
              </w:rPr>
              <w:t xml:space="preserve">R1–R2 → R2</w:t>
            </w:r>
          </w:p>
        </w:tc>
      </w:tr>
      <w:tr>
        <w:tc>
          <w:tcPr>
            <w:shd w:val="clear" w:color="auto" w:fill="F5F7FB"/>
          </w:tcPr>
          <w:p>
            <w:pPr>
              <w:pStyle w:val="Compact"/>
            </w:pPr>
            <w:r>
              <w:rPr>
                <w:sz w:val="17"/>
              </w:rPr>
              <w:t xml:space="preserve">80</w:t>
            </w:r>
          </w:p>
        </w:tc>
        <w:tc>
          <w:tcPr>
            <w:shd w:val="clear" w:color="auto" w:fill="F5F7FB"/>
          </w:tcPr>
          <w:p>
            <w:pPr>
              <w:pStyle w:val="Compact"/>
            </w:pPr>
            <w:r>
              <w:rPr>
                <w:sz w:val="17"/>
              </w:rPr>
              <w:t xml:space="preserve">CALCU</w:t>
            </w:r>
          </w:p>
        </w:tc>
        <w:tc>
          <w:tcPr>
            <w:shd w:val="clear" w:color="auto" w:fill="F5F7FB"/>
          </w:tcPr>
          <w:p>
            <w:pPr>
              <w:pStyle w:val="Compact"/>
            </w:pPr>
            <w:r>
              <w:rPr>
                <w:sz w:val="17"/>
              </w:rPr>
              <w:t xml:space="preserve">Contrôle de la dépense</w:t>
            </w:r>
          </w:p>
        </w:tc>
        <w:tc>
          <w:tcPr>
            <w:shd w:val="clear" w:color="auto" w:fill="F5F7FB"/>
          </w:tcPr>
          <w:p>
            <w:pPr>
              <w:pStyle w:val="Compact"/>
            </w:pPr>
            <w:r>
              <w:rPr>
                <w:sz w:val="17"/>
              </w:rPr>
              <w:t xml:space="preserve">Registre des comptes publics ; passerelle bancaire ; justificatifs ; score vert/ambre/rouge ; rapports numérotés</w:t>
            </w:r>
          </w:p>
        </w:tc>
        <w:tc>
          <w:tcPr>
            <w:shd w:val="clear" w:color="auto" w:fill="F5F7FB"/>
          </w:tcPr>
          <w:p>
            <w:pPr>
              <w:pStyle w:val="Compact"/>
            </w:pPr>
            <w:r>
              <w:rPr>
                <w:sz w:val="17"/>
              </w:rPr>
              <w:t xml:space="preserve">Ne bloque aucun paiement ; secret bancaire ; gel seulement par l’organe de contrôle selon la loi</w:t>
            </w:r>
          </w:p>
        </w:tc>
        <w:tc>
          <w:tcPr>
            <w:shd w:val="clear" w:color="auto" w:fill="F5F7FB"/>
          </w:tcPr>
          <w:p>
            <w:pPr>
              <w:pStyle w:val="Compact"/>
            </w:pPr>
            <w:r>
              <w:rPr>
                <w:sz w:val="17"/>
              </w:rPr>
              <w:t xml:space="preserve">Transactions vertes ; montants récupérés</w:t>
            </w:r>
          </w:p>
        </w:tc>
        <w:tc>
          <w:tcPr>
            <w:shd w:val="clear" w:color="auto" w:fill="F5F7FB"/>
          </w:tcPr>
          <w:p>
            <w:pPr>
              <w:pStyle w:val="Compact"/>
            </w:pPr>
            <w:r>
              <w:rPr>
                <w:sz w:val="17"/>
              </w:rPr>
              <w:t xml:space="preserve">R3–R4 → R4</w:t>
            </w:r>
          </w:p>
        </w:tc>
      </w:tr>
      <w:tr>
        <w:tc>
          <w:tcPr/>
          <w:p>
            <w:pPr>
              <w:pStyle w:val="Compact"/>
            </w:pPr>
            <w:r>
              <w:rPr>
                <w:sz w:val="17"/>
              </w:rPr>
              <w:t xml:space="preserve">81</w:t>
            </w:r>
          </w:p>
        </w:tc>
        <w:tc>
          <w:tcPr/>
          <w:p>
            <w:pPr>
              <w:pStyle w:val="Compact"/>
            </w:pPr>
            <w:r>
              <w:rPr>
                <w:sz w:val="17"/>
              </w:rPr>
              <w:t xml:space="preserve">Pass moto-taxis wewa — extension de la billetterie RakaPay (module 76)</w:t>
            </w:r>
          </w:p>
        </w:tc>
        <w:tc>
          <w:tcPr/>
          <w:p>
            <w:pPr>
              <w:pStyle w:val="Compact"/>
            </w:pPr>
            <w:r>
              <w:rPr>
                <w:sz w:val="17"/>
              </w:rPr>
              <w:t xml:space="preserve">Identifier et libérer les wewa</w:t>
            </w:r>
          </w:p>
        </w:tc>
        <w:tc>
          <w:tcPr/>
          <w:p>
            <w:pPr>
              <w:pStyle w:val="Compact"/>
            </w:pPr>
            <w:r>
              <w:rPr>
                <w:sz w:val="17"/>
              </w:rPr>
              <w:t xml:space="preserve">Registre motos, conducteurs, stations ; pass non transférable ; gilet et autocollant QR ; paiement individuel ou groupé ; vérification passager ; espace coopérative ; période de grâce</w:t>
            </w:r>
          </w:p>
        </w:tc>
        <w:tc>
          <w:tcPr/>
          <w:p>
            <w:pPr>
              <w:pStyle w:val="Compact"/>
            </w:pPr>
            <w:r>
              <w:rPr>
                <w:sz w:val="17"/>
              </w:rPr>
              <w:t xml:space="preserve">Aucune espèce sur la route ; tarif fixé par l’acte ; wewa en vert = rien à payer ; aucune immobilisation algorithmique</w:t>
            </w:r>
          </w:p>
        </w:tc>
        <w:tc>
          <w:tcPr/>
          <w:p>
            <w:pPr>
              <w:pStyle w:val="Compact"/>
            </w:pPr>
            <w:r>
              <w:rPr>
                <w:sz w:val="17"/>
              </w:rPr>
              <w:t xml:space="preserve">Wewa enregistrés ; conformité ; paiement numérique ; plaintes</w:t>
            </w:r>
          </w:p>
        </w:tc>
        <w:tc>
          <w:tcPr/>
          <w:p>
            <w:pPr>
              <w:pStyle w:val="Compact"/>
            </w:pPr>
            <w:r>
              <w:rPr>
                <w:sz w:val="17"/>
              </w:rPr>
              <w:t xml:space="preserve">R1–R2 → R3</w:t>
            </w:r>
          </w:p>
        </w:tc>
      </w:tr>
    </w:tbl>
    <w:p>
      <w:pPr>
        <w:pStyle w:val="BodyText"/>
      </w:pPr>
      <w:r>
        <w:rPr>
          <w:b/>
          <w:bCs/>
        </w:rPr>
        <w:t xml:space="preserve">Intégrations clés (rappel de la Spécification)</w:t>
      </w:r>
      <w:r>
        <w:t xml:space="preserve"> </w:t>
      </w:r>
      <w:r>
        <w:t xml:space="preserve">: registre NIF (DGI) et RCCM sous convention (1) ; import de l’existant (2) ; opérateurs télécoms (6, 64) ; cadastre foncier et imagerie sous licence (8) ; énergie, eau, employeurs sous protocole (9) ; immatriculations et assurances (11) ; brasseries (17) ; banques, opérateurs de monnaie mobile, agrégateur agréé (28, 29) ; IATA/BSP, GDS, DCS, RVA, DGM (78) ; banques pour CALCU (80).</w:t>
      </w:r>
    </w:p>
    <w:bookmarkEnd w:id="569"/>
    <w:bookmarkStart w:id="577" w:name="X5461e9498bf83cfcb750cbbe02c7c99336b7eba"/>
    <w:p>
      <w:pPr>
        <w:pStyle w:val="Heading2"/>
      </w:pPr>
      <w:r>
        <w:t xml:space="preserve">H.29 Tableau d’arbitrage des contradictions des sources</w:t>
      </w:r>
    </w:p>
    <w:p>
      <w:pPr>
        <w:pStyle w:val="FirstParagraph"/>
      </w:pPr>
      <w:r>
        <w:t xml:space="preserve">Les arbitrages ARB-01 à ARB-55 reprennent, dans l’ordre, les contradictions et points sensibles relevés dans les sources (partie « points sensibles » de l’extraction : A — financement ; B — sanctions ; C — espèces et paiement ; D — données et sous-traitance ; E — incohérences internes ; F — légalité). ARB-56 à ARB-77 consignent les changements propres à la v3.0.</w:t>
      </w:r>
      <w:r>
        <w:t xml:space="preserve"> </w:t>
      </w:r>
      <w:r>
        <w:rPr>
          <w:b/>
          <w:bCs/>
        </w:rPr>
        <w:t xml:space="preserve">La position v3.0 est opposable</w:t>
      </w:r>
      <w:r>
        <w:t xml:space="preserve"> </w:t>
      </w:r>
      <w:r>
        <w:t xml:space="preserve">; toute remise en cause passe par le Comité de contrôle des changements et, pour les points juridiques, par le Comité juridique et tarifaire.</w:t>
      </w:r>
    </w:p>
    <w:bookmarkStart w:id="570" w:name="X535e4118e7615096cc7a59be823c58b36e0bdec"/>
    <w:p>
      <w:pPr>
        <w:pStyle w:val="Heading3"/>
      </w:pPr>
      <w:r>
        <w:t xml:space="preserve">H.29.1 Financement et rémunération privée (A)</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ID</w:t>
            </w:r>
          </w:p>
        </w:tc>
        <w:tc>
          <w:tcPr>
            <w:shd w:val="clear" w:color="auto" w:fill="232C6B"/>
          </w:tcPr>
          <w:p>
            <w:pPr>
              <w:pStyle w:val="Compact"/>
            </w:pPr>
            <w:r>
              <w:rPr>
                <w:b/>
                <w:color w:val="FFFFFF"/>
                <w:sz w:val="17"/>
              </w:rPr>
              <w:t xml:space="preserve">Contradiction dans les sources</w:t>
            </w:r>
          </w:p>
        </w:tc>
        <w:tc>
          <w:tcPr>
            <w:shd w:val="clear" w:color="auto" w:fill="232C6B"/>
          </w:tcPr>
          <w:p>
            <w:pPr>
              <w:pStyle w:val="Compact"/>
            </w:pPr>
            <w:r>
              <w:rPr>
                <w:b/>
                <w:color w:val="FFFFFF"/>
                <w:sz w:val="17"/>
              </w:rPr>
              <w:t xml:space="preserve">Position v3.0</w:t>
            </w:r>
          </w:p>
        </w:tc>
        <w:tc>
          <w:tcPr>
            <w:shd w:val="clear" w:color="auto" w:fill="232C6B"/>
          </w:tcPr>
          <w:p>
            <w:pPr>
              <w:pStyle w:val="Compact"/>
            </w:pPr>
            <w:r>
              <w:rPr>
                <w:b/>
                <w:color w:val="FFFFFF"/>
                <w:sz w:val="17"/>
              </w:rPr>
              <w:t xml:space="preserve">Justification</w:t>
            </w:r>
          </w:p>
        </w:tc>
      </w:tr>
      <w:tr>
        <w:tc>
          <w:tcPr/>
          <w:p>
            <w:pPr>
              <w:pStyle w:val="Compact"/>
            </w:pPr>
            <w:r>
              <w:rPr>
                <w:sz w:val="17"/>
              </w:rPr>
              <w:t xml:space="preserve">ARB-01</w:t>
            </w:r>
          </w:p>
        </w:tc>
        <w:tc>
          <w:tcPr/>
          <w:p>
            <w:pPr>
              <w:pStyle w:val="Compact"/>
            </w:pPr>
            <w:r>
              <w:rPr>
                <w:sz w:val="17"/>
              </w:rPr>
              <w:t xml:space="preserve">Partage 10 % au prestataire pendant 30 ans (C § 37A) vs Note exécutive « aucun pourcentage sur les recettes publiques » vs C § 37 « contrat à la performance déconseillé » vs DG § 30 (plafond, durée fixe)</w:t>
            </w:r>
          </w:p>
        </w:tc>
        <w:tc>
          <w:tcPr/>
          <w:p>
            <w:pPr>
              <w:pStyle w:val="Compact"/>
            </w:pPr>
            <w:r>
              <w:rPr>
                <w:b/>
                <w:bCs/>
                <w:sz w:val="17"/>
              </w:rPr>
              <w:t xml:space="preserve">Modèle 10/10/10/70 écarté</w:t>
            </w:r>
            <w:r>
              <w:rPr>
                <w:sz w:val="17"/>
              </w:rPr>
              <w:t xml:space="preserve"> </w:t>
            </w:r>
            <w:r>
              <w:rPr>
                <w:sz w:val="17"/>
              </w:rPr>
              <w:t xml:space="preserve">; modèle hybride : forfaits + prime plafonnée sur la seule recette additionnelle nette vérifiée (RANV), durée fixe courte, payée sur crédit budgétaire (§ 37.2–37.3 ; décision n° 9)</w:t>
            </w:r>
          </w:p>
        </w:tc>
        <w:tc>
          <w:tcPr/>
          <w:p>
            <w:pPr>
              <w:pStyle w:val="Compact"/>
            </w:pPr>
            <w:r>
              <w:rPr>
                <w:sz w:val="17"/>
              </w:rPr>
              <w:t xml:space="preserve">Unité de caisse (LOFIP) ; risque de gestion de fait (Cour des comptes) ; perception de « fermage fiscal » ; position initiale de la Note exécutive ; exigence de la commande</w:t>
            </w:r>
          </w:p>
        </w:tc>
      </w:tr>
      <w:tr>
        <w:tc>
          <w:tcPr>
            <w:shd w:val="clear" w:color="auto" w:fill="F5F7FB"/>
          </w:tcPr>
          <w:p>
            <w:pPr>
              <w:pStyle w:val="Compact"/>
            </w:pPr>
            <w:r>
              <w:rPr>
                <w:sz w:val="17"/>
              </w:rPr>
              <w:t xml:space="preserve">ARB-02</w:t>
            </w:r>
          </w:p>
        </w:tc>
        <w:tc>
          <w:tcPr>
            <w:shd w:val="clear" w:color="auto" w:fill="F5F7FB"/>
          </w:tcPr>
          <w:p>
            <w:pPr>
              <w:pStyle w:val="Compact"/>
            </w:pPr>
            <w:r>
              <w:rPr>
                <w:sz w:val="17"/>
              </w:rPr>
              <w:t xml:space="preserve">Assiette du 10 % = toute recette rapprochée, y compris celles perçues avant MOSOLO</w:t>
            </w:r>
          </w:p>
        </w:tc>
        <w:tc>
          <w:tcPr>
            <w:shd w:val="clear" w:color="auto" w:fill="F5F7FB"/>
          </w:tcPr>
          <w:p>
            <w:pPr>
              <w:pStyle w:val="Compact"/>
            </w:pPr>
            <w:r>
              <w:rPr>
                <w:sz w:val="17"/>
              </w:rPr>
              <w:t xml:space="preserve">Toute prime porte</w:t>
            </w:r>
            <w:r>
              <w:rPr>
                <w:sz w:val="17"/>
              </w:rPr>
              <w:t xml:space="preserve"> </w:t>
            </w:r>
            <w:r>
              <w:rPr>
                <w:b/>
                <w:bCs/>
                <w:sz w:val="17"/>
              </w:rPr>
              <w:t xml:space="preserve">uniquement sur la RANV</w:t>
            </w:r>
            <w:r>
              <w:rPr>
                <w:sz w:val="17"/>
              </w:rPr>
              <w:t xml:space="preserve"> </w:t>
            </w:r>
            <w:r>
              <w:rPr>
                <w:sz w:val="17"/>
              </w:rPr>
              <w:t xml:space="preserve">au-delà d’une base de référence certifiée par un auditeur indépendant</w:t>
            </w:r>
          </w:p>
        </w:tc>
        <w:tc>
          <w:tcPr>
            <w:shd w:val="clear" w:color="auto" w:fill="F5F7FB"/>
          </w:tcPr>
          <w:p>
            <w:pPr>
              <w:pStyle w:val="Compact"/>
            </w:pPr>
            <w:r>
              <w:rPr>
                <w:sz w:val="17"/>
              </w:rPr>
              <w:t xml:space="preserve">À recettes constantes, la Province perdrait 10 % ; § 38.2 fait de la RANV la mesure du succès</w:t>
            </w:r>
          </w:p>
        </w:tc>
      </w:tr>
      <w:tr>
        <w:tc>
          <w:tcPr/>
          <w:p>
            <w:pPr>
              <w:pStyle w:val="Compact"/>
            </w:pPr>
            <w:r>
              <w:rPr>
                <w:sz w:val="17"/>
              </w:rPr>
              <w:t xml:space="preserve">ARB-03</w:t>
            </w:r>
          </w:p>
        </w:tc>
        <w:tc>
          <w:tcPr/>
          <w:p>
            <w:pPr>
              <w:pStyle w:val="Compact"/>
            </w:pPr>
            <w:r>
              <w:rPr>
                <w:sz w:val="17"/>
              </w:rPr>
              <w:t xml:space="preserve">C § 27 « aucune répartition discrétionnaire à un partenaire privé » vs § 37A</w:t>
            </w:r>
          </w:p>
        </w:tc>
        <w:tc>
          <w:tcPr/>
          <w:p>
            <w:pPr>
              <w:pStyle w:val="Compact"/>
            </w:pPr>
            <w:r>
              <w:rPr>
                <w:sz w:val="17"/>
              </w:rPr>
              <w:t xml:space="preserve">Principe du § 27</w:t>
            </w:r>
            <w:r>
              <w:rPr>
                <w:sz w:val="17"/>
              </w:rPr>
              <w:t xml:space="preserve"> </w:t>
            </w:r>
            <w:r>
              <w:rPr>
                <w:b/>
                <w:bCs/>
                <w:sz w:val="17"/>
              </w:rPr>
              <w:t xml:space="preserve">renforcé</w:t>
            </w:r>
            <w:r>
              <w:rPr>
                <w:sz w:val="17"/>
              </w:rPr>
              <w:t xml:space="preserve"> </w:t>
            </w:r>
            <w:r>
              <w:rPr>
                <w:sz w:val="17"/>
              </w:rPr>
              <w:t xml:space="preserve">: l’administrateur de la plateforme ne reçoit jamais de part automatique (§ 27.1)</w:t>
            </w:r>
          </w:p>
        </w:tc>
        <w:tc>
          <w:tcPr/>
          <w:p>
            <w:pPr>
              <w:pStyle w:val="Compact"/>
            </w:pPr>
            <w:r>
              <w:rPr>
                <w:sz w:val="17"/>
              </w:rPr>
              <w:t xml:space="preserve">Cohérence interne ; P5</w:t>
            </w:r>
          </w:p>
        </w:tc>
      </w:tr>
      <w:tr>
        <w:tc>
          <w:tcPr>
            <w:shd w:val="clear" w:color="auto" w:fill="F5F7FB"/>
          </w:tcPr>
          <w:p>
            <w:pPr>
              <w:pStyle w:val="Compact"/>
            </w:pPr>
            <w:r>
              <w:rPr>
                <w:sz w:val="17"/>
              </w:rPr>
              <w:t xml:space="preserve">ARB-04</w:t>
            </w:r>
          </w:p>
        </w:tc>
        <w:tc>
          <w:tcPr>
            <w:shd w:val="clear" w:color="auto" w:fill="F5F7FB"/>
          </w:tcPr>
          <w:p>
            <w:pPr>
              <w:pStyle w:val="Compact"/>
            </w:pPr>
            <w:r>
              <w:rPr>
                <w:sz w:val="17"/>
              </w:rPr>
              <w:t xml:space="preserve">Répartition « à la source » par la banque de règlement (deux virements automatiques)</w:t>
            </w:r>
          </w:p>
        </w:tc>
        <w:tc>
          <w:tcPr>
            <w:shd w:val="clear" w:color="auto" w:fill="F5F7FB"/>
          </w:tcPr>
          <w:p>
            <w:pPr>
              <w:pStyle w:val="Compact"/>
            </w:pPr>
            <w:r>
              <w:rPr>
                <w:b/>
                <w:bCs/>
                <w:sz w:val="17"/>
              </w:rPr>
              <w:t xml:space="preserve">Aucun prélèvement à la source</w:t>
            </w:r>
            <w:r>
              <w:rPr>
                <w:sz w:val="17"/>
              </w:rPr>
              <w:t xml:space="preserve"> </w:t>
            </w:r>
            <w:r>
              <w:rPr>
                <w:sz w:val="17"/>
              </w:rPr>
              <w:t xml:space="preserve">; aucune instruction de virement automatique vers un compte non public (AC-ALL-02)</w:t>
            </w:r>
          </w:p>
        </w:tc>
        <w:tc>
          <w:tcPr>
            <w:shd w:val="clear" w:color="auto" w:fill="F5F7FB"/>
          </w:tcPr>
          <w:p>
            <w:pPr>
              <w:pStyle w:val="Compact"/>
            </w:pPr>
            <w:r>
              <w:rPr>
                <w:sz w:val="17"/>
              </w:rPr>
              <w:t xml:space="preserve">LOFIP (§ 6.8) ; P5</w:t>
            </w:r>
          </w:p>
        </w:tc>
      </w:tr>
      <w:tr>
        <w:tc>
          <w:tcPr/>
          <w:p>
            <w:pPr>
              <w:pStyle w:val="Compact"/>
            </w:pPr>
            <w:r>
              <w:rPr>
                <w:sz w:val="17"/>
              </w:rPr>
              <w:t xml:space="preserve">ARB-05</w:t>
            </w:r>
          </w:p>
        </w:tc>
        <w:tc>
          <w:tcPr/>
          <w:p>
            <w:pPr>
              <w:pStyle w:val="Compact"/>
            </w:pPr>
            <w:r>
              <w:rPr>
                <w:sz w:val="17"/>
              </w:rPr>
              <w:t xml:space="preserve">10 % aux ministères de tutelle et 10 % aux agents et sous-traitants ; rattachement des modules déterminant la part</w:t>
            </w:r>
          </w:p>
        </w:tc>
        <w:tc>
          <w:tcPr/>
          <w:p>
            <w:pPr>
              <w:pStyle w:val="Compact"/>
            </w:pPr>
            <w:r>
              <w:rPr>
                <w:sz w:val="17"/>
              </w:rPr>
              <w:t xml:space="preserve">Incitations des agents</w:t>
            </w:r>
            <w:r>
              <w:rPr>
                <w:sz w:val="17"/>
              </w:rPr>
              <w:t xml:space="preserve"> </w:t>
            </w:r>
            <w:r>
              <w:rPr>
                <w:b/>
                <w:bCs/>
                <w:sz w:val="17"/>
              </w:rPr>
              <w:t xml:space="preserve">uniquement si un texte le prévoit</w:t>
            </w:r>
            <w:r>
              <w:rPr>
                <w:sz w:val="17"/>
              </w:rPr>
              <w:t xml:space="preserve">, par voie budgétaire, sur résultats vérifiés, plafonnées (§ 27.2, J10) ;</w:t>
            </w:r>
            <w:r>
              <w:rPr>
                <w:sz w:val="17"/>
              </w:rPr>
              <w:t xml:space="preserve"> </w:t>
            </w:r>
            <w:r>
              <w:rPr>
                <w:b/>
                <w:bCs/>
                <w:sz w:val="17"/>
              </w:rPr>
              <w:t xml:space="preserve">aucune part ministérielle</w:t>
            </w:r>
            <w:r>
              <w:rPr>
                <w:sz w:val="17"/>
              </w:rPr>
              <w:t xml:space="preserve"> </w:t>
            </w:r>
            <w:r>
              <w:rPr>
                <w:sz w:val="17"/>
              </w:rPr>
              <w:t xml:space="preserve">; le rattachement ne détermine que les accès (§ H.6.5)</w:t>
            </w:r>
          </w:p>
        </w:tc>
        <w:tc>
          <w:tcPr/>
          <w:p>
            <w:pPr>
              <w:pStyle w:val="Compact"/>
            </w:pPr>
            <w:r>
              <w:rPr>
                <w:sz w:val="17"/>
              </w:rPr>
              <w:t xml:space="preserve">Universalité budgétaire ; risque de surtaxation et de concurrence entre ministères</w:t>
            </w:r>
          </w:p>
        </w:tc>
      </w:tr>
      <w:tr>
        <w:tc>
          <w:tcPr>
            <w:shd w:val="clear" w:color="auto" w:fill="F5F7FB"/>
          </w:tcPr>
          <w:p>
            <w:pPr>
              <w:pStyle w:val="Compact"/>
            </w:pPr>
            <w:r>
              <w:rPr>
                <w:sz w:val="17"/>
              </w:rPr>
              <w:t xml:space="preserve">ARB-06</w:t>
            </w:r>
          </w:p>
        </w:tc>
        <w:tc>
          <w:tcPr>
            <w:shd w:val="clear" w:color="auto" w:fill="F5F7FB"/>
          </w:tcPr>
          <w:p>
            <w:pPr>
              <w:pStyle w:val="Compact"/>
            </w:pPr>
            <w:r>
              <w:rPr>
                <w:sz w:val="17"/>
              </w:rPr>
              <w:t xml:space="preserve">Application de la clé aux parts ETD et du pouvoir central non tranchée</w:t>
            </w:r>
          </w:p>
        </w:tc>
        <w:tc>
          <w:tcPr>
            <w:shd w:val="clear" w:color="auto" w:fill="F5F7FB"/>
          </w:tcPr>
          <w:p>
            <w:pPr>
              <w:pStyle w:val="Compact"/>
            </w:pPr>
            <w:r>
              <w:rPr>
                <w:sz w:val="17"/>
              </w:rPr>
              <w:t xml:space="preserve">Seules les</w:t>
            </w:r>
            <w:r>
              <w:rPr>
                <w:sz w:val="17"/>
              </w:rPr>
              <w:t xml:space="preserve"> </w:t>
            </w:r>
            <w:r>
              <w:rPr>
                <w:b/>
                <w:bCs/>
                <w:sz w:val="17"/>
              </w:rPr>
              <w:t xml:space="preserve">clés légales</w:t>
            </w:r>
            <w:r>
              <w:rPr>
                <w:sz w:val="17"/>
              </w:rPr>
              <w:t xml:space="preserve"> </w:t>
            </w:r>
            <w:r>
              <w:rPr>
                <w:sz w:val="17"/>
              </w:rPr>
              <w:t xml:space="preserve">de répartition sont paramétrées (module 73), après lecture certifiée de l’OL 18/004 (J1)</w:t>
            </w:r>
          </w:p>
        </w:tc>
        <w:tc>
          <w:tcPr>
            <w:shd w:val="clear" w:color="auto" w:fill="F5F7FB"/>
          </w:tcPr>
          <w:p>
            <w:pPr>
              <w:pStyle w:val="Compact"/>
            </w:pPr>
            <w:r>
              <w:rPr>
                <w:sz w:val="17"/>
              </w:rPr>
              <w:t xml:space="preserve">Aucune part non fondée sur un texte</w:t>
            </w:r>
          </w:p>
        </w:tc>
      </w:tr>
      <w:tr>
        <w:tc>
          <w:tcPr/>
          <w:p>
            <w:pPr>
              <w:pStyle w:val="Compact"/>
            </w:pPr>
            <w:r>
              <w:rPr>
                <w:sz w:val="17"/>
              </w:rPr>
              <w:t xml:space="preserve">ARB-07</w:t>
            </w:r>
          </w:p>
        </w:tc>
        <w:tc>
          <w:tcPr/>
          <w:p>
            <w:pPr>
              <w:pStyle w:val="Compact"/>
            </w:pPr>
            <w:r>
              <w:rPr>
                <w:sz w:val="17"/>
              </w:rPr>
              <w:t xml:space="preserve">Clé AVIA 65/35 ; modèles propres ParkSmart et KIN PUB CONTROL</w:t>
            </w:r>
          </w:p>
        </w:tc>
        <w:tc>
          <w:tcPr/>
          <w:p>
            <w:pPr>
              <w:pStyle w:val="Compact"/>
            </w:pPr>
            <w:r>
              <w:rPr>
                <w:sz w:val="17"/>
              </w:rPr>
              <w:t xml:space="preserve">Écartés ; les verticales relèvent du contrat hybride unique ; aucune clé sectorielle</w:t>
            </w:r>
          </w:p>
        </w:tc>
        <w:tc>
          <w:tcPr/>
          <w:p>
            <w:pPr>
              <w:pStyle w:val="Compact"/>
            </w:pPr>
            <w:r>
              <w:rPr>
                <w:sz w:val="17"/>
              </w:rPr>
              <w:t xml:space="preserve">Mêmes motifs qu’ARB-01</w:t>
            </w:r>
          </w:p>
        </w:tc>
      </w:tr>
      <w:tr>
        <w:tc>
          <w:tcPr>
            <w:shd w:val="clear" w:color="auto" w:fill="F5F7FB"/>
          </w:tcPr>
          <w:p>
            <w:pPr>
              <w:pStyle w:val="Compact"/>
            </w:pPr>
            <w:r>
              <w:rPr>
                <w:sz w:val="17"/>
              </w:rPr>
              <w:t xml:space="preserve">ARB-08</w:t>
            </w:r>
          </w:p>
        </w:tc>
        <w:tc>
          <w:tcPr>
            <w:shd w:val="clear" w:color="auto" w:fill="F5F7FB"/>
          </w:tcPr>
          <w:p>
            <w:pPr>
              <w:pStyle w:val="Compact"/>
            </w:pPr>
            <w:r>
              <w:rPr>
                <w:sz w:val="17"/>
              </w:rPr>
              <w:t xml:space="preserve">Commission de service de la plateforme sur les ventes privées de billetterie vs « aucune autre part »</w:t>
            </w:r>
          </w:p>
        </w:tc>
        <w:tc>
          <w:tcPr>
            <w:shd w:val="clear" w:color="auto" w:fill="F5F7FB"/>
          </w:tcPr>
          <w:p>
            <w:pPr>
              <w:pStyle w:val="Compact"/>
            </w:pPr>
            <w:r>
              <w:rPr>
                <w:sz w:val="17"/>
              </w:rPr>
              <w:t xml:space="preserve">Toute redevance d’usage par les opérateurs privés est une</w:t>
            </w:r>
            <w:r>
              <w:rPr>
                <w:sz w:val="17"/>
              </w:rPr>
              <w:t xml:space="preserve"> </w:t>
            </w:r>
            <w:r>
              <w:rPr>
                <w:b/>
                <w:bCs/>
                <w:sz w:val="17"/>
              </w:rPr>
              <w:t xml:space="preserve">recette de la Province</w:t>
            </w:r>
            <w:r>
              <w:rPr>
                <w:sz w:val="17"/>
              </w:rPr>
              <w:t xml:space="preserve"> </w:t>
            </w:r>
            <w:r>
              <w:rPr>
                <w:sz w:val="17"/>
              </w:rPr>
              <w:t xml:space="preserve">fixée par acte et publiée ; le prestataire technique ne perçoit rien sur les flux</w:t>
            </w:r>
          </w:p>
        </w:tc>
        <w:tc>
          <w:tcPr>
            <w:shd w:val="clear" w:color="auto" w:fill="F5F7FB"/>
          </w:tcPr>
          <w:p>
            <w:pPr>
              <w:pStyle w:val="Compact"/>
            </w:pPr>
            <w:r>
              <w:rPr>
                <w:sz w:val="17"/>
              </w:rPr>
              <w:t xml:space="preserve">Transparence ; P5 ; J25</w:t>
            </w:r>
          </w:p>
        </w:tc>
      </w:tr>
      <w:tr>
        <w:tc>
          <w:tcPr/>
          <w:p>
            <w:pPr>
              <w:pStyle w:val="Compact"/>
            </w:pPr>
            <w:r>
              <w:rPr>
                <w:sz w:val="17"/>
              </w:rPr>
              <w:t xml:space="preserve">ARB-09</w:t>
            </w:r>
          </w:p>
        </w:tc>
        <w:tc>
          <w:tcPr/>
          <w:p>
            <w:pPr>
              <w:pStyle w:val="Compact"/>
            </w:pPr>
            <w:r>
              <w:rPr>
                <w:sz w:val="17"/>
              </w:rPr>
              <w:t xml:space="preserve">Moyens physiques exclus du financement du prestataire ; gratuité USSD/SVI supposant un payeur</w:t>
            </w:r>
          </w:p>
        </w:tc>
        <w:tc>
          <w:tcPr/>
          <w:p>
            <w:pPr>
              <w:pStyle w:val="Compact"/>
            </w:pPr>
            <w:r>
              <w:rPr>
                <w:sz w:val="17"/>
              </w:rPr>
              <w:t xml:space="preserve">Financement des moyens physiques arrêté</w:t>
            </w:r>
            <w:r>
              <w:rPr>
                <w:sz w:val="17"/>
              </w:rPr>
              <w:t xml:space="preserve"> </w:t>
            </w:r>
            <w:r>
              <w:rPr>
                <w:b/>
                <w:bCs/>
                <w:sz w:val="17"/>
              </w:rPr>
              <w:t xml:space="preserve">avant le pilote</w:t>
            </w:r>
            <w:r>
              <w:rPr>
                <w:sz w:val="17"/>
              </w:rPr>
              <w:t xml:space="preserve"> </w:t>
            </w:r>
            <w:r>
              <w:rPr>
                <w:sz w:val="17"/>
              </w:rPr>
              <w:t xml:space="preserve">(décision n° 10) ; conventions opérateurs pour la gratuité (J29) ; partition logiciel / physique conservée pour le chiffrage (§ H.18.1)</w:t>
            </w:r>
          </w:p>
        </w:tc>
        <w:tc>
          <w:tcPr/>
          <w:p>
            <w:pPr>
              <w:pStyle w:val="Compact"/>
            </w:pPr>
            <w:r>
              <w:rPr>
                <w:sz w:val="17"/>
              </w:rPr>
              <w:t xml:space="preserve">Sans ce financement, l’inclusion, la sous-traitance et le paiement assisté ne sont pas déployables</w:t>
            </w:r>
          </w:p>
        </w:tc>
      </w:tr>
      <w:tr>
        <w:tc>
          <w:tcPr>
            <w:shd w:val="clear" w:color="auto" w:fill="F5F7FB"/>
          </w:tcPr>
          <w:p>
            <w:pPr>
              <w:pStyle w:val="Compact"/>
            </w:pPr>
            <w:r>
              <w:rPr>
                <w:sz w:val="17"/>
              </w:rPr>
              <w:t xml:space="preserve">ARB-10</w:t>
            </w:r>
          </w:p>
        </w:tc>
        <w:tc>
          <w:tcPr>
            <w:shd w:val="clear" w:color="auto" w:fill="F5F7FB"/>
          </w:tcPr>
          <w:p>
            <w:pPr>
              <w:pStyle w:val="Compact"/>
            </w:pPr>
            <w:r>
              <w:rPr>
                <w:sz w:val="17"/>
              </w:rPr>
              <w:t xml:space="preserve">Contrat de 30 ans à compter du pilote</w:t>
            </w:r>
          </w:p>
        </w:tc>
        <w:tc>
          <w:tcPr>
            <w:shd w:val="clear" w:color="auto" w:fill="F5F7FB"/>
          </w:tcPr>
          <w:p>
            <w:pPr>
              <w:pStyle w:val="Compact"/>
            </w:pPr>
            <w:r>
              <w:rPr>
                <w:sz w:val="17"/>
              </w:rPr>
              <w:t xml:space="preserve">Durée fixe courte (5 à 7 ans pour une éventuelle prime) ; réversibilité testée ; aucune dépendance de long terme</w:t>
            </w:r>
          </w:p>
        </w:tc>
        <w:tc>
          <w:tcPr>
            <w:shd w:val="clear" w:color="auto" w:fill="F5F7FB"/>
          </w:tcPr>
          <w:p>
            <w:pPr>
              <w:pStyle w:val="Compact"/>
            </w:pPr>
            <w:r>
              <w:rPr>
                <w:sz w:val="17"/>
              </w:rPr>
              <w:t xml:space="preserve">Durée de vie d’un système ; mandatures ; § 33</w:t>
            </w:r>
          </w:p>
        </w:tc>
      </w:tr>
      <w:tr>
        <w:tc>
          <w:tcPr/>
          <w:p>
            <w:pPr>
              <w:pStyle w:val="Compact"/>
            </w:pPr>
            <w:r>
              <w:rPr>
                <w:sz w:val="17"/>
              </w:rPr>
              <w:t xml:space="preserve">ARB-11</w:t>
            </w:r>
          </w:p>
        </w:tc>
        <w:tc>
          <w:tcPr/>
          <w:p>
            <w:pPr>
              <w:pStyle w:val="Compact"/>
            </w:pPr>
            <w:r>
              <w:rPr>
                <w:sz w:val="17"/>
              </w:rPr>
              <w:t xml:space="preserve">Prime « jamais sur le montant liquidé » mais réserve = 10 % des recettes</w:t>
            </w:r>
          </w:p>
        </w:tc>
        <w:tc>
          <w:tcPr/>
          <w:p>
            <w:pPr>
              <w:pStyle w:val="Compact"/>
            </w:pPr>
            <w:r>
              <w:rPr>
                <w:sz w:val="17"/>
              </w:rPr>
              <w:t xml:space="preserve">Sous-traitants payés</w:t>
            </w:r>
            <w:r>
              <w:rPr>
                <w:sz w:val="17"/>
              </w:rPr>
              <w:t xml:space="preserve"> </w:t>
            </w:r>
            <w:r>
              <w:rPr>
                <w:b/>
                <w:bCs/>
                <w:sz w:val="17"/>
              </w:rPr>
              <w:t xml:space="preserve">sur livrables vérifiés à prix unitaires</w:t>
            </w:r>
            <w:r>
              <w:rPr>
                <w:sz w:val="17"/>
              </w:rPr>
              <w:t xml:space="preserve"> </w:t>
            </w:r>
            <w:r>
              <w:rPr>
                <w:sz w:val="17"/>
              </w:rPr>
              <w:t xml:space="preserve">; aucune réserve indexée sur les recettes (§ H.8.6)</w:t>
            </w:r>
          </w:p>
        </w:tc>
        <w:tc>
          <w:tcPr/>
          <w:p>
            <w:pPr>
              <w:pStyle w:val="Compact"/>
            </w:pPr>
            <w:r>
              <w:rPr>
                <w:sz w:val="17"/>
              </w:rPr>
              <w:t xml:space="preserve">Supprime le lien indirect au volume</w:t>
            </w:r>
          </w:p>
        </w:tc>
      </w:tr>
    </w:tbl>
    <w:bookmarkEnd w:id="570"/>
    <w:bookmarkStart w:id="571" w:name="X714d3f6553e060bed0995afe9eb06e3b66513d8"/>
    <w:p>
      <w:pPr>
        <w:pStyle w:val="Heading3"/>
      </w:pPr>
      <w:r>
        <w:t xml:space="preserve">H.29.2 Sanctions et mesures coercitives (B)</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ID</w:t>
            </w:r>
          </w:p>
        </w:tc>
        <w:tc>
          <w:tcPr>
            <w:shd w:val="clear" w:color="auto" w:fill="232C6B"/>
          </w:tcPr>
          <w:p>
            <w:pPr>
              <w:pStyle w:val="Compact"/>
            </w:pPr>
            <w:r>
              <w:rPr>
                <w:b/>
                <w:color w:val="FFFFFF"/>
                <w:sz w:val="17"/>
              </w:rPr>
              <w:t xml:space="preserve">Contradiction</w:t>
            </w:r>
          </w:p>
        </w:tc>
        <w:tc>
          <w:tcPr>
            <w:shd w:val="clear" w:color="auto" w:fill="232C6B"/>
          </w:tcPr>
          <w:p>
            <w:pPr>
              <w:pStyle w:val="Compact"/>
            </w:pPr>
            <w:r>
              <w:rPr>
                <w:b/>
                <w:color w:val="FFFFFF"/>
                <w:sz w:val="17"/>
              </w:rPr>
              <w:t xml:space="preserve">Position v3.0</w:t>
            </w:r>
          </w:p>
        </w:tc>
        <w:tc>
          <w:tcPr>
            <w:shd w:val="clear" w:color="auto" w:fill="232C6B"/>
          </w:tcPr>
          <w:p>
            <w:pPr>
              <w:pStyle w:val="Compact"/>
            </w:pPr>
            <w:r>
              <w:rPr>
                <w:b/>
                <w:color w:val="FFFFFF"/>
                <w:sz w:val="17"/>
              </w:rPr>
              <w:t xml:space="preserve">Justification</w:t>
            </w:r>
          </w:p>
        </w:tc>
      </w:tr>
      <w:tr>
        <w:tc>
          <w:tcPr/>
          <w:p>
            <w:pPr>
              <w:pStyle w:val="Compact"/>
            </w:pPr>
            <w:r>
              <w:rPr>
                <w:sz w:val="17"/>
              </w:rPr>
              <w:t xml:space="preserve">ARB-12</w:t>
            </w:r>
          </w:p>
        </w:tc>
        <w:tc>
          <w:tcPr/>
          <w:p>
            <w:pPr>
              <w:pStyle w:val="Compact"/>
            </w:pPr>
            <w:r>
              <w:rPr>
                <w:sz w:val="17"/>
              </w:rPr>
              <w:t xml:space="preserve">« Aucune sanction par un algorithme » (C § 21) vs pénalités appliquées au contrôle (RakaPay), blocage et fourrière par score (ParkSmart), non-validation, suspension et facturation automatique (AVIA), gel (CALCU), suspension automatique d’un point de paiement, blocage préventif, suspension conservatoire (module 40)</w:t>
            </w:r>
          </w:p>
        </w:tc>
        <w:tc>
          <w:tcPr/>
          <w:p>
            <w:pPr>
              <w:pStyle w:val="Compact"/>
            </w:pPr>
            <w:r>
              <w:rPr>
                <w:b/>
                <w:bCs/>
                <w:sz w:val="17"/>
              </w:rPr>
              <w:t xml:space="preserve">Circuit unique RW1</w:t>
            </w:r>
            <w:r>
              <w:rPr>
                <w:sz w:val="17"/>
              </w:rPr>
              <w:t xml:space="preserve"> </w:t>
            </w:r>
            <w:r>
              <w:rPr>
                <w:sz w:val="17"/>
              </w:rPr>
              <w:t xml:space="preserve">: constat humain → vérification → proposition → décision motivée → notification → recours. Mesures conservatoires techniques (suspension d’un accès, d’un point de paiement) :</w:t>
            </w:r>
            <w:r>
              <w:rPr>
                <w:sz w:val="17"/>
              </w:rPr>
              <w:t xml:space="preserve"> </w:t>
            </w:r>
            <w:r>
              <w:rPr>
                <w:b/>
                <w:bCs/>
                <w:sz w:val="17"/>
              </w:rPr>
              <w:t xml:space="preserve">proposées</w:t>
            </w:r>
            <w:r>
              <w:rPr>
                <w:sz w:val="17"/>
              </w:rPr>
              <w:t xml:space="preserve"> </w:t>
            </w:r>
            <w:r>
              <w:rPr>
                <w:sz w:val="17"/>
              </w:rPr>
              <w:t xml:space="preserve">par le système,</w:t>
            </w:r>
            <w:r>
              <w:rPr>
                <w:sz w:val="17"/>
              </w:rPr>
              <w:t xml:space="preserve"> </w:t>
            </w:r>
            <w:r>
              <w:rPr>
                <w:b/>
                <w:bCs/>
                <w:sz w:val="17"/>
              </w:rPr>
              <w:t xml:space="preserve">décidées</w:t>
            </w:r>
            <w:r>
              <w:rPr>
                <w:sz w:val="17"/>
              </w:rPr>
              <w:t xml:space="preserve"> </w:t>
            </w:r>
            <w:r>
              <w:rPr>
                <w:sz w:val="17"/>
              </w:rPr>
              <w:t xml:space="preserve">par un responsable habilité dans un délai court, journalisées. AVIA : procédure contradictoire avant tout avis. CALCU : gel seulement par l’organe de contrôle dans ses pouvoirs légaux</w:t>
            </w:r>
          </w:p>
        </w:tc>
        <w:tc>
          <w:tcPr/>
          <w:p>
            <w:pPr>
              <w:pStyle w:val="Compact"/>
            </w:pPr>
            <w:r>
              <w:rPr>
                <w:sz w:val="17"/>
              </w:rPr>
              <w:t xml:space="preserve">P8 ; § 21.1 ; § 23.1</w:t>
            </w:r>
          </w:p>
        </w:tc>
      </w:tr>
      <w:tr>
        <w:tc>
          <w:tcPr>
            <w:shd w:val="clear" w:color="auto" w:fill="F5F7FB"/>
          </w:tcPr>
          <w:p>
            <w:pPr>
              <w:pStyle w:val="Compact"/>
            </w:pPr>
            <w:r>
              <w:rPr>
                <w:sz w:val="17"/>
              </w:rPr>
              <w:t xml:space="preserve">ARB-13</w:t>
            </w:r>
          </w:p>
        </w:tc>
        <w:tc>
          <w:tcPr>
            <w:shd w:val="clear" w:color="auto" w:fill="F5F7FB"/>
          </w:tcPr>
          <w:p>
            <w:pPr>
              <w:pStyle w:val="Compact"/>
            </w:pPr>
            <w:r>
              <w:rPr>
                <w:sz w:val="17"/>
              </w:rPr>
              <w:t xml:space="preserve">« Aucune pénalité automatique à l’expiration » (§ 19A.7) vs pénalité en % du ticket dès le contrôle (§ 11D.3)</w:t>
            </w:r>
          </w:p>
        </w:tc>
        <w:tc>
          <w:tcPr>
            <w:shd w:val="clear" w:color="auto" w:fill="F5F7FB"/>
          </w:tcPr>
          <w:p>
            <w:pPr>
              <w:pStyle w:val="Compact"/>
            </w:pPr>
            <w:r>
              <w:rPr>
                <w:sz w:val="17"/>
              </w:rPr>
              <w:t xml:space="preserve">Au contrôle : constat + proposition d’achat immédiat (régularisation) ; pénalité émise par un agent habilité selon le barème de l’acte, contestable (AC-TKT-02)</w:t>
            </w:r>
          </w:p>
        </w:tc>
        <w:tc>
          <w:tcPr>
            <w:shd w:val="clear" w:color="auto" w:fill="F5F7FB"/>
          </w:tcPr>
          <w:p>
            <w:pPr>
              <w:pStyle w:val="Compact"/>
            </w:pPr>
            <w:r>
              <w:rPr>
                <w:sz w:val="17"/>
              </w:rPr>
              <w:t xml:space="preserve">Cohérence avec § 19A.7 et RW1</w:t>
            </w:r>
          </w:p>
        </w:tc>
      </w:tr>
      <w:tr>
        <w:tc>
          <w:tcPr/>
          <w:p>
            <w:pPr>
              <w:pStyle w:val="Compact"/>
            </w:pPr>
            <w:r>
              <w:rPr>
                <w:sz w:val="17"/>
              </w:rPr>
              <w:t xml:space="preserve">ARB-14</w:t>
            </w:r>
          </w:p>
        </w:tc>
        <w:tc>
          <w:tcPr/>
          <w:p>
            <w:pPr>
              <w:pStyle w:val="Compact"/>
            </w:pPr>
            <w:r>
              <w:rPr>
                <w:sz w:val="17"/>
              </w:rPr>
              <w:t xml:space="preserve">Surréservation du stationnement de 10 à 15 %</w:t>
            </w:r>
          </w:p>
        </w:tc>
        <w:tc>
          <w:tcPr/>
          <w:p>
            <w:pPr>
              <w:pStyle w:val="Compact"/>
            </w:pPr>
            <w:r>
              <w:rPr>
                <w:b/>
                <w:bCs/>
                <w:sz w:val="17"/>
              </w:rPr>
              <w:t xml:space="preserve">Désactivée</w:t>
            </w:r>
            <w:r>
              <w:rPr>
                <w:sz w:val="17"/>
              </w:rPr>
              <w:t xml:space="preserve"> </w:t>
            </w:r>
            <w:r>
              <w:rPr>
                <w:sz w:val="17"/>
              </w:rPr>
              <w:t xml:space="preserve">jusqu’à validation juridique (protection du consommateur, J24)</w:t>
            </w:r>
          </w:p>
        </w:tc>
        <w:tc>
          <w:tcPr/>
          <w:p>
            <w:pPr>
              <w:pStyle w:val="Compact"/>
            </w:pPr>
            <w:r>
              <w:rPr>
                <w:sz w:val="17"/>
              </w:rPr>
              <w:t xml:space="preserve">Risque de contentieux</w:t>
            </w:r>
          </w:p>
        </w:tc>
      </w:tr>
      <w:tr>
        <w:tc>
          <w:tcPr>
            <w:shd w:val="clear" w:color="auto" w:fill="F5F7FB"/>
          </w:tcPr>
          <w:p>
            <w:pPr>
              <w:pStyle w:val="Compact"/>
            </w:pPr>
            <w:r>
              <w:rPr>
                <w:sz w:val="17"/>
              </w:rPr>
              <w:t xml:space="preserve">ARB-15</w:t>
            </w:r>
          </w:p>
        </w:tc>
        <w:tc>
          <w:tcPr>
            <w:shd w:val="clear" w:color="auto" w:fill="F5F7FB"/>
          </w:tcPr>
          <w:p>
            <w:pPr>
              <w:pStyle w:val="Compact"/>
            </w:pPr>
            <w:r>
              <w:rPr>
                <w:sz w:val="17"/>
              </w:rPr>
              <w:t xml:space="preserve">Affectation des recettes de stationnement vs universalité budgétaire</w:t>
            </w:r>
          </w:p>
        </w:tc>
        <w:tc>
          <w:tcPr>
            <w:shd w:val="clear" w:color="auto" w:fill="F5F7FB"/>
          </w:tcPr>
          <w:p>
            <w:pPr>
              <w:pStyle w:val="Compact"/>
            </w:pPr>
            <w:r>
              <w:rPr>
                <w:sz w:val="17"/>
              </w:rPr>
              <w:t xml:space="preserve">Acte compatible requis ; à défaut, engagement de programmation publié</w:t>
            </w:r>
          </w:p>
        </w:tc>
        <w:tc>
          <w:tcPr>
            <w:shd w:val="clear" w:color="auto" w:fill="F5F7FB"/>
          </w:tcPr>
          <w:p>
            <w:pPr>
              <w:pStyle w:val="Compact"/>
            </w:pPr>
            <w:r>
              <w:rPr>
                <w:sz w:val="17"/>
              </w:rPr>
              <w:t xml:space="preserve">LOFIP ; J24</w:t>
            </w:r>
          </w:p>
        </w:tc>
      </w:tr>
      <w:tr>
        <w:tc>
          <w:tcPr/>
          <w:p>
            <w:pPr>
              <w:pStyle w:val="Compact"/>
            </w:pPr>
            <w:r>
              <w:rPr>
                <w:sz w:val="17"/>
              </w:rPr>
              <w:t xml:space="preserve">ARB-16</w:t>
            </w:r>
          </w:p>
        </w:tc>
        <w:tc>
          <w:tcPr/>
          <w:p>
            <w:pPr>
              <w:pStyle w:val="Compact"/>
            </w:pPr>
            <w:r>
              <w:rPr>
                <w:sz w:val="17"/>
              </w:rPr>
              <w:t xml:space="preserve">NFIU : interdiction de mettre en bail une maison non immatriculée</w:t>
            </w:r>
          </w:p>
        </w:tc>
        <w:tc>
          <w:tcPr/>
          <w:p>
            <w:pPr>
              <w:pStyle w:val="Compact"/>
            </w:pPr>
            <w:r>
              <w:rPr>
                <w:sz w:val="17"/>
              </w:rPr>
              <w:t xml:space="preserve">[ACTE REQUIS J27] ;</w:t>
            </w:r>
            <w:r>
              <w:rPr>
                <w:sz w:val="17"/>
              </w:rPr>
              <w:t xml:space="preserve"> </w:t>
            </w:r>
            <w:r>
              <w:rPr>
                <w:b/>
                <w:bCs/>
                <w:sz w:val="17"/>
              </w:rPr>
              <w:t xml:space="preserve">aucune restriction appliquée par le système avant l’acte</w:t>
            </w:r>
          </w:p>
        </w:tc>
        <w:tc>
          <w:tcPr/>
          <w:p>
            <w:pPr>
              <w:pStyle w:val="Compact"/>
            </w:pPr>
            <w:r>
              <w:rPr>
                <w:sz w:val="17"/>
              </w:rPr>
              <w:t xml:space="preserve">Restriction du droit de propriété</w:t>
            </w:r>
          </w:p>
        </w:tc>
      </w:tr>
      <w:tr>
        <w:tc>
          <w:tcPr>
            <w:shd w:val="clear" w:color="auto" w:fill="F5F7FB"/>
          </w:tcPr>
          <w:p>
            <w:pPr>
              <w:pStyle w:val="Compact"/>
            </w:pPr>
            <w:r>
              <w:rPr>
                <w:sz w:val="17"/>
              </w:rPr>
              <w:t xml:space="preserve">ARB-17</w:t>
            </w:r>
          </w:p>
        </w:tc>
        <w:tc>
          <w:tcPr>
            <w:shd w:val="clear" w:color="auto" w:fill="F5F7FB"/>
          </w:tcPr>
          <w:p>
            <w:pPr>
              <w:pStyle w:val="Compact"/>
            </w:pPr>
            <w:r>
              <w:rPr>
                <w:sz w:val="17"/>
              </w:rPr>
              <w:t xml:space="preserve">Quitus bloquant services, mutations et marchés publics</w:t>
            </w:r>
          </w:p>
        </w:tc>
        <w:tc>
          <w:tcPr>
            <w:shd w:val="clear" w:color="auto" w:fill="F5F7FB"/>
          </w:tcPr>
          <w:p>
            <w:pPr>
              <w:pStyle w:val="Compact"/>
            </w:pPr>
            <w:r>
              <w:rPr>
                <w:sz w:val="17"/>
              </w:rPr>
              <w:t xml:space="preserve">Quitus</w:t>
            </w:r>
            <w:r>
              <w:rPr>
                <w:sz w:val="17"/>
              </w:rPr>
              <w:t xml:space="preserve"> </w:t>
            </w:r>
            <w:r>
              <w:rPr>
                <w:b/>
                <w:bCs/>
                <w:sz w:val="17"/>
              </w:rPr>
              <w:t xml:space="preserve">informatif</w:t>
            </w:r>
            <w:r>
              <w:rPr>
                <w:sz w:val="17"/>
              </w:rPr>
              <w:t xml:space="preserve"> </w:t>
            </w:r>
            <w:r>
              <w:rPr>
                <w:sz w:val="17"/>
              </w:rPr>
              <w:t xml:space="preserve">tant que l’acte de conditionnalité n’est pas certifié (J6) ; recours en cours suspend l’effet bloquant</w:t>
            </w:r>
          </w:p>
        </w:tc>
        <w:tc>
          <w:tcPr>
            <w:shd w:val="clear" w:color="auto" w:fill="F5F7FB"/>
          </w:tcPr>
          <w:p>
            <w:pPr>
              <w:pStyle w:val="Compact"/>
            </w:pPr>
            <w:r>
              <w:rPr>
                <w:sz w:val="17"/>
              </w:rPr>
              <w:t xml:space="preserve">Effets lourds ; base légale</w:t>
            </w:r>
          </w:p>
        </w:tc>
      </w:tr>
    </w:tbl>
    <w:bookmarkEnd w:id="571"/>
    <w:bookmarkStart w:id="572" w:name="h.29.3-espèces-et-circuit-de-paiement-c"/>
    <w:p>
      <w:pPr>
        <w:pStyle w:val="Heading3"/>
      </w:pPr>
      <w:r>
        <w:t xml:space="preserve">H.29.3 Espèces et circuit de paiement (C)</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ID</w:t>
            </w:r>
          </w:p>
        </w:tc>
        <w:tc>
          <w:tcPr>
            <w:shd w:val="clear" w:color="auto" w:fill="232C6B"/>
          </w:tcPr>
          <w:p>
            <w:pPr>
              <w:pStyle w:val="Compact"/>
            </w:pPr>
            <w:r>
              <w:rPr>
                <w:b/>
                <w:color w:val="FFFFFF"/>
                <w:sz w:val="17"/>
              </w:rPr>
              <w:t xml:space="preserve">Contradiction</w:t>
            </w:r>
          </w:p>
        </w:tc>
        <w:tc>
          <w:tcPr>
            <w:shd w:val="clear" w:color="auto" w:fill="232C6B"/>
          </w:tcPr>
          <w:p>
            <w:pPr>
              <w:pStyle w:val="Compact"/>
            </w:pPr>
            <w:r>
              <w:rPr>
                <w:b/>
                <w:color w:val="FFFFFF"/>
                <w:sz w:val="17"/>
              </w:rPr>
              <w:t xml:space="preserve">Position v3.0</w:t>
            </w:r>
          </w:p>
        </w:tc>
        <w:tc>
          <w:tcPr>
            <w:shd w:val="clear" w:color="auto" w:fill="232C6B"/>
          </w:tcPr>
          <w:p>
            <w:pPr>
              <w:pStyle w:val="Compact"/>
            </w:pPr>
            <w:r>
              <w:rPr>
                <w:b/>
                <w:color w:val="FFFFFF"/>
                <w:sz w:val="17"/>
              </w:rPr>
              <w:t xml:space="preserve">Justification</w:t>
            </w:r>
          </w:p>
        </w:tc>
      </w:tr>
      <w:tr>
        <w:tc>
          <w:tcPr/>
          <w:p>
            <w:pPr>
              <w:pStyle w:val="Compact"/>
            </w:pPr>
            <w:r>
              <w:rPr>
                <w:sz w:val="17"/>
              </w:rPr>
              <w:t xml:space="preserve">ARB-18</w:t>
            </w:r>
          </w:p>
        </w:tc>
        <w:tc>
          <w:tcPr/>
          <w:p>
            <w:pPr>
              <w:pStyle w:val="Compact"/>
            </w:pPr>
            <w:r>
              <w:rPr>
                <w:sz w:val="17"/>
              </w:rPr>
              <w:t xml:space="preserve">« Zéro espèce » vs espèces chez les points agréés et vendeurs d’opérateurs délégués</w:t>
            </w:r>
          </w:p>
        </w:tc>
        <w:tc>
          <w:tcPr/>
          <w:p>
            <w:pPr>
              <w:pStyle w:val="Compact"/>
            </w:pPr>
            <w:r>
              <w:rPr>
                <w:sz w:val="17"/>
              </w:rPr>
              <w:t xml:space="preserve">Zéro espèce</w:t>
            </w:r>
            <w:r>
              <w:rPr>
                <w:sz w:val="17"/>
              </w:rPr>
              <w:t xml:space="preserve"> </w:t>
            </w:r>
            <w:r>
              <w:rPr>
                <w:b/>
                <w:bCs/>
                <w:sz w:val="17"/>
              </w:rPr>
              <w:t xml:space="preserve">entre les mains des agents</w:t>
            </w:r>
            <w:r>
              <w:rPr>
                <w:sz w:val="17"/>
              </w:rPr>
              <w:t xml:space="preserve"> </w:t>
            </w:r>
            <w:r>
              <w:rPr>
                <w:sz w:val="17"/>
              </w:rPr>
              <w:t xml:space="preserve">; espèces seulement chez des établissements régulés, agréés, référencés, réglant chaque jour (J9, J20, J25)</w:t>
            </w:r>
          </w:p>
        </w:tc>
        <w:tc>
          <w:tcPr/>
          <w:p>
            <w:pPr>
              <w:pStyle w:val="Compact"/>
            </w:pPr>
            <w:r>
              <w:rPr>
                <w:sz w:val="17"/>
              </w:rPr>
              <w:t xml:space="preserve">Inclusion des non-bancarisés sans fuite</w:t>
            </w:r>
          </w:p>
        </w:tc>
      </w:tr>
      <w:tr>
        <w:tc>
          <w:tcPr>
            <w:shd w:val="clear" w:color="auto" w:fill="F5F7FB"/>
          </w:tcPr>
          <w:p>
            <w:pPr>
              <w:pStyle w:val="Compact"/>
            </w:pPr>
            <w:r>
              <w:rPr>
                <w:sz w:val="17"/>
              </w:rPr>
              <w:t xml:space="preserve">ARB-19</w:t>
            </w:r>
          </w:p>
        </w:tc>
        <w:tc>
          <w:tcPr>
            <w:shd w:val="clear" w:color="auto" w:fill="F5F7FB"/>
          </w:tcPr>
          <w:p>
            <w:pPr>
              <w:pStyle w:val="Compact"/>
            </w:pPr>
            <w:r>
              <w:rPr>
                <w:sz w:val="17"/>
              </w:rPr>
              <w:t xml:space="preserve">Agrégateur et vérificateur de confirmations nommés dans les sources</w:t>
            </w:r>
          </w:p>
        </w:tc>
        <w:tc>
          <w:tcPr>
            <w:shd w:val="clear" w:color="auto" w:fill="F5F7FB"/>
          </w:tcPr>
          <w:p>
            <w:pPr>
              <w:pStyle w:val="Compact"/>
            </w:pPr>
            <w:r>
              <w:rPr>
                <w:sz w:val="17"/>
              </w:rPr>
              <w:t xml:space="preserve">Aucun prestataire nommé dans les spécifications ; agrégateur agréé BCC choisi après mise en concurrence ; « sans jamais détenir de fonds » garanti par contrat</w:t>
            </w:r>
          </w:p>
        </w:tc>
        <w:tc>
          <w:tcPr>
            <w:shd w:val="clear" w:color="auto" w:fill="F5F7FB"/>
          </w:tcPr>
          <w:p>
            <w:pPr>
              <w:pStyle w:val="Compact"/>
            </w:pPr>
            <w:r>
              <w:rPr>
                <w:sz w:val="17"/>
              </w:rPr>
              <w:t xml:space="preserve">Marchés publics ; indépendance (§ 33.2)</w:t>
            </w:r>
          </w:p>
        </w:tc>
      </w:tr>
      <w:tr>
        <w:tc>
          <w:tcPr/>
          <w:p>
            <w:pPr>
              <w:pStyle w:val="Compact"/>
            </w:pPr>
            <w:r>
              <w:rPr>
                <w:sz w:val="17"/>
              </w:rPr>
              <w:t xml:space="preserve">ARB-20</w:t>
            </w:r>
          </w:p>
        </w:tc>
        <w:tc>
          <w:tcPr/>
          <w:p>
            <w:pPr>
              <w:pStyle w:val="Compact"/>
            </w:pPr>
            <w:r>
              <w:rPr>
                <w:sz w:val="17"/>
              </w:rPr>
              <w:t xml:space="preserve">Commission des points de paiement : qui la paie ?</w:t>
            </w:r>
          </w:p>
        </w:tc>
        <w:tc>
          <w:tcPr/>
          <w:p>
            <w:pPr>
              <w:pStyle w:val="Compact"/>
            </w:pPr>
            <w:r>
              <w:rPr>
                <w:sz w:val="17"/>
              </w:rPr>
              <w:t xml:space="preserve">Jamais prélevée sur le montant dû ; facturée séparément et payée sur crédit budgétaire, sauf convention approuvée visible au grand livre (§ 20.1)</w:t>
            </w:r>
          </w:p>
        </w:tc>
        <w:tc>
          <w:tcPr/>
          <w:p>
            <w:pPr>
              <w:pStyle w:val="Compact"/>
            </w:pPr>
            <w:r>
              <w:rPr>
                <w:sz w:val="17"/>
              </w:rPr>
              <w:t xml:space="preserve">Montant dû intégral ; transparence</w:t>
            </w:r>
          </w:p>
        </w:tc>
      </w:tr>
      <w:tr>
        <w:tc>
          <w:tcPr>
            <w:shd w:val="clear" w:color="auto" w:fill="F5F7FB"/>
          </w:tcPr>
          <w:p>
            <w:pPr>
              <w:pStyle w:val="Compact"/>
            </w:pPr>
            <w:r>
              <w:rPr>
                <w:sz w:val="17"/>
              </w:rPr>
              <w:t xml:space="preserve">ARB-21</w:t>
            </w:r>
          </w:p>
        </w:tc>
        <w:tc>
          <w:tcPr>
            <w:shd w:val="clear" w:color="auto" w:fill="F5F7FB"/>
          </w:tcPr>
          <w:p>
            <w:pPr>
              <w:pStyle w:val="Compact"/>
            </w:pPr>
            <w:r>
              <w:rPr>
                <w:sz w:val="17"/>
              </w:rPr>
              <w:t xml:space="preserve">Valeur de la quittance « en attente » ; bascule à</w:t>
            </w:r>
            <w:r>
              <w:rPr>
                <w:sz w:val="17"/>
              </w:rPr>
              <w:t xml:space="preserve"> </w:t>
            </w:r>
            <w:r>
              <w:rPr>
                <w:rStyle w:val="VerbatimChar"/>
                <w:sz w:val="17"/>
              </w:rPr>
              <w:t xml:space="preserve">SETTLED</w:t>
            </w:r>
            <w:r>
              <w:rPr>
                <w:sz w:val="17"/>
              </w:rPr>
              <w:t xml:space="preserve"> </w:t>
            </w:r>
            <w:r>
              <w:rPr>
                <w:sz w:val="17"/>
              </w:rPr>
              <w:t xml:space="preserve">(KIN-RECETTES) ou</w:t>
            </w:r>
            <w:r>
              <w:rPr>
                <w:sz w:val="17"/>
              </w:rPr>
              <w:t xml:space="preserve"> </w:t>
            </w:r>
            <w:r>
              <w:rPr>
                <w:rStyle w:val="VerbatimChar"/>
                <w:sz w:val="17"/>
              </w:rPr>
              <w:t xml:space="preserve">RECONCILED</w:t>
            </w:r>
            <w:r>
              <w:rPr>
                <w:sz w:val="17"/>
              </w:rPr>
              <w:t xml:space="preserve"> </w:t>
            </w:r>
            <w:r>
              <w:rPr>
                <w:sz w:val="17"/>
              </w:rPr>
              <w:t xml:space="preserve">(Cahier)</w:t>
            </w:r>
          </w:p>
        </w:tc>
        <w:tc>
          <w:tcPr>
            <w:shd w:val="clear" w:color="auto" w:fill="F5F7FB"/>
          </w:tcPr>
          <w:p>
            <w:pPr>
              <w:pStyle w:val="Compact"/>
            </w:pPr>
            <w:r>
              <w:rPr>
                <w:sz w:val="17"/>
              </w:rPr>
              <w:t xml:space="preserve">Deux niveaux ; définitive à</w:t>
            </w:r>
            <w:r>
              <w:rPr>
                <w:sz w:val="17"/>
              </w:rPr>
              <w:t xml:space="preserve"> </w:t>
            </w:r>
            <w:r>
              <w:rPr>
                <w:rStyle w:val="VerbatimChar"/>
                <w:sz w:val="17"/>
              </w:rPr>
              <w:t xml:space="preserve">RAPPROCHE</w:t>
            </w:r>
            <w:r>
              <w:rPr>
                <w:sz w:val="17"/>
              </w:rPr>
              <w:t xml:space="preserve"> </w:t>
            </w:r>
            <w:r>
              <w:rPr>
                <w:sz w:val="17"/>
              </w:rPr>
              <w:t xml:space="preserve">; délai maximal de bascule paramétrable (J17) ; retour à</w:t>
            </w:r>
            <w:r>
              <w:rPr>
                <w:sz w:val="17"/>
              </w:rPr>
              <w:t xml:space="preserve"> </w:t>
            </w:r>
            <w:r>
              <w:rPr>
                <w:rStyle w:val="VerbatimChar"/>
                <w:sz w:val="17"/>
              </w:rPr>
              <w:t xml:space="preserve">REGLE</w:t>
            </w:r>
            <w:r>
              <w:rPr>
                <w:sz w:val="17"/>
              </w:rPr>
              <w:t xml:space="preserve"> </w:t>
            </w:r>
            <w:r>
              <w:rPr>
                <w:sz w:val="17"/>
              </w:rPr>
              <w:t xml:space="preserve">possible sur décision motivée du Comité</w:t>
            </w:r>
          </w:p>
        </w:tc>
        <w:tc>
          <w:tcPr>
            <w:shd w:val="clear" w:color="auto" w:fill="F5F7FB"/>
          </w:tcPr>
          <w:p>
            <w:pPr>
              <w:pStyle w:val="Compact"/>
            </w:pPr>
            <w:r>
              <w:rPr>
                <w:sz w:val="17"/>
              </w:rPr>
              <w:t xml:space="preserve">§ 18.6 ; valeur juridique à certifier (J7)</w:t>
            </w:r>
          </w:p>
        </w:tc>
      </w:tr>
      <w:tr>
        <w:tc>
          <w:tcPr/>
          <w:p>
            <w:pPr>
              <w:pStyle w:val="Compact"/>
            </w:pPr>
            <w:r>
              <w:rPr>
                <w:sz w:val="17"/>
              </w:rPr>
              <w:t xml:space="preserve">ARB-22</w:t>
            </w:r>
          </w:p>
        </w:tc>
        <w:tc>
          <w:tcPr/>
          <w:p>
            <w:pPr>
              <w:pStyle w:val="Compact"/>
            </w:pPr>
            <w:r>
              <w:rPr>
                <w:sz w:val="17"/>
              </w:rPr>
              <w:t xml:space="preserve">« Une quittance prouve un paiement fait</w:t>
            </w:r>
            <w:r>
              <w:rPr>
                <w:sz w:val="17"/>
              </w:rPr>
              <w:t xml:space="preserve"> </w:t>
            </w:r>
            <w:r>
              <w:rPr>
                <w:b/>
                <w:bCs/>
                <w:sz w:val="17"/>
              </w:rPr>
              <w:t xml:space="preserve">et rapproché</w:t>
            </w:r>
            <w:r>
              <w:rPr>
                <w:sz w:val="17"/>
              </w:rPr>
              <w:t xml:space="preserve"> </w:t>
            </w:r>
            <w:r>
              <w:rPr>
                <w:sz w:val="17"/>
              </w:rPr>
              <w:t xml:space="preserve">» vs quittance émise dès la confirmation</w:t>
            </w:r>
          </w:p>
        </w:tc>
        <w:tc>
          <w:tcPr/>
          <w:p>
            <w:pPr>
              <w:pStyle w:val="Compact"/>
            </w:pPr>
            <w:r>
              <w:rPr>
                <w:sz w:val="17"/>
              </w:rPr>
              <w:t xml:space="preserve">Quittance provisoire = paiement confirmé ; définitive = rapproché ; un titre court peut être émis sur quittance provisoire et révoqué si contrepassement</w:t>
            </w:r>
          </w:p>
        </w:tc>
        <w:tc>
          <w:tcPr/>
          <w:p>
            <w:pPr>
              <w:pStyle w:val="Compact"/>
            </w:pPr>
            <w:r>
              <w:rPr>
                <w:sz w:val="17"/>
              </w:rPr>
              <w:t xml:space="preserve">Distinction explicite des états (§ H.11.1)</w:t>
            </w:r>
          </w:p>
        </w:tc>
      </w:tr>
      <w:tr>
        <w:tc>
          <w:tcPr>
            <w:shd w:val="clear" w:color="auto" w:fill="F5F7FB"/>
          </w:tcPr>
          <w:p>
            <w:pPr>
              <w:pStyle w:val="Compact"/>
            </w:pPr>
            <w:r>
              <w:rPr>
                <w:sz w:val="17"/>
              </w:rPr>
              <w:t xml:space="preserve">ARB-23</w:t>
            </w:r>
          </w:p>
        </w:tc>
        <w:tc>
          <w:tcPr>
            <w:shd w:val="clear" w:color="auto" w:fill="F5F7FB"/>
          </w:tcPr>
          <w:p>
            <w:pPr>
              <w:pStyle w:val="Compact"/>
            </w:pPr>
            <w:r>
              <w:rPr>
                <w:sz w:val="17"/>
              </w:rPr>
              <w:t xml:space="preserve">« Pas de quittance sans paiement confirmé » vs « définitive à la confirmation S2S »</w:t>
            </w:r>
          </w:p>
        </w:tc>
        <w:tc>
          <w:tcPr>
            <w:shd w:val="clear" w:color="auto" w:fill="F5F7FB"/>
          </w:tcPr>
          <w:p>
            <w:pPr>
              <w:pStyle w:val="Compact"/>
            </w:pPr>
            <w:r>
              <w:rPr>
                <w:sz w:val="17"/>
              </w:rPr>
              <w:t xml:space="preserve">Modèle de données</w:t>
            </w:r>
            <w:r>
              <w:rPr>
                <w:sz w:val="17"/>
              </w:rPr>
              <w:t xml:space="preserve"> </w:t>
            </w:r>
            <w:r>
              <w:rPr>
                <w:rStyle w:val="VerbatimChar"/>
                <w:sz w:val="17"/>
              </w:rPr>
              <w:t xml:space="preserve">Receipt.status</w:t>
            </w:r>
            <w:r>
              <w:rPr>
                <w:sz w:val="17"/>
              </w:rPr>
              <w:t xml:space="preserve"> </w:t>
            </w:r>
            <w:r>
              <w:rPr>
                <w:sz w:val="17"/>
              </w:rPr>
              <w:t xml:space="preserve">:</w:t>
            </w:r>
            <w:r>
              <w:rPr>
                <w:sz w:val="17"/>
              </w:rPr>
              <w:t xml:space="preserve"> </w:t>
            </w:r>
            <w:r>
              <w:rPr>
                <w:rStyle w:val="VerbatimChar"/>
                <w:sz w:val="17"/>
              </w:rPr>
              <w:t xml:space="preserve">PROVISOIRE</w:t>
            </w:r>
            <w:r>
              <w:rPr>
                <w:sz w:val="17"/>
              </w:rPr>
              <w:t xml:space="preserve"> </w:t>
            </w:r>
            <w:r>
              <w:rPr>
                <w:sz w:val="17"/>
              </w:rPr>
              <w:t xml:space="preserve">/</w:t>
            </w:r>
            <w:r>
              <w:rPr>
                <w:sz w:val="17"/>
              </w:rPr>
              <w:t xml:space="preserve"> </w:t>
            </w:r>
            <w:r>
              <w:rPr>
                <w:rStyle w:val="VerbatimChar"/>
                <w:sz w:val="17"/>
              </w:rPr>
              <w:t xml:space="preserve">DÉFINITIVE</w:t>
            </w:r>
            <w:r>
              <w:rPr>
                <w:sz w:val="17"/>
              </w:rPr>
              <w:t xml:space="preserve"> </w:t>
            </w:r>
            <w:r>
              <w:rPr>
                <w:sz w:val="17"/>
              </w:rPr>
              <w:t xml:space="preserve">(§ 29.3)</w:t>
            </w:r>
          </w:p>
        </w:tc>
        <w:tc>
          <w:tcPr>
            <w:shd w:val="clear" w:color="auto" w:fill="F5F7FB"/>
          </w:tcPr>
          <w:p>
            <w:pPr>
              <w:pStyle w:val="Compact"/>
            </w:pPr>
            <w:r>
              <w:rPr>
                <w:sz w:val="17"/>
              </w:rPr>
              <w:t xml:space="preserve">Levée de l’ambiguïté</w:t>
            </w:r>
          </w:p>
        </w:tc>
      </w:tr>
    </w:tbl>
    <w:bookmarkEnd w:id="572"/>
    <w:bookmarkStart w:id="573" w:name="Xf0ffb770e42330161903e812f037959633a8e4d"/>
    <w:p>
      <w:pPr>
        <w:pStyle w:val="Heading3"/>
      </w:pPr>
      <w:r>
        <w:t xml:space="preserve">H.29.4 Données personnelles, biométrie, sous-traitance (D)</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ID</w:t>
            </w:r>
          </w:p>
        </w:tc>
        <w:tc>
          <w:tcPr>
            <w:shd w:val="clear" w:color="auto" w:fill="232C6B"/>
          </w:tcPr>
          <w:p>
            <w:pPr>
              <w:pStyle w:val="Compact"/>
            </w:pPr>
            <w:r>
              <w:rPr>
                <w:b/>
                <w:color w:val="FFFFFF"/>
                <w:sz w:val="17"/>
              </w:rPr>
              <w:t xml:space="preserve">Contradiction ou point sensible</w:t>
            </w:r>
          </w:p>
        </w:tc>
        <w:tc>
          <w:tcPr>
            <w:shd w:val="clear" w:color="auto" w:fill="232C6B"/>
          </w:tcPr>
          <w:p>
            <w:pPr>
              <w:pStyle w:val="Compact"/>
            </w:pPr>
            <w:r>
              <w:rPr>
                <w:b/>
                <w:color w:val="FFFFFF"/>
                <w:sz w:val="17"/>
              </w:rPr>
              <w:t xml:space="preserve">Position v3.0</w:t>
            </w:r>
          </w:p>
        </w:tc>
        <w:tc>
          <w:tcPr>
            <w:shd w:val="clear" w:color="auto" w:fill="232C6B"/>
          </w:tcPr>
          <w:p>
            <w:pPr>
              <w:pStyle w:val="Compact"/>
            </w:pPr>
            <w:r>
              <w:rPr>
                <w:b/>
                <w:color w:val="FFFFFF"/>
                <w:sz w:val="17"/>
              </w:rPr>
              <w:t xml:space="preserve">Justification</w:t>
            </w:r>
          </w:p>
        </w:tc>
      </w:tr>
      <w:tr>
        <w:tc>
          <w:tcPr/>
          <w:p>
            <w:pPr>
              <w:pStyle w:val="Compact"/>
            </w:pPr>
            <w:r>
              <w:rPr>
                <w:sz w:val="17"/>
              </w:rPr>
              <w:t xml:space="preserve">ARB-24</w:t>
            </w:r>
          </w:p>
        </w:tc>
        <w:tc>
          <w:tcPr/>
          <w:p>
            <w:pPr>
              <w:pStyle w:val="Compact"/>
            </w:pPr>
            <w:r>
              <w:rPr>
                <w:sz w:val="17"/>
              </w:rPr>
              <w:t xml:space="preserve">Empreinte digitale comme marque de consentement</w:t>
            </w:r>
          </w:p>
        </w:tc>
        <w:tc>
          <w:tcPr/>
          <w:p>
            <w:pPr>
              <w:pStyle w:val="Compact"/>
            </w:pPr>
            <w:r>
              <w:rPr>
                <w:sz w:val="17"/>
              </w:rPr>
              <w:t xml:space="preserve">Seulement si J18 certifié ; jamais identifiant de recherche ; voix ou témoin par défaut</w:t>
            </w:r>
          </w:p>
        </w:tc>
        <w:tc>
          <w:tcPr/>
          <w:p>
            <w:pPr>
              <w:pStyle w:val="Compact"/>
            </w:pPr>
            <w:r>
              <w:rPr>
                <w:sz w:val="17"/>
              </w:rPr>
              <w:t xml:space="preserve">Donnée biométrique ; Code du numérique</w:t>
            </w:r>
          </w:p>
        </w:tc>
      </w:tr>
      <w:tr>
        <w:tc>
          <w:tcPr>
            <w:shd w:val="clear" w:color="auto" w:fill="F5F7FB"/>
          </w:tcPr>
          <w:p>
            <w:pPr>
              <w:pStyle w:val="Compact"/>
            </w:pPr>
            <w:r>
              <w:rPr>
                <w:sz w:val="17"/>
              </w:rPr>
              <w:t xml:space="preserve">ARB-25</w:t>
            </w:r>
          </w:p>
        </w:tc>
        <w:tc>
          <w:tcPr>
            <w:shd w:val="clear" w:color="auto" w:fill="F5F7FB"/>
          </w:tcPr>
          <w:p>
            <w:pPr>
              <w:pStyle w:val="Compact"/>
            </w:pPr>
            <w:r>
              <w:rPr>
                <w:sz w:val="17"/>
              </w:rPr>
              <w:t xml:space="preserve">Partage de données énergie, eau, télécoms, brasseries, employeurs</w:t>
            </w:r>
          </w:p>
        </w:tc>
        <w:tc>
          <w:tcPr>
            <w:shd w:val="clear" w:color="auto" w:fill="F5F7FB"/>
          </w:tcPr>
          <w:p>
            <w:pPr>
              <w:pStyle w:val="Compact"/>
            </w:pPr>
            <w:r>
              <w:rPr>
                <w:sz w:val="17"/>
              </w:rPr>
              <w:t xml:space="preserve">Protocole signé + analyse d’impact ; connecteurs désactivés sinon (J13) ; données en RDC (§ 33)</w:t>
            </w:r>
          </w:p>
        </w:tc>
        <w:tc>
          <w:tcPr>
            <w:shd w:val="clear" w:color="auto" w:fill="F5F7FB"/>
          </w:tcPr>
          <w:p>
            <w:pPr>
              <w:pStyle w:val="Compact"/>
            </w:pPr>
            <w:r>
              <w:rPr>
                <w:sz w:val="17"/>
              </w:rPr>
              <w:t xml:space="preserve">Minimisation ; légalité</w:t>
            </w:r>
          </w:p>
        </w:tc>
      </w:tr>
      <w:tr>
        <w:tc>
          <w:tcPr/>
          <w:p>
            <w:pPr>
              <w:pStyle w:val="Compact"/>
            </w:pPr>
            <w:r>
              <w:rPr>
                <w:sz w:val="17"/>
              </w:rPr>
              <w:t xml:space="preserve">ARB-26</w:t>
            </w:r>
          </w:p>
        </w:tc>
        <w:tc>
          <w:tcPr/>
          <w:p>
            <w:pPr>
              <w:pStyle w:val="Compact"/>
            </w:pPr>
            <w:r>
              <w:rPr>
                <w:sz w:val="17"/>
              </w:rPr>
              <w:t xml:space="preserve">Délégation du recensement, de l’enrôlement et des constats à des sous-traitants privés ; contrôleurs publicitaires non publics</w:t>
            </w:r>
          </w:p>
        </w:tc>
        <w:tc>
          <w:tcPr/>
          <w:p>
            <w:pPr>
              <w:pStyle w:val="Compact"/>
            </w:pPr>
            <w:r>
              <w:rPr>
                <w:sz w:val="17"/>
              </w:rPr>
              <w:t xml:space="preserve">Les sous-traitants observent ; tout acte opposable est validé et signé par un agent public habilité (J19)</w:t>
            </w:r>
          </w:p>
        </w:tc>
        <w:tc>
          <w:tcPr/>
          <w:p>
            <w:pPr>
              <w:pStyle w:val="Compact"/>
            </w:pPr>
            <w:r>
              <w:rPr>
                <w:sz w:val="17"/>
              </w:rPr>
              <w:t xml:space="preserve">Prérogatives de puissance publique</w:t>
            </w:r>
          </w:p>
        </w:tc>
      </w:tr>
      <w:tr>
        <w:tc>
          <w:tcPr>
            <w:shd w:val="clear" w:color="auto" w:fill="F5F7FB"/>
          </w:tcPr>
          <w:p>
            <w:pPr>
              <w:pStyle w:val="Compact"/>
            </w:pPr>
            <w:r>
              <w:rPr>
                <w:sz w:val="17"/>
              </w:rPr>
              <w:t xml:space="preserve">ARB-27</w:t>
            </w:r>
          </w:p>
        </w:tc>
        <w:tc>
          <w:tcPr>
            <w:shd w:val="clear" w:color="auto" w:fill="F5F7FB"/>
          </w:tcPr>
          <w:p>
            <w:pPr>
              <w:pStyle w:val="Compact"/>
            </w:pPr>
            <w:r>
              <w:rPr>
                <w:sz w:val="17"/>
              </w:rPr>
              <w:t xml:space="preserve">Données urbaines (stationnement) et produits de données</w:t>
            </w:r>
          </w:p>
        </w:tc>
        <w:tc>
          <w:tcPr>
            <w:shd w:val="clear" w:color="auto" w:fill="F5F7FB"/>
          </w:tcPr>
          <w:p>
            <w:pPr>
              <w:pStyle w:val="Compact"/>
            </w:pPr>
            <w:r>
              <w:rPr>
                <w:sz w:val="17"/>
              </w:rPr>
              <w:t xml:space="preserve">Agrégées, anonymisées, testées contre la ré-identification ; pas avant 2028 (G24)</w:t>
            </w:r>
          </w:p>
        </w:tc>
        <w:tc>
          <w:tcPr>
            <w:shd w:val="clear" w:color="auto" w:fill="F5F7FB"/>
          </w:tcPr>
          <w:p>
            <w:pPr>
              <w:pStyle w:val="Compact"/>
            </w:pPr>
            <w:r>
              <w:rPr>
                <w:sz w:val="17"/>
              </w:rPr>
              <w:t xml:space="preserve">Protection des données</w:t>
            </w:r>
          </w:p>
        </w:tc>
      </w:tr>
      <w:tr>
        <w:tc>
          <w:tcPr/>
          <w:p>
            <w:pPr>
              <w:pStyle w:val="Compact"/>
            </w:pPr>
            <w:r>
              <w:rPr>
                <w:sz w:val="17"/>
              </w:rPr>
              <w:t xml:space="preserve">ARB-28</w:t>
            </w:r>
          </w:p>
        </w:tc>
        <w:tc>
          <w:tcPr/>
          <w:p>
            <w:pPr>
              <w:pStyle w:val="Compact"/>
            </w:pPr>
            <w:r>
              <w:rPr>
                <w:sz w:val="17"/>
              </w:rPr>
              <w:t xml:space="preserve">Audit comportemental des agents de billetterie vs « pas de surveillance permanente »</w:t>
            </w:r>
          </w:p>
        </w:tc>
        <w:tc>
          <w:tcPr/>
          <w:p>
            <w:pPr>
              <w:pStyle w:val="Compact"/>
            </w:pPr>
            <w:r>
              <w:rPr>
                <w:sz w:val="17"/>
              </w:rPr>
              <w:t xml:space="preserve">Limité aux actes (ventes, annulations, écarts) ; règles publiées (§ 24.2)</w:t>
            </w:r>
          </w:p>
        </w:tc>
        <w:tc>
          <w:tcPr/>
          <w:p>
            <w:pPr>
              <w:pStyle w:val="Compact"/>
            </w:pPr>
            <w:r>
              <w:rPr>
                <w:sz w:val="17"/>
              </w:rPr>
              <w:t xml:space="preserve">Surveillance légitime</w:t>
            </w:r>
          </w:p>
        </w:tc>
      </w:tr>
      <w:tr>
        <w:tc>
          <w:tcPr>
            <w:shd w:val="clear" w:color="auto" w:fill="F5F7FB"/>
          </w:tcPr>
          <w:p>
            <w:pPr>
              <w:pStyle w:val="Compact"/>
            </w:pPr>
            <w:r>
              <w:rPr>
                <w:sz w:val="17"/>
              </w:rPr>
              <w:t xml:space="preserve">ARB-29</w:t>
            </w:r>
          </w:p>
        </w:tc>
        <w:tc>
          <w:tcPr>
            <w:shd w:val="clear" w:color="auto" w:fill="F5F7FB"/>
          </w:tcPr>
          <w:p>
            <w:pPr>
              <w:pStyle w:val="Compact"/>
            </w:pPr>
            <w:r>
              <w:rPr>
                <w:sz w:val="17"/>
              </w:rPr>
              <w:t xml:space="preserve">Drill-down du Gouverneur vs accès du Cabinet limité par finalité</w:t>
            </w:r>
          </w:p>
        </w:tc>
        <w:tc>
          <w:tcPr>
            <w:shd w:val="clear" w:color="auto" w:fill="F5F7FB"/>
          </w:tcPr>
          <w:p>
            <w:pPr>
              <w:pStyle w:val="Compact"/>
            </w:pPr>
            <w:r>
              <w:rPr>
                <w:sz w:val="17"/>
              </w:rPr>
              <w:t xml:space="preserve">Gouverneur : agrégats ; nominatif uniquement via enquête motivée instruite par l’audit (§ 12.3)</w:t>
            </w:r>
          </w:p>
        </w:tc>
        <w:tc>
          <w:tcPr>
            <w:shd w:val="clear" w:color="auto" w:fill="F5F7FB"/>
          </w:tcPr>
          <w:p>
            <w:pPr>
              <w:pStyle w:val="Compact"/>
            </w:pPr>
            <w:r>
              <w:rPr>
                <w:sz w:val="17"/>
              </w:rPr>
              <w:t xml:space="preserve">Confidentialité fiscale</w:t>
            </w:r>
          </w:p>
        </w:tc>
      </w:tr>
    </w:tbl>
    <w:bookmarkEnd w:id="573"/>
    <w:bookmarkStart w:id="574" w:name="Xb1b0302612369e1450034ac6bcd5f96ed9ef43e"/>
    <w:p>
      <w:pPr>
        <w:pStyle w:val="Heading3"/>
      </w:pPr>
      <w:r>
        <w:t xml:space="preserve">H.29.5 Incohérences internes et chiffrées (E)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ID</w:t>
            </w:r>
          </w:p>
        </w:tc>
        <w:tc>
          <w:tcPr>
            <w:shd w:val="clear" w:color="auto" w:fill="232C6B"/>
          </w:tcPr>
          <w:p>
            <w:pPr>
              <w:pStyle w:val="Compact"/>
            </w:pPr>
            <w:r>
              <w:rPr>
                <w:b/>
                <w:color w:val="FFFFFF"/>
                <w:sz w:val="17"/>
              </w:rPr>
              <w:t xml:space="preserve">Incohérence</w:t>
            </w:r>
          </w:p>
        </w:tc>
        <w:tc>
          <w:tcPr>
            <w:shd w:val="clear" w:color="auto" w:fill="232C6B"/>
          </w:tcPr>
          <w:p>
            <w:pPr>
              <w:pStyle w:val="Compact"/>
            </w:pPr>
            <w:r>
              <w:rPr>
                <w:b/>
                <w:color w:val="FFFFFF"/>
                <w:sz w:val="17"/>
              </w:rPr>
              <w:t xml:space="preserve">Position v3.0</w:t>
            </w:r>
          </w:p>
        </w:tc>
        <w:tc>
          <w:tcPr>
            <w:shd w:val="clear" w:color="auto" w:fill="232C6B"/>
          </w:tcPr>
          <w:p>
            <w:pPr>
              <w:pStyle w:val="Compact"/>
            </w:pPr>
            <w:r>
              <w:rPr>
                <w:b/>
                <w:color w:val="FFFFFF"/>
                <w:sz w:val="17"/>
              </w:rPr>
              <w:t xml:space="preserve">Justification</w:t>
            </w:r>
          </w:p>
        </w:tc>
      </w:tr>
      <w:tr>
        <w:tc>
          <w:tcPr/>
          <w:p>
            <w:pPr>
              <w:pStyle w:val="Compact"/>
            </w:pPr>
            <w:r>
              <w:rPr>
                <w:sz w:val="17"/>
              </w:rPr>
              <w:t xml:space="preserve">ARB-30</w:t>
            </w:r>
          </w:p>
        </w:tc>
        <w:tc>
          <w:tcPr/>
          <w:p>
            <w:pPr>
              <w:pStyle w:val="Compact"/>
            </w:pPr>
            <w:r>
              <w:rPr>
                <w:sz w:val="17"/>
              </w:rPr>
              <w:t xml:space="preserve">Illustration wewa : « 100 000 wewa = 15 Md FC (≈ 6,5 M) … ≈ 33 M$ à 50 % »</w:t>
            </w:r>
          </w:p>
        </w:tc>
        <w:tc>
          <w:tcPr/>
          <w:p>
            <w:pPr>
              <w:pStyle w:val="Compact"/>
            </w:pPr>
            <w:r>
              <w:rPr>
                <w:sz w:val="17"/>
              </w:rPr>
              <w:t xml:space="preserve">Corrigée : 100 000 → ≈ 6,5 M USD ; 1 million → ≈ 65 M USD à conformité totale, ≈ 33 M USD à 50 % ; [EXEMPLE] [À VÉRIFIER] (§ H.27.16.1)</w:t>
            </w:r>
          </w:p>
        </w:tc>
        <w:tc>
          <w:tcPr/>
          <w:p>
            <w:pPr>
              <w:pStyle w:val="Compact"/>
            </w:pPr>
            <w:r>
              <w:rPr>
                <w:sz w:val="17"/>
              </w:rPr>
              <w:t xml:space="preserve">Arithmétique ; Annexe D du Cahier</w:t>
            </w:r>
          </w:p>
        </w:tc>
      </w:tr>
      <w:tr>
        <w:tc>
          <w:tcPr>
            <w:shd w:val="clear" w:color="auto" w:fill="F5F7FB"/>
          </w:tcPr>
          <w:p>
            <w:pPr>
              <w:pStyle w:val="Compact"/>
            </w:pPr>
            <w:r>
              <w:rPr>
                <w:sz w:val="17"/>
              </w:rPr>
              <w:t xml:space="preserve">ARB-31</w:t>
            </w:r>
          </w:p>
        </w:tc>
        <w:tc>
          <w:tcPr>
            <w:shd w:val="clear" w:color="auto" w:fill="F5F7FB"/>
          </w:tcPr>
          <w:p>
            <w:pPr>
              <w:pStyle w:val="Compact"/>
            </w:pPr>
            <w:r>
              <w:rPr>
                <w:sz w:val="17"/>
              </w:rPr>
              <w:t xml:space="preserve">Deux taux de change (2 859,2 budget 2025 ; 2 267,75 BCC 22/09/2026)</w:t>
            </w:r>
          </w:p>
        </w:tc>
        <w:tc>
          <w:tcPr>
            <w:shd w:val="clear" w:color="auto" w:fill="F5F7FB"/>
          </w:tcPr>
          <w:p>
            <w:pPr>
              <w:pStyle w:val="Compact"/>
            </w:pPr>
            <w:r>
              <w:rPr>
                <w:sz w:val="17"/>
              </w:rPr>
              <w:t xml:space="preserve">Taux désigné par la règle certifiée (module 89) ; tout scénario indique son taux</w:t>
            </w:r>
          </w:p>
        </w:tc>
        <w:tc>
          <w:tcPr>
            <w:shd w:val="clear" w:color="auto" w:fill="F5F7FB"/>
          </w:tcPr>
          <w:p>
            <w:pPr>
              <w:pStyle w:val="Compact"/>
            </w:pPr>
            <w:r>
              <w:rPr>
                <w:sz w:val="17"/>
              </w:rPr>
              <w:t xml:space="preserve">§ 11.6, § 38.3</w:t>
            </w:r>
          </w:p>
        </w:tc>
      </w:tr>
      <w:tr>
        <w:tc>
          <w:tcPr/>
          <w:p>
            <w:pPr>
              <w:pStyle w:val="Compact"/>
            </w:pPr>
            <w:r>
              <w:rPr>
                <w:sz w:val="17"/>
              </w:rPr>
              <w:t xml:space="preserve">ARB-32</w:t>
            </w:r>
          </w:p>
        </w:tc>
        <w:tc>
          <w:tcPr/>
          <w:p>
            <w:pPr>
              <w:pStyle w:val="Compact"/>
            </w:pPr>
            <w:r>
              <w:rPr>
                <w:sz w:val="17"/>
              </w:rPr>
              <w:t xml:space="preserve">16 ou 17 verticales ; compositions divergentes</w:t>
            </w:r>
          </w:p>
        </w:tc>
        <w:tc>
          <w:tcPr/>
          <w:p>
            <w:pPr>
              <w:pStyle w:val="Compact"/>
            </w:pPr>
            <w:r>
              <w:rPr>
                <w:sz w:val="17"/>
              </w:rPr>
              <w:t xml:space="preserve">17 verticales, composition réconciliée (§ H.5.3)</w:t>
            </w:r>
          </w:p>
        </w:tc>
        <w:tc>
          <w:tcPr/>
          <w:p>
            <w:pPr>
              <w:pStyle w:val="Compact"/>
            </w:pPr>
            <w:r>
              <w:rPr>
                <w:sz w:val="17"/>
              </w:rPr>
              <w:t xml:space="preserve">Exhaustivité</w:t>
            </w:r>
          </w:p>
        </w:tc>
      </w:tr>
      <w:tr>
        <w:tc>
          <w:tcPr>
            <w:shd w:val="clear" w:color="auto" w:fill="F5F7FB"/>
          </w:tcPr>
          <w:p>
            <w:pPr>
              <w:pStyle w:val="Compact"/>
            </w:pPr>
            <w:r>
              <w:rPr>
                <w:sz w:val="17"/>
              </w:rPr>
              <w:t xml:space="preserve">ARB-33</w:t>
            </w:r>
          </w:p>
        </w:tc>
        <w:tc>
          <w:tcPr>
            <w:shd w:val="clear" w:color="auto" w:fill="F5F7FB"/>
          </w:tcPr>
          <w:p>
            <w:pPr>
              <w:pStyle w:val="Compact"/>
            </w:pPr>
            <w:r>
              <w:rPr>
                <w:sz w:val="17"/>
              </w:rPr>
              <w:t xml:space="preserve">11 états vs « six états » vs liste de six niveaux</w:t>
            </w:r>
          </w:p>
        </w:tc>
        <w:tc>
          <w:tcPr>
            <w:shd w:val="clear" w:color="auto" w:fill="F5F7FB"/>
          </w:tcPr>
          <w:p>
            <w:pPr>
              <w:pStyle w:val="Compact"/>
            </w:pPr>
            <w:r>
              <w:rPr>
                <w:sz w:val="17"/>
              </w:rPr>
              <w:t xml:space="preserve">Échelle v3.0 à 11 niveaux, seule référence ; vues agrégées autorisées</w:t>
            </w:r>
          </w:p>
        </w:tc>
        <w:tc>
          <w:tcPr>
            <w:shd w:val="clear" w:color="auto" w:fill="F5F7FB"/>
          </w:tcPr>
          <w:p>
            <w:pPr>
              <w:pStyle w:val="Compact"/>
            </w:pPr>
            <w:r>
              <w:rPr>
                <w:sz w:val="17"/>
              </w:rPr>
              <w:t xml:space="preserve">§ 26.1</w:t>
            </w:r>
          </w:p>
        </w:tc>
      </w:tr>
      <w:tr>
        <w:tc>
          <w:tcPr/>
          <w:p>
            <w:pPr>
              <w:pStyle w:val="Compact"/>
            </w:pPr>
            <w:r>
              <w:rPr>
                <w:sz w:val="17"/>
              </w:rPr>
              <w:t xml:space="preserve">ARB-34</w:t>
            </w:r>
          </w:p>
        </w:tc>
        <w:tc>
          <w:tcPr/>
          <w:p>
            <w:pPr>
              <w:pStyle w:val="Compact"/>
            </w:pPr>
            <w:r>
              <w:rPr>
                <w:sz w:val="17"/>
              </w:rPr>
              <w:t xml:space="preserve">Trois vocabulaires de statuts de quittance</w:t>
            </w:r>
          </w:p>
        </w:tc>
        <w:tc>
          <w:tcPr/>
          <w:p>
            <w:pPr>
              <w:pStyle w:val="Compact"/>
            </w:pPr>
            <w:r>
              <w:rPr>
                <w:sz w:val="17"/>
              </w:rPr>
              <w:t xml:space="preserve">Table de correspondance normative (§ H.10.10)</w:t>
            </w:r>
          </w:p>
        </w:tc>
        <w:tc>
          <w:tcPr/>
          <w:p>
            <w:pPr>
              <w:pStyle w:val="Compact"/>
            </w:pPr>
            <w:r>
              <w:rPr>
                <w:sz w:val="17"/>
              </w:rPr>
              <w:t xml:space="preserve">Cohérence API / affichage</w:t>
            </w:r>
          </w:p>
        </w:tc>
      </w:tr>
      <w:tr>
        <w:tc>
          <w:tcPr>
            <w:shd w:val="clear" w:color="auto" w:fill="F5F7FB"/>
          </w:tcPr>
          <w:p>
            <w:pPr>
              <w:pStyle w:val="Compact"/>
            </w:pPr>
            <w:r>
              <w:rPr>
                <w:sz w:val="17"/>
              </w:rPr>
              <w:t xml:space="preserve">ARB-35</w:t>
            </w:r>
          </w:p>
        </w:tc>
        <w:tc>
          <w:tcPr>
            <w:shd w:val="clear" w:color="auto" w:fill="F5F7FB"/>
          </w:tcPr>
          <w:p>
            <w:pPr>
              <w:pStyle w:val="Compact"/>
            </w:pPr>
            <w:r>
              <w:rPr>
                <w:sz w:val="17"/>
              </w:rPr>
              <w:t xml:space="preserve">« Orange » (carte fiscale, CALCU) vs « ambre » (titres)</w:t>
            </w:r>
          </w:p>
        </w:tc>
        <w:tc>
          <w:tcPr>
            <w:shd w:val="clear" w:color="auto" w:fill="F5F7FB"/>
          </w:tcPr>
          <w:p>
            <w:pPr>
              <w:pStyle w:val="Compact"/>
            </w:pPr>
            <w:r>
              <w:rPr>
                <w:b/>
                <w:bCs/>
                <w:sz w:val="17"/>
              </w:rPr>
              <w:t xml:space="preserve">Ambre</w:t>
            </w:r>
            <w:r>
              <w:rPr>
                <w:sz w:val="17"/>
              </w:rPr>
              <w:t xml:space="preserve"> </w:t>
            </w:r>
            <w:r>
              <w:rPr>
                <w:sz w:val="17"/>
              </w:rPr>
              <w:t xml:space="preserve">partout ; chaque couche garde sa légende</w:t>
            </w:r>
          </w:p>
        </w:tc>
        <w:tc>
          <w:tcPr>
            <w:shd w:val="clear" w:color="auto" w:fill="F5F7FB"/>
          </w:tcPr>
          <w:p>
            <w:pPr>
              <w:pStyle w:val="Compact"/>
            </w:pPr>
            <w:r>
              <w:rPr>
                <w:sz w:val="17"/>
              </w:rPr>
              <w:t xml:space="preserve">Accessibilité, cohérence</w:t>
            </w:r>
          </w:p>
        </w:tc>
      </w:tr>
      <w:tr>
        <w:tc>
          <w:tcPr/>
          <w:p>
            <w:pPr>
              <w:pStyle w:val="Compact"/>
            </w:pPr>
            <w:r>
              <w:rPr>
                <w:sz w:val="17"/>
              </w:rPr>
              <w:t xml:space="preserve">ARB-36</w:t>
            </w:r>
          </w:p>
        </w:tc>
        <w:tc>
          <w:tcPr/>
          <w:p>
            <w:pPr>
              <w:pStyle w:val="Compact"/>
            </w:pPr>
            <w:r>
              <w:rPr>
                <w:sz w:val="17"/>
              </w:rPr>
              <w:t xml:space="preserve">Deux cycles de vie de règle ; quatre contrôles vs trois rôles</w:t>
            </w:r>
          </w:p>
        </w:tc>
        <w:tc>
          <w:tcPr/>
          <w:p>
            <w:pPr>
              <w:pStyle w:val="Compact"/>
            </w:pPr>
            <w:r>
              <w:rPr>
                <w:sz w:val="17"/>
              </w:rPr>
              <w:t xml:space="preserve">Machine à états unique (§ 6.12) ; contrôle fiscal = pièce obligatoire (§ H.3.1)</w:t>
            </w:r>
          </w:p>
        </w:tc>
        <w:tc>
          <w:tcPr/>
          <w:p>
            <w:pPr>
              <w:pStyle w:val="Compact"/>
            </w:pPr>
            <w:r>
              <w:rPr>
                <w:sz w:val="17"/>
              </w:rPr>
              <w:t xml:space="preserve">Simplicité, traçabilité</w:t>
            </w:r>
          </w:p>
        </w:tc>
      </w:tr>
      <w:tr>
        <w:tc>
          <w:tcPr>
            <w:shd w:val="clear" w:color="auto" w:fill="F5F7FB"/>
          </w:tcPr>
          <w:p>
            <w:pPr>
              <w:pStyle w:val="Compact"/>
            </w:pPr>
            <w:r>
              <w:rPr>
                <w:sz w:val="17"/>
              </w:rPr>
              <w:t xml:space="preserve">ARB-37</w:t>
            </w:r>
          </w:p>
        </w:tc>
        <w:tc>
          <w:tcPr>
            <w:shd w:val="clear" w:color="auto" w:fill="F5F7FB"/>
          </w:tcPr>
          <w:p>
            <w:pPr>
              <w:pStyle w:val="Compact"/>
            </w:pPr>
            <w:r>
              <w:rPr>
                <w:sz w:val="17"/>
              </w:rPr>
              <w:t xml:space="preserve">« Quatre personnes distinctes » (initiateur, vérificateur, approbateur, auditeur) vs tables à trois rôles</w:t>
            </w:r>
          </w:p>
        </w:tc>
        <w:tc>
          <w:tcPr>
            <w:shd w:val="clear" w:color="auto" w:fill="F5F7FB"/>
          </w:tcPr>
          <w:p>
            <w:pPr>
              <w:pStyle w:val="Compact"/>
            </w:pPr>
            <w:r>
              <w:rPr>
                <w:sz w:val="17"/>
              </w:rPr>
              <w:t xml:space="preserve">Publication d’une règle : quatre personnes (rédacteur, vérificateur, validateur financier, autorité de publication) ; l’audit est un</w:t>
            </w:r>
            <w:r>
              <w:rPr>
                <w:sz w:val="17"/>
              </w:rPr>
              <w:t xml:space="preserve"> </w:t>
            </w:r>
            <w:r>
              <w:rPr>
                <w:b/>
                <w:bCs/>
                <w:sz w:val="17"/>
              </w:rPr>
              <w:t xml:space="preserve">contrôle a posteriori</w:t>
            </w:r>
            <w:r>
              <w:rPr>
                <w:sz w:val="17"/>
              </w:rPr>
              <w:t xml:space="preserve"> </w:t>
            </w:r>
            <w:r>
              <w:rPr>
                <w:sz w:val="17"/>
              </w:rPr>
              <w:t xml:space="preserve">non bloquant, jamais un rôle opérationnel (§ 12.5)</w:t>
            </w:r>
          </w:p>
        </w:tc>
        <w:tc>
          <w:tcPr>
            <w:shd w:val="clear" w:color="auto" w:fill="F5F7FB"/>
          </w:tcPr>
          <w:p>
            <w:pPr>
              <w:pStyle w:val="Compact"/>
            </w:pPr>
            <w:r>
              <w:rPr>
                <w:sz w:val="17"/>
              </w:rPr>
              <w:t xml:space="preserve">Indépendance de l’audit</w:t>
            </w:r>
          </w:p>
        </w:tc>
      </w:tr>
      <w:tr>
        <w:tc>
          <w:tcPr/>
          <w:p>
            <w:pPr>
              <w:pStyle w:val="Compact"/>
            </w:pPr>
            <w:r>
              <w:rPr>
                <w:sz w:val="17"/>
              </w:rPr>
              <w:t xml:space="preserve">ARB-38</w:t>
            </w:r>
          </w:p>
        </w:tc>
        <w:tc>
          <w:tcPr/>
          <w:p>
            <w:pPr>
              <w:pStyle w:val="Compact"/>
            </w:pPr>
            <w:r>
              <w:rPr>
                <w:sz w:val="17"/>
              </w:rPr>
              <w:t xml:space="preserve">Pilote complet et campagne de février 2027 infaisables après 20 à 28 semaines de phases 0–2</w:t>
            </w:r>
          </w:p>
        </w:tc>
        <w:tc>
          <w:tcPr/>
          <w:p>
            <w:pPr>
              <w:pStyle w:val="Compact"/>
            </w:pPr>
            <w:r>
              <w:rPr>
                <w:sz w:val="17"/>
              </w:rPr>
              <w:t xml:space="preserve">R0 recensement en déc. 2026 ; test partiel en février 2027 (plan de repli par export) ; R1 en avril 2027 ; pilote février–juillet 2027</w:t>
            </w:r>
          </w:p>
        </w:tc>
        <w:tc>
          <w:tcPr/>
          <w:p>
            <w:pPr>
              <w:pStyle w:val="Compact"/>
            </w:pPr>
            <w:r>
              <w:rPr>
                <w:sz w:val="17"/>
              </w:rPr>
              <w:t xml:space="preserve">Réalisme (§ 34.1)</w:t>
            </w:r>
          </w:p>
        </w:tc>
      </w:tr>
      <w:tr>
        <w:tc>
          <w:tcPr>
            <w:shd w:val="clear" w:color="auto" w:fill="F5F7FB"/>
          </w:tcPr>
          <w:p>
            <w:pPr>
              <w:pStyle w:val="Compact"/>
            </w:pPr>
            <w:r>
              <w:rPr>
                <w:sz w:val="17"/>
              </w:rPr>
              <w:t xml:space="preserve">ARB-39</w:t>
            </w:r>
          </w:p>
        </w:tc>
        <w:tc>
          <w:tcPr>
            <w:shd w:val="clear" w:color="auto" w:fill="F5F7FB"/>
          </w:tcPr>
          <w:p>
            <w:pPr>
              <w:pStyle w:val="Compact"/>
            </w:pPr>
            <w:r>
              <w:rPr>
                <w:sz w:val="17"/>
              </w:rPr>
              <w:t xml:space="preserve">Pilote de 180 jours (C) vs 90 jours (KIN-RECETTES)</w:t>
            </w:r>
          </w:p>
        </w:tc>
        <w:tc>
          <w:tcPr>
            <w:shd w:val="clear" w:color="auto" w:fill="F5F7FB"/>
          </w:tcPr>
          <w:p>
            <w:pPr>
              <w:pStyle w:val="Compact"/>
            </w:pPr>
            <w:r>
              <w:rPr>
                <w:sz w:val="17"/>
              </w:rPr>
              <w:t xml:space="preserve">180 jours</w:t>
            </w:r>
          </w:p>
        </w:tc>
        <w:tc>
          <w:tcPr>
            <w:shd w:val="clear" w:color="auto" w:fill="F5F7FB"/>
          </w:tcPr>
          <w:p>
            <w:pPr>
              <w:pStyle w:val="Compact"/>
            </w:pPr>
            <w:r>
              <w:rPr>
                <w:sz w:val="17"/>
              </w:rPr>
              <w:t xml:space="preserve">Mesure sur un cycle complet de campagne</w:t>
            </w:r>
          </w:p>
        </w:tc>
      </w:tr>
      <w:tr>
        <w:tc>
          <w:tcPr/>
          <w:p>
            <w:pPr>
              <w:pStyle w:val="Compact"/>
            </w:pPr>
            <w:r>
              <w:rPr>
                <w:sz w:val="17"/>
              </w:rPr>
              <w:t xml:space="preserve">ARB-40</w:t>
            </w:r>
          </w:p>
        </w:tc>
        <w:tc>
          <w:tcPr/>
          <w:p>
            <w:pPr>
              <w:pStyle w:val="Compact"/>
            </w:pPr>
            <w:r>
              <w:rPr>
                <w:sz w:val="17"/>
              </w:rPr>
              <w:t xml:space="preserve">Part électronique « dominante » vs &gt; 90 %</w:t>
            </w:r>
          </w:p>
        </w:tc>
        <w:tc>
          <w:tcPr/>
          <w:p>
            <w:pPr>
              <w:pStyle w:val="Compact"/>
            </w:pPr>
            <w:r>
              <w:rPr>
                <w:sz w:val="17"/>
              </w:rPr>
              <w:t xml:space="preserve">&gt; 80 % dans les flux couverts à 18 mois</w:t>
            </w:r>
          </w:p>
        </w:tc>
        <w:tc>
          <w:tcPr/>
          <w:p>
            <w:pPr>
              <w:pStyle w:val="Compact"/>
            </w:pPr>
            <w:r>
              <w:rPr>
                <w:sz w:val="17"/>
              </w:rPr>
              <w:t xml:space="preserve">Cible réaliste, mesurée sur base de référence</w:t>
            </w:r>
          </w:p>
        </w:tc>
      </w:tr>
      <w:tr>
        <w:tc>
          <w:tcPr>
            <w:shd w:val="clear" w:color="auto" w:fill="F5F7FB"/>
          </w:tcPr>
          <w:p>
            <w:pPr>
              <w:pStyle w:val="Compact"/>
            </w:pPr>
            <w:r>
              <w:rPr>
                <w:sz w:val="17"/>
              </w:rPr>
              <w:t xml:space="preserve">ARB-41</w:t>
            </w:r>
          </w:p>
        </w:tc>
        <w:tc>
          <w:tcPr>
            <w:shd w:val="clear" w:color="auto" w:fill="F5F7FB"/>
          </w:tcPr>
          <w:p>
            <w:pPr>
              <w:pStyle w:val="Compact"/>
            </w:pPr>
            <w:r>
              <w:rPr>
                <w:sz w:val="17"/>
              </w:rPr>
              <w:t xml:space="preserve">Prime sur « quittance payée » vs « quittance définitive »</w:t>
            </w:r>
          </w:p>
        </w:tc>
        <w:tc>
          <w:tcPr>
            <w:shd w:val="clear" w:color="auto" w:fill="F5F7FB"/>
          </w:tcPr>
          <w:p>
            <w:pPr>
              <w:pStyle w:val="Compact"/>
            </w:pPr>
            <w:r>
              <w:rPr>
                <w:sz w:val="17"/>
              </w:rPr>
              <w:t xml:space="preserve">Uniquement quittance définitive, et seulement si un texte prévoit une incitation</w:t>
            </w:r>
          </w:p>
        </w:tc>
        <w:tc>
          <w:tcPr>
            <w:shd w:val="clear" w:color="auto" w:fill="F5F7FB"/>
          </w:tcPr>
          <w:p>
            <w:pPr>
              <w:pStyle w:val="Compact"/>
            </w:pPr>
            <w:r>
              <w:rPr>
                <w:sz w:val="17"/>
              </w:rPr>
              <w:t xml:space="preserve">§ 27.2</w:t>
            </w:r>
          </w:p>
        </w:tc>
      </w:tr>
      <w:tr>
        <w:tc>
          <w:tcPr/>
          <w:p>
            <w:pPr>
              <w:pStyle w:val="Compact"/>
            </w:pPr>
            <w:r>
              <w:rPr>
                <w:sz w:val="17"/>
              </w:rPr>
              <w:t xml:space="preserve">ARB-42</w:t>
            </w:r>
          </w:p>
        </w:tc>
        <w:tc>
          <w:tcPr/>
          <w:p>
            <w:pPr>
              <w:pStyle w:val="Compact"/>
            </w:pPr>
            <w:r>
              <w:rPr>
                <w:sz w:val="17"/>
              </w:rPr>
              <w:t xml:space="preserve">Compte créé « avec téléphone et pièce » vs N0 = téléphone seul</w:t>
            </w:r>
          </w:p>
        </w:tc>
        <w:tc>
          <w:tcPr/>
          <w:p>
            <w:pPr>
              <w:pStyle w:val="Compact"/>
            </w:pPr>
            <w:r>
              <w:rPr>
                <w:sz w:val="17"/>
              </w:rPr>
              <w:t xml:space="preserve">N0 : téléphone ; N1 : pièce (§ 9.3)</w:t>
            </w:r>
          </w:p>
        </w:tc>
        <w:tc>
          <w:tcPr/>
          <w:p>
            <w:pPr>
              <w:pStyle w:val="Compact"/>
            </w:pPr>
            <w:r>
              <w:rPr>
                <w:sz w:val="17"/>
              </w:rPr>
              <w:t xml:space="preserve">Inscription progressive</w:t>
            </w:r>
          </w:p>
        </w:tc>
      </w:tr>
      <w:tr>
        <w:tc>
          <w:tcPr>
            <w:shd w:val="clear" w:color="auto" w:fill="F5F7FB"/>
          </w:tcPr>
          <w:p>
            <w:pPr>
              <w:pStyle w:val="Compact"/>
            </w:pPr>
            <w:r>
              <w:rPr>
                <w:sz w:val="17"/>
              </w:rPr>
              <w:t xml:space="preserve">ARB-43</w:t>
            </w:r>
          </w:p>
        </w:tc>
        <w:tc>
          <w:tcPr>
            <w:shd w:val="clear" w:color="auto" w:fill="F5F7FB"/>
          </w:tcPr>
          <w:p>
            <w:pPr>
              <w:pStyle w:val="Compact"/>
            </w:pPr>
            <w:r>
              <w:rPr>
                <w:sz w:val="17"/>
              </w:rPr>
              <w:t xml:space="preserve">Deux conventions de routes (FR/EN) + KIN-RECETTES ; doublon d’inscription</w:t>
            </w:r>
          </w:p>
        </w:tc>
        <w:tc>
          <w:tcPr>
            <w:shd w:val="clear" w:color="auto" w:fill="F5F7FB"/>
          </w:tcPr>
          <w:p>
            <w:pPr>
              <w:pStyle w:val="Compact"/>
            </w:pPr>
            <w:r>
              <w:rPr>
                <w:sz w:val="17"/>
              </w:rPr>
              <w:t xml:space="preserve">Convention unique du § 30.2 ; alias transitoires (§ H.16.4) ;</w:t>
            </w:r>
            <w:r>
              <w:rPr>
                <w:sz w:val="17"/>
              </w:rPr>
              <w:t xml:space="preserve"> </w:t>
            </w:r>
            <w:r>
              <w:rPr>
                <w:rStyle w:val="VerbatimChar"/>
                <w:sz w:val="17"/>
              </w:rPr>
              <w:t xml:space="preserve">POST /v1/registrations</w:t>
            </w:r>
            <w:r>
              <w:rPr>
                <w:sz w:val="17"/>
              </w:rPr>
              <w:t xml:space="preserve"> </w:t>
            </w:r>
            <w:r>
              <w:rPr>
                <w:sz w:val="17"/>
              </w:rPr>
              <w:t xml:space="preserve">seule route d’inscription</w:t>
            </w:r>
          </w:p>
        </w:tc>
        <w:tc>
          <w:tcPr>
            <w:shd w:val="clear" w:color="auto" w:fill="F5F7FB"/>
          </w:tcPr>
          <w:p>
            <w:pPr>
              <w:pStyle w:val="Compact"/>
            </w:pPr>
            <w:r>
              <w:rPr>
                <w:sz w:val="17"/>
              </w:rPr>
              <w:t xml:space="preserve">Phase 1 : décision prise</w:t>
            </w:r>
          </w:p>
        </w:tc>
      </w:tr>
      <w:tr>
        <w:tc>
          <w:tcPr/>
          <w:p>
            <w:pPr>
              <w:pStyle w:val="Compact"/>
            </w:pPr>
            <w:r>
              <w:rPr>
                <w:sz w:val="17"/>
              </w:rPr>
              <w:t xml:space="preserve">ARB-44</w:t>
            </w:r>
          </w:p>
        </w:tc>
        <w:tc>
          <w:tcPr/>
          <w:p>
            <w:pPr>
              <w:pStyle w:val="Compact"/>
            </w:pPr>
            <w:r>
              <w:rPr>
                <w:sz w:val="17"/>
              </w:rPr>
              <w:t xml:space="preserve">Chiffres AVIA : potentiel 2,1 M vs projections 3 M ; 85 % = 1,785</w:t>
            </w:r>
          </w:p>
        </w:tc>
        <w:tc>
          <w:tcPr/>
          <w:p>
            <w:pPr>
              <w:pStyle w:val="Compact"/>
            </w:pPr>
            <w:r>
              <w:rPr>
                <w:sz w:val="17"/>
              </w:rPr>
              <w:t xml:space="preserve">Tous [À VÉRIFIER] ; calcul cohérent présenté (§ H.27.12)</w:t>
            </w:r>
          </w:p>
        </w:tc>
        <w:tc>
          <w:tcPr/>
          <w:p>
            <w:pPr>
              <w:pStyle w:val="Compact"/>
            </w:pPr>
            <w:r>
              <w:rPr>
                <w:sz w:val="17"/>
              </w:rPr>
              <w:t xml:space="preserve">Sources secondaires</w:t>
            </w:r>
          </w:p>
        </w:tc>
      </w:tr>
      <w:tr>
        <w:tc>
          <w:tcPr>
            <w:shd w:val="clear" w:color="auto" w:fill="F5F7FB"/>
          </w:tcPr>
          <w:p>
            <w:pPr>
              <w:pStyle w:val="Compact"/>
            </w:pPr>
            <w:r>
              <w:rPr>
                <w:sz w:val="17"/>
              </w:rPr>
              <w:t xml:space="preserve">ARB-45</w:t>
            </w:r>
          </w:p>
        </w:tc>
        <w:tc>
          <w:tcPr>
            <w:shd w:val="clear" w:color="auto" w:fill="F5F7FB"/>
          </w:tcPr>
          <w:p>
            <w:pPr>
              <w:pStyle w:val="Compact"/>
            </w:pPr>
            <w:r>
              <w:rPr>
                <w:sz w:val="17"/>
              </w:rPr>
              <w:t xml:space="preserve">Loi n° 18/014 « non confirmée » vs « ratifie l’OL 18/004 »</w:t>
            </w:r>
          </w:p>
        </w:tc>
        <w:tc>
          <w:tcPr>
            <w:shd w:val="clear" w:color="auto" w:fill="F5F7FB"/>
          </w:tcPr>
          <w:p>
            <w:pPr>
              <w:pStyle w:val="Compact"/>
            </w:pPr>
            <w:r>
              <w:rPr>
                <w:sz w:val="17"/>
              </w:rPr>
              <w:t xml:space="preserve">Non retrouvée ; ne pas citer avant J2</w:t>
            </w:r>
          </w:p>
        </w:tc>
        <w:tc>
          <w:tcPr>
            <w:shd w:val="clear" w:color="auto" w:fill="F5F7FB"/>
          </w:tcPr>
          <w:p>
            <w:pPr>
              <w:pStyle w:val="Compact"/>
            </w:pPr>
            <w:r>
              <w:rPr>
                <w:sz w:val="17"/>
              </w:rPr>
              <w:t xml:space="preserve">Annexe A (A7)</w:t>
            </w:r>
          </w:p>
        </w:tc>
      </w:tr>
      <w:tr>
        <w:tc>
          <w:tcPr/>
          <w:p>
            <w:pPr>
              <w:pStyle w:val="Compact"/>
            </w:pPr>
            <w:r>
              <w:rPr>
                <w:sz w:val="17"/>
              </w:rPr>
              <w:t xml:space="preserve">ARB-46</w:t>
            </w:r>
          </w:p>
        </w:tc>
        <w:tc>
          <w:tcPr/>
          <w:p>
            <w:pPr>
              <w:pStyle w:val="Compact"/>
            </w:pPr>
            <w:r>
              <w:rPr>
                <w:sz w:val="17"/>
              </w:rPr>
              <w:t xml:space="preserve">Produit minimal de billetterie en 7 semaines pour 500 USD</w:t>
            </w:r>
          </w:p>
        </w:tc>
        <w:tc>
          <w:tcPr/>
          <w:p>
            <w:pPr>
              <w:pStyle w:val="Compact"/>
            </w:pPr>
            <w:r>
              <w:rPr>
                <w:sz w:val="17"/>
              </w:rPr>
              <w:t xml:space="preserve">Remplacé par la feuille de route et l’hébergement souverain</w:t>
            </w:r>
          </w:p>
        </w:tc>
        <w:tc>
          <w:tcPr/>
          <w:p>
            <w:pPr>
              <w:pStyle w:val="Compact"/>
            </w:pPr>
            <w:r>
              <w:rPr>
                <w:sz w:val="17"/>
              </w:rPr>
              <w:t xml:space="preserve">Irréaliste</w:t>
            </w:r>
          </w:p>
        </w:tc>
      </w:tr>
      <w:tr>
        <w:tc>
          <w:tcPr>
            <w:shd w:val="clear" w:color="auto" w:fill="F5F7FB"/>
          </w:tcPr>
          <w:p>
            <w:pPr>
              <w:pStyle w:val="Compact"/>
            </w:pPr>
            <w:r>
              <w:rPr>
                <w:sz w:val="17"/>
              </w:rPr>
              <w:t xml:space="preserve">ARB-47</w:t>
            </w:r>
          </w:p>
        </w:tc>
        <w:tc>
          <w:tcPr>
            <w:shd w:val="clear" w:color="auto" w:fill="F5F7FB"/>
          </w:tcPr>
          <w:p>
            <w:pPr>
              <w:pStyle w:val="Compact"/>
            </w:pPr>
            <w:r>
              <w:rPr>
                <w:sz w:val="17"/>
              </w:rPr>
              <w:t xml:space="preserve">La SF « prévaut en cas de divergence » vs le Cahier ; statut de la v3.0</w:t>
            </w:r>
          </w:p>
        </w:tc>
        <w:tc>
          <w:tcPr>
            <w:shd w:val="clear" w:color="auto" w:fill="F5F7FB"/>
          </w:tcPr>
          <w:p>
            <w:pPr>
              <w:pStyle w:val="Compact"/>
            </w:pPr>
            <w:r>
              <w:rPr>
                <w:sz w:val="17"/>
              </w:rPr>
              <w:t xml:space="preserve">Le document maître v3.0 prévaut sur toutes les sources (Annexe D)</w:t>
            </w:r>
          </w:p>
        </w:tc>
        <w:tc>
          <w:tcPr>
            <w:shd w:val="clear" w:color="auto" w:fill="F5F7FB"/>
          </w:tcPr>
          <w:p>
            <w:pPr>
              <w:pStyle w:val="Compact"/>
            </w:pPr>
            <w:r>
              <w:rPr>
                <w:sz w:val="17"/>
              </w:rPr>
              <w:t xml:space="preserve">Hiérarchie documentaire</w:t>
            </w:r>
          </w:p>
        </w:tc>
      </w:tr>
      <w:tr>
        <w:tc>
          <w:tcPr/>
          <w:p>
            <w:pPr>
              <w:pStyle w:val="Compact"/>
            </w:pPr>
            <w:r>
              <w:rPr>
                <w:sz w:val="17"/>
              </w:rPr>
              <w:t xml:space="preserve">ARB-48</w:t>
            </w:r>
          </w:p>
        </w:tc>
        <w:tc>
          <w:tcPr/>
          <w:p>
            <w:pPr>
              <w:pStyle w:val="Compact"/>
            </w:pPr>
            <w:r>
              <w:rPr>
                <w:sz w:val="17"/>
              </w:rPr>
              <w:t xml:space="preserve">« Agents agréés » (institutions financières) vs « agent d’enrôlement »</w:t>
            </w:r>
          </w:p>
        </w:tc>
        <w:tc>
          <w:tcPr/>
          <w:p>
            <w:pPr>
              <w:pStyle w:val="Compact"/>
            </w:pPr>
            <w:r>
              <w:rPr>
                <w:sz w:val="17"/>
              </w:rPr>
              <w:t xml:space="preserve">Vocabulaire :</w:t>
            </w:r>
            <w:r>
              <w:rPr>
                <w:sz w:val="17"/>
              </w:rPr>
              <w:t xml:space="preserve"> </w:t>
            </w:r>
            <w:r>
              <w:rPr>
                <w:b/>
                <w:bCs/>
                <w:sz w:val="17"/>
              </w:rPr>
              <w:t xml:space="preserve">point de paiement agréé</w:t>
            </w:r>
            <w:r>
              <w:rPr>
                <w:sz w:val="17"/>
              </w:rPr>
              <w:t xml:space="preserve"> </w:t>
            </w:r>
            <w:r>
              <w:rPr>
                <w:sz w:val="17"/>
              </w:rPr>
              <w:t xml:space="preserve">(financier) ; « agent » réservé au personnel de terrain, sans fonds</w:t>
            </w:r>
          </w:p>
        </w:tc>
        <w:tc>
          <w:tcPr/>
          <w:p>
            <w:pPr>
              <w:pStyle w:val="Compact"/>
            </w:pPr>
            <w:r>
              <w:rPr>
                <w:sz w:val="17"/>
              </w:rPr>
              <w:t xml:space="preserve">Lever toute ambiguïté sur les espèces</w:t>
            </w:r>
          </w:p>
        </w:tc>
      </w:tr>
    </w:tbl>
    <w:bookmarkEnd w:id="574"/>
    <w:bookmarkStart w:id="575" w:name="h.29.6-légalité-du-référentiel-f"/>
    <w:p>
      <w:pPr>
        <w:pStyle w:val="Heading3"/>
      </w:pPr>
      <w:r>
        <w:t xml:space="preserve">H.29.6 Légalité du référentiel (F)</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ID</w:t>
            </w:r>
          </w:p>
        </w:tc>
        <w:tc>
          <w:tcPr>
            <w:shd w:val="clear" w:color="auto" w:fill="232C6B"/>
          </w:tcPr>
          <w:p>
            <w:pPr>
              <w:pStyle w:val="Compact"/>
            </w:pPr>
            <w:r>
              <w:rPr>
                <w:b/>
                <w:color w:val="FFFFFF"/>
                <w:sz w:val="17"/>
              </w:rPr>
              <w:t xml:space="preserve">Point</w:t>
            </w:r>
          </w:p>
        </w:tc>
        <w:tc>
          <w:tcPr>
            <w:shd w:val="clear" w:color="auto" w:fill="232C6B"/>
          </w:tcPr>
          <w:p>
            <w:pPr>
              <w:pStyle w:val="Compact"/>
            </w:pPr>
            <w:r>
              <w:rPr>
                <w:b/>
                <w:color w:val="FFFFFF"/>
                <w:sz w:val="17"/>
              </w:rPr>
              <w:t xml:space="preserve">Position v3.0</w:t>
            </w:r>
          </w:p>
        </w:tc>
        <w:tc>
          <w:tcPr>
            <w:shd w:val="clear" w:color="auto" w:fill="232C6B"/>
          </w:tcPr>
          <w:p>
            <w:pPr>
              <w:pStyle w:val="Compact"/>
            </w:pPr>
            <w:r>
              <w:rPr>
                <w:b/>
                <w:color w:val="FFFFFF"/>
                <w:sz w:val="17"/>
              </w:rPr>
              <w:t xml:space="preserve">Justification</w:t>
            </w:r>
          </w:p>
        </w:tc>
      </w:tr>
      <w:tr>
        <w:tc>
          <w:tcPr/>
          <w:p>
            <w:pPr>
              <w:pStyle w:val="Compact"/>
            </w:pPr>
            <w:r>
              <w:rPr>
                <w:sz w:val="17"/>
              </w:rPr>
              <w:t xml:space="preserve">ARB-49</w:t>
            </w:r>
          </w:p>
        </w:tc>
        <w:tc>
          <w:tcPr/>
          <w:p>
            <w:pPr>
              <w:pStyle w:val="Compact"/>
            </w:pPr>
            <w:r>
              <w:rPr>
                <w:sz w:val="17"/>
              </w:rPr>
              <w:t xml:space="preserve">Projet de référence fondé sur l’OL 13/001 abrogée</w:t>
            </w:r>
          </w:p>
        </w:tc>
        <w:tc>
          <w:tcPr/>
          <w:p>
            <w:pPr>
              <w:pStyle w:val="Compact"/>
            </w:pPr>
            <w:r>
              <w:rPr>
                <w:sz w:val="17"/>
              </w:rPr>
              <w:t xml:space="preserve">Instrument au statut</w:t>
            </w:r>
            <w:r>
              <w:rPr>
                <w:sz w:val="17"/>
              </w:rPr>
              <w:t xml:space="preserve"> </w:t>
            </w:r>
            <w:r>
              <w:rPr>
                <w:rStyle w:val="VerbatimChar"/>
                <w:sz w:val="17"/>
              </w:rPr>
              <w:t xml:space="preserve">ABROGE</w:t>
            </w:r>
            <w:r>
              <w:rPr>
                <w:sz w:val="17"/>
              </w:rPr>
              <w:t xml:space="preserve"> </w:t>
            </w:r>
            <w:r>
              <w:rPr>
                <w:sz w:val="17"/>
              </w:rPr>
              <w:t xml:space="preserve">; liste noire du moteur (AC-LEG-03)</w:t>
            </w:r>
          </w:p>
        </w:tc>
        <w:tc>
          <w:tcPr/>
          <w:p>
            <w:pPr>
              <w:pStyle w:val="Compact"/>
            </w:pPr>
            <w:r>
              <w:rPr>
                <w:sz w:val="17"/>
              </w:rPr>
              <w:t xml:space="preserve">§ 6.3</w:t>
            </w:r>
          </w:p>
        </w:tc>
      </w:tr>
      <w:tr>
        <w:tc>
          <w:tcPr>
            <w:shd w:val="clear" w:color="auto" w:fill="F5F7FB"/>
          </w:tcPr>
          <w:p>
            <w:pPr>
              <w:pStyle w:val="Compact"/>
            </w:pPr>
            <w:r>
              <w:rPr>
                <w:sz w:val="17"/>
              </w:rPr>
              <w:t xml:space="preserve">ARB-50</w:t>
            </w:r>
          </w:p>
        </w:tc>
        <w:tc>
          <w:tcPr>
            <w:shd w:val="clear" w:color="auto" w:fill="F5F7FB"/>
          </w:tcPr>
          <w:p>
            <w:pPr>
              <w:pStyle w:val="Compact"/>
            </w:pPr>
            <w:r>
              <w:rPr>
                <w:sz w:val="17"/>
              </w:rPr>
              <w:t xml:space="preserve">IRL 22 % unique vs retenue 20 % / 15 %</w:t>
            </w:r>
          </w:p>
        </w:tc>
        <w:tc>
          <w:tcPr>
            <w:shd w:val="clear" w:color="auto" w:fill="F5F7FB"/>
          </w:tcPr>
          <w:p>
            <w:pPr>
              <w:pStyle w:val="Compact"/>
            </w:pPr>
            <w:r>
              <w:rPr>
                <w:b/>
                <w:bCs/>
                <w:sz w:val="17"/>
              </w:rPr>
              <w:t xml:space="preserve">22 % (1er rang) et 17 % (autres rangs)</w:t>
            </w:r>
            <w:r>
              <w:rPr>
                <w:sz w:val="17"/>
              </w:rPr>
              <w:t xml:space="preserve"> </w:t>
            </w:r>
            <w:r>
              <w:rPr>
                <w:sz w:val="17"/>
              </w:rPr>
              <w:t xml:space="preserve">; retenues 20 % et 15 % ; deux paramètres distincts [arrêté À VÉRIFIER]</w:t>
            </w:r>
          </w:p>
        </w:tc>
        <w:tc>
          <w:tcPr>
            <w:shd w:val="clear" w:color="auto" w:fill="F5F7FB"/>
          </w:tcPr>
          <w:p>
            <w:pPr>
              <w:pStyle w:val="Compact"/>
            </w:pPr>
            <w:r>
              <w:rPr>
                <w:sz w:val="17"/>
              </w:rPr>
              <w:t xml:space="preserve">Communiqué provincial de février 2026 (§ 6.4)</w:t>
            </w:r>
          </w:p>
        </w:tc>
      </w:tr>
      <w:tr>
        <w:tc>
          <w:tcPr/>
          <w:p>
            <w:pPr>
              <w:pStyle w:val="Compact"/>
            </w:pPr>
            <w:r>
              <w:rPr>
                <w:sz w:val="17"/>
              </w:rPr>
              <w:t xml:space="preserve">ARB-51</w:t>
            </w:r>
          </w:p>
        </w:tc>
        <w:tc>
          <w:tcPr/>
          <w:p>
            <w:pPr>
              <w:pStyle w:val="Compact"/>
            </w:pPr>
            <w:r>
              <w:rPr>
                <w:sz w:val="17"/>
              </w:rPr>
              <w:t xml:space="preserve">Base légale de la taxe journalière des transports et du pass wewa</w:t>
            </w:r>
          </w:p>
        </w:tc>
        <w:tc>
          <w:tcPr/>
          <w:p>
            <w:pPr>
              <w:pStyle w:val="Compact"/>
            </w:pPr>
            <w:r>
              <w:rPr>
                <w:sz w:val="17"/>
              </w:rPr>
              <w:t xml:space="preserve">Règles</w:t>
            </w:r>
            <w:r>
              <w:rPr>
                <w:sz w:val="17"/>
              </w:rPr>
              <w:t xml:space="preserve"> </w:t>
            </w:r>
            <w:r>
              <w:rPr>
                <w:rStyle w:val="VerbatimChar"/>
                <w:sz w:val="17"/>
              </w:rPr>
              <w:t xml:space="preserve">ACTE_REQUIS</w:t>
            </w:r>
            <w:r>
              <w:rPr>
                <w:sz w:val="17"/>
              </w:rPr>
              <w:t xml:space="preserve"> </w:t>
            </w:r>
            <w:r>
              <w:rPr>
                <w:sz w:val="17"/>
              </w:rPr>
              <w:t xml:space="preserve">(J25, J28) ; enregistrement gratuit possible</w:t>
            </w:r>
          </w:p>
        </w:tc>
        <w:tc>
          <w:tcPr/>
          <w:p>
            <w:pPr>
              <w:pStyle w:val="Compact"/>
            </w:pPr>
            <w:r>
              <w:rPr>
                <w:sz w:val="17"/>
              </w:rPr>
              <w:t xml:space="preserve">Double imposition, communes</w:t>
            </w:r>
          </w:p>
        </w:tc>
      </w:tr>
      <w:tr>
        <w:tc>
          <w:tcPr>
            <w:shd w:val="clear" w:color="auto" w:fill="F5F7FB"/>
          </w:tcPr>
          <w:p>
            <w:pPr>
              <w:pStyle w:val="Compact"/>
            </w:pPr>
            <w:r>
              <w:rPr>
                <w:sz w:val="17"/>
              </w:rPr>
              <w:t xml:space="preserve">ARB-52</w:t>
            </w:r>
          </w:p>
        </w:tc>
        <w:tc>
          <w:tcPr>
            <w:shd w:val="clear" w:color="auto" w:fill="F5F7FB"/>
          </w:tcPr>
          <w:p>
            <w:pPr>
              <w:pStyle w:val="Compact"/>
            </w:pPr>
            <w:r>
              <w:rPr>
                <w:sz w:val="17"/>
              </w:rPr>
              <w:t xml:space="preserve">Impôt personnel minimum</w:t>
            </w:r>
          </w:p>
        </w:tc>
        <w:tc>
          <w:tcPr>
            <w:shd w:val="clear" w:color="auto" w:fill="F5F7FB"/>
          </w:tcPr>
          <w:p>
            <w:pPr>
              <w:pStyle w:val="Compact"/>
            </w:pPr>
            <w:r>
              <w:rPr>
                <w:rStyle w:val="VerbatimChar"/>
                <w:sz w:val="17"/>
              </w:rPr>
              <w:t xml:space="preserve">RECETTE_ETD</w:t>
            </w:r>
            <w:r>
              <w:rPr>
                <w:sz w:val="17"/>
              </w:rPr>
              <w:t xml:space="preserve"> </w:t>
            </w:r>
            <w:r>
              <w:rPr>
                <w:sz w:val="17"/>
              </w:rPr>
              <w:t xml:space="preserve">non activée</w:t>
            </w:r>
          </w:p>
        </w:tc>
        <w:tc>
          <w:tcPr>
            <w:shd w:val="clear" w:color="auto" w:fill="F5F7FB"/>
          </w:tcPr>
          <w:p>
            <w:pPr>
              <w:pStyle w:val="Compact"/>
            </w:pPr>
            <w:r>
              <w:rPr>
                <w:sz w:val="17"/>
              </w:rPr>
              <w:t xml:space="preserve">§ 6.11</w:t>
            </w:r>
          </w:p>
        </w:tc>
      </w:tr>
      <w:tr>
        <w:tc>
          <w:tcPr/>
          <w:p>
            <w:pPr>
              <w:pStyle w:val="Compact"/>
            </w:pPr>
            <w:r>
              <w:rPr>
                <w:sz w:val="17"/>
              </w:rPr>
              <w:t xml:space="preserve">ARB-53</w:t>
            </w:r>
          </w:p>
        </w:tc>
        <w:tc>
          <w:tcPr/>
          <w:p>
            <w:pPr>
              <w:pStyle w:val="Compact"/>
            </w:pPr>
            <w:r>
              <w:rPr>
                <w:sz w:val="17"/>
              </w:rPr>
              <w:t xml:space="preserve">Contribution plastique</w:t>
            </w:r>
          </w:p>
        </w:tc>
        <w:tc>
          <w:tcPr/>
          <w:p>
            <w:pPr>
              <w:pStyle w:val="Compact"/>
            </w:pPr>
            <w:r>
              <w:rPr>
                <w:rStyle w:val="VerbatimChar"/>
                <w:sz w:val="17"/>
              </w:rPr>
              <w:t xml:space="preserve">ACTE_REQUIS</w:t>
            </w:r>
            <w:r>
              <w:rPr>
                <w:sz w:val="17"/>
              </w:rPr>
              <w:t xml:space="preserve"> </w:t>
            </w:r>
            <w:r>
              <w:rPr>
                <w:sz w:val="17"/>
              </w:rPr>
              <w:t xml:space="preserve">; voie REP recommandée</w:t>
            </w:r>
          </w:p>
        </w:tc>
        <w:tc>
          <w:tcPr/>
          <w:p>
            <w:pPr>
              <w:pStyle w:val="Compact"/>
            </w:pPr>
            <w:r>
              <w:rPr>
                <w:sz w:val="17"/>
              </w:rPr>
              <w:t xml:space="preserve">§ 8.5 ; J15, J16</w:t>
            </w:r>
          </w:p>
        </w:tc>
      </w:tr>
      <w:tr>
        <w:tc>
          <w:tcPr>
            <w:shd w:val="clear" w:color="auto" w:fill="F5F7FB"/>
          </w:tcPr>
          <w:p>
            <w:pPr>
              <w:pStyle w:val="Compact"/>
            </w:pPr>
            <w:r>
              <w:rPr>
                <w:sz w:val="17"/>
              </w:rPr>
              <w:t xml:space="preserve">ARB-54</w:t>
            </w:r>
          </w:p>
        </w:tc>
        <w:tc>
          <w:tcPr>
            <w:shd w:val="clear" w:color="auto" w:fill="F5F7FB"/>
          </w:tcPr>
          <w:p>
            <w:pPr>
              <w:pStyle w:val="Compact"/>
            </w:pPr>
            <w:r>
              <w:rPr>
                <w:sz w:val="17"/>
              </w:rPr>
              <w:t xml:space="preserve">Échéanciers par monnaie mobile</w:t>
            </w:r>
          </w:p>
        </w:tc>
        <w:tc>
          <w:tcPr>
            <w:shd w:val="clear" w:color="auto" w:fill="F5F7FB"/>
          </w:tcPr>
          <w:p>
            <w:pPr>
              <w:pStyle w:val="Compact"/>
            </w:pPr>
            <w:r>
              <w:rPr>
                <w:sz w:val="17"/>
              </w:rPr>
              <w:t xml:space="preserve">Module 83 désactivé jusqu’à J14 (décision D11)</w:t>
            </w:r>
          </w:p>
        </w:tc>
        <w:tc>
          <w:tcPr>
            <w:shd w:val="clear" w:color="auto" w:fill="F5F7FB"/>
          </w:tcPr>
          <w:p>
            <w:pPr>
              <w:pStyle w:val="Compact"/>
            </w:pPr>
            <w:r>
              <w:rPr>
                <w:sz w:val="17"/>
              </w:rPr>
              <w:t xml:space="preserve">Base légale requise</w:t>
            </w:r>
          </w:p>
        </w:tc>
      </w:tr>
      <w:tr>
        <w:tc>
          <w:tcPr/>
          <w:p>
            <w:pPr>
              <w:pStyle w:val="Compact"/>
            </w:pPr>
            <w:r>
              <w:rPr>
                <w:sz w:val="17"/>
              </w:rPr>
              <w:t xml:space="preserve">ARB-55</w:t>
            </w:r>
          </w:p>
        </w:tc>
        <w:tc>
          <w:tcPr/>
          <w:p>
            <w:pPr>
              <w:pStyle w:val="Compact"/>
            </w:pPr>
            <w:r>
              <w:rPr>
                <w:sz w:val="17"/>
              </w:rPr>
              <w:t xml:space="preserve">Ports et AVIA</w:t>
            </w:r>
          </w:p>
        </w:tc>
        <w:tc>
          <w:tcPr/>
          <w:p>
            <w:pPr>
              <w:pStyle w:val="Compact"/>
            </w:pPr>
            <w:r>
              <w:rPr>
                <w:sz w:val="17"/>
              </w:rPr>
              <w:t xml:space="preserve">Après cadrage sectoriel et validation (J23, J30) ; R3/R4</w:t>
            </w:r>
          </w:p>
        </w:tc>
        <w:tc>
          <w:tcPr/>
          <w:p>
            <w:pPr>
              <w:pStyle w:val="Compact"/>
            </w:pPr>
            <w:r>
              <w:rPr>
                <w:sz w:val="17"/>
              </w:rPr>
              <w:t xml:space="preserve">Coordination multi-acteurs</w:t>
            </w:r>
          </w:p>
        </w:tc>
      </w:tr>
    </w:tbl>
    <w:bookmarkEnd w:id="575"/>
    <w:bookmarkStart w:id="576" w:name="X3221cbac3cf4143f1a0ba0f8ad6859c8cc4f4ea"/>
    <w:p>
      <w:pPr>
        <w:pStyle w:val="Heading3"/>
      </w:pPr>
      <w:r>
        <w:t xml:space="preserve">H.29.7 Arbitrages propres à la version 3.0</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584"/>
        <w:gridCol w:w="1584"/>
        <w:gridCol w:w="1584"/>
        <w:gridCol w:w="1584"/>
        <w:gridCol w:w="1584"/>
      </w:tblGrid>
      <w:tr>
        <w:trPr>
          <w:tblHeader w:val="on"/>
        </w:trPr>
        <w:tc>
          <w:tcPr>
            <w:shd w:val="clear" w:color="auto" w:fill="232C6B"/>
          </w:tcPr>
          <w:p>
            <w:pPr>
              <w:pStyle w:val="Compact"/>
            </w:pPr>
            <w:r>
              <w:rPr>
                <w:b/>
                <w:color w:val="FFFFFF"/>
                <w:sz w:val="17"/>
              </w:rPr>
              <w:t xml:space="preserve">ID</w:t>
            </w:r>
          </w:p>
        </w:tc>
        <w:tc>
          <w:tcPr>
            <w:shd w:val="clear" w:color="auto" w:fill="232C6B"/>
          </w:tcPr>
          <w:p>
            <w:pPr>
              <w:pStyle w:val="Compact"/>
            </w:pPr>
            <w:r>
              <w:rPr>
                <w:b/>
                <w:color w:val="FFFFFF"/>
                <w:sz w:val="17"/>
              </w:rPr>
              <w:t xml:space="preserve">Point</w:t>
            </w:r>
          </w:p>
        </w:tc>
        <w:tc>
          <w:tcPr>
            <w:shd w:val="clear" w:color="auto" w:fill="232C6B"/>
          </w:tcPr>
          <w:p>
            <w:pPr>
              <w:pStyle w:val="Compact"/>
            </w:pPr>
            <w:r>
              <w:rPr>
                <w:b/>
                <w:color w:val="FFFFFF"/>
                <w:sz w:val="17"/>
              </w:rPr>
              <w:t xml:space="preserve">Sources</w:t>
            </w:r>
          </w:p>
        </w:tc>
        <w:tc>
          <w:tcPr>
            <w:shd w:val="clear" w:color="auto" w:fill="232C6B"/>
          </w:tcPr>
          <w:p>
            <w:pPr>
              <w:pStyle w:val="Compact"/>
            </w:pPr>
            <w:r>
              <w:rPr>
                <w:b/>
                <w:color w:val="FFFFFF"/>
                <w:sz w:val="17"/>
              </w:rPr>
              <w:t xml:space="preserve">Position v3.0</w:t>
            </w:r>
          </w:p>
        </w:tc>
        <w:tc>
          <w:tcPr>
            <w:shd w:val="clear" w:color="auto" w:fill="232C6B"/>
          </w:tcPr>
          <w:p>
            <w:pPr>
              <w:pStyle w:val="Compact"/>
            </w:pPr>
            <w:r>
              <w:rPr>
                <w:b/>
                <w:color w:val="FFFFFF"/>
                <w:sz w:val="17"/>
              </w:rPr>
              <w:t xml:space="preserve">Justification</w:t>
            </w:r>
          </w:p>
        </w:tc>
      </w:tr>
      <w:tr>
        <w:tc>
          <w:tcPr/>
          <w:p>
            <w:pPr>
              <w:pStyle w:val="Compact"/>
            </w:pPr>
            <w:r>
              <w:rPr>
                <w:sz w:val="17"/>
              </w:rPr>
              <w:t xml:space="preserve">ARB-56</w:t>
            </w:r>
          </w:p>
        </w:tc>
        <w:tc>
          <w:tcPr/>
          <w:p>
            <w:pPr>
              <w:pStyle w:val="Compact"/>
            </w:pPr>
            <w:r>
              <w:rPr>
                <w:sz w:val="17"/>
              </w:rPr>
              <w:t xml:space="preserve">Budget, population, dépense par habitant</w:t>
            </w:r>
          </w:p>
        </w:tc>
        <w:tc>
          <w:tcPr/>
          <w:p>
            <w:pPr>
              <w:pStyle w:val="Compact"/>
            </w:pPr>
            <w:r>
              <w:rPr>
                <w:sz w:val="17"/>
              </w:rPr>
              <w:t xml:space="preserve">≈ 1,2 Md USD ; 20 M hab. ; &lt; 70 USD</w:t>
            </w:r>
          </w:p>
        </w:tc>
        <w:tc>
          <w:tcPr/>
          <w:p>
            <w:pPr>
              <w:pStyle w:val="Compact"/>
            </w:pPr>
            <w:r>
              <w:rPr>
                <w:sz w:val="17"/>
              </w:rPr>
              <w:t xml:space="preserve">≈ 1,1 Md USD [À VÉRIFIER] ; 17 à 20 M ; 55 à 65 USD</w:t>
            </w:r>
          </w:p>
        </w:tc>
        <w:tc>
          <w:tcPr/>
          <w:p>
            <w:pPr>
              <w:pStyle w:val="Compact"/>
            </w:pPr>
            <w:r>
              <w:rPr>
                <w:sz w:val="17"/>
              </w:rPr>
              <w:t xml:space="preserve">Édit budgétaire 2026 (§ 2.1)</w:t>
            </w:r>
          </w:p>
        </w:tc>
      </w:tr>
      <w:tr>
        <w:tc>
          <w:tcPr>
            <w:shd w:val="clear" w:color="auto" w:fill="F5F7FB"/>
          </w:tcPr>
          <w:p>
            <w:pPr>
              <w:pStyle w:val="Compact"/>
            </w:pPr>
            <w:r>
              <w:rPr>
                <w:sz w:val="17"/>
              </w:rPr>
              <w:t xml:space="preserve">ARB-57</w:t>
            </w:r>
          </w:p>
        </w:tc>
        <w:tc>
          <w:tcPr>
            <w:shd w:val="clear" w:color="auto" w:fill="F5F7FB"/>
          </w:tcPr>
          <w:p>
            <w:pPr>
              <w:pStyle w:val="Compact"/>
            </w:pPr>
            <w:r>
              <w:rPr>
                <w:sz w:val="17"/>
              </w:rPr>
              <w:t xml:space="preserve">Régies</w:t>
            </w:r>
          </w:p>
        </w:tc>
        <w:tc>
          <w:tcPr>
            <w:shd w:val="clear" w:color="auto" w:fill="F5F7FB"/>
          </w:tcPr>
          <w:p>
            <w:pPr>
              <w:pStyle w:val="Compact"/>
            </w:pPr>
            <w:r>
              <w:rPr>
                <w:sz w:val="17"/>
              </w:rPr>
              <w:t xml:space="preserve">DGRK, DGIPK, futures DGRFK et DGTK</w:t>
            </w:r>
          </w:p>
        </w:tc>
        <w:tc>
          <w:tcPr>
            <w:shd w:val="clear" w:color="auto" w:fill="F5F7FB"/>
          </w:tcPr>
          <w:p>
            <w:pPr>
              <w:pStyle w:val="Compact"/>
            </w:pPr>
            <w:r>
              <w:rPr>
                <w:sz w:val="17"/>
              </w:rPr>
              <w:t xml:space="preserve">DGIPK et DGTK remplaçant la DGRK ; administration paramétrable</w:t>
            </w:r>
          </w:p>
        </w:tc>
        <w:tc>
          <w:tcPr>
            <w:shd w:val="clear" w:color="auto" w:fill="F5F7FB"/>
          </w:tcPr>
          <w:p>
            <w:pPr>
              <w:pStyle w:val="Compact"/>
            </w:pPr>
            <w:r>
              <w:rPr>
                <w:sz w:val="17"/>
              </w:rPr>
              <w:t xml:space="preserve">Réforme 2026 (§ 2.2)</w:t>
            </w:r>
          </w:p>
        </w:tc>
      </w:tr>
      <w:tr>
        <w:tc>
          <w:tcPr/>
          <w:p>
            <w:pPr>
              <w:pStyle w:val="Compact"/>
            </w:pPr>
            <w:r>
              <w:rPr>
                <w:sz w:val="17"/>
              </w:rPr>
              <w:t xml:space="preserve">ARB-58</w:t>
            </w:r>
          </w:p>
        </w:tc>
        <w:tc>
          <w:tcPr/>
          <w:p>
            <w:pPr>
              <w:pStyle w:val="Compact"/>
            </w:pPr>
            <w:r>
              <w:rPr>
                <w:sz w:val="17"/>
              </w:rPr>
              <w:t xml:space="preserve">Reprise de l’existant</w:t>
            </w:r>
          </w:p>
        </w:tc>
        <w:tc>
          <w:tcPr/>
          <w:p>
            <w:pPr>
              <w:pStyle w:val="Compact"/>
            </w:pPr>
            <w:r>
              <w:rPr>
                <w:sz w:val="17"/>
              </w:rPr>
              <w:t xml:space="preserve">e-DGRK repris dès le premier jour</w:t>
            </w:r>
          </w:p>
        </w:tc>
        <w:tc>
          <w:tcPr/>
          <w:p>
            <w:pPr>
              <w:pStyle w:val="Compact"/>
            </w:pPr>
            <w:r>
              <w:rPr>
                <w:sz w:val="17"/>
              </w:rPr>
              <w:t xml:space="preserve">Plateforme de déclaration de mars 2026 intégrée ou migrée ; import par lots</w:t>
            </w:r>
          </w:p>
        </w:tc>
        <w:tc>
          <w:tcPr/>
          <w:p>
            <w:pPr>
              <w:pStyle w:val="Compact"/>
            </w:pPr>
            <w:r>
              <w:rPr>
                <w:sz w:val="17"/>
              </w:rPr>
              <w:t xml:space="preserve">Fait nouveau (§ H.3.4)</w:t>
            </w:r>
          </w:p>
        </w:tc>
      </w:tr>
      <w:tr>
        <w:tc>
          <w:tcPr>
            <w:shd w:val="clear" w:color="auto" w:fill="F5F7FB"/>
          </w:tcPr>
          <w:p>
            <w:pPr>
              <w:pStyle w:val="Compact"/>
            </w:pPr>
            <w:r>
              <w:rPr>
                <w:sz w:val="17"/>
              </w:rPr>
              <w:t xml:space="preserve">ARB-59</w:t>
            </w:r>
          </w:p>
        </w:tc>
        <w:tc>
          <w:tcPr>
            <w:shd w:val="clear" w:color="auto" w:fill="F5F7FB"/>
          </w:tcPr>
          <w:p>
            <w:pPr>
              <w:pStyle w:val="Compact"/>
            </w:pPr>
            <w:r>
              <w:rPr>
                <w:sz w:val="17"/>
              </w:rPr>
              <w:t xml:space="preserve">Format de l’identifiant géofiscal</w:t>
            </w:r>
          </w:p>
        </w:tc>
        <w:tc>
          <w:tcPr>
            <w:shd w:val="clear" w:color="auto" w:fill="F5F7FB"/>
          </w:tcPr>
          <w:p>
            <w:pPr>
              <w:pStyle w:val="Compact"/>
            </w:pPr>
            <w:r>
              <w:rPr>
                <w:rStyle w:val="VerbatimChar"/>
                <w:sz w:val="17"/>
              </w:rPr>
              <w:t xml:space="preserve">KIN-GOM-GOMBE-AV-MONT-001245</w:t>
            </w:r>
          </w:p>
        </w:tc>
        <w:tc>
          <w:tcPr>
            <w:shd w:val="clear" w:color="auto" w:fill="F5F7FB"/>
          </w:tcPr>
          <w:p>
            <w:pPr>
              <w:pStyle w:val="Compact"/>
            </w:pPr>
            <w:r>
              <w:rPr>
                <w:rStyle w:val="VerbatimChar"/>
                <w:sz w:val="17"/>
              </w:rPr>
              <w:t xml:space="preserve">KIN-GOM-Q012-P004517-B01-U03</w:t>
            </w:r>
            <w:r>
              <w:rPr>
                <w:sz w:val="17"/>
              </w:rPr>
              <w:t xml:space="preserve"> </w:t>
            </w:r>
            <w:r>
              <w:rPr>
                <w:sz w:val="17"/>
              </w:rPr>
              <w:t xml:space="preserve">+ UUID permanent</w:t>
            </w:r>
          </w:p>
        </w:tc>
        <w:tc>
          <w:tcPr>
            <w:shd w:val="clear" w:color="auto" w:fill="F5F7FB"/>
          </w:tcPr>
          <w:p>
            <w:pPr>
              <w:pStyle w:val="Compact"/>
            </w:pPr>
            <w:r>
              <w:rPr>
                <w:sz w:val="17"/>
              </w:rPr>
              <w:t xml:space="preserve">Hiérarchie jusqu’à l’unité (§ 17.3)</w:t>
            </w:r>
          </w:p>
        </w:tc>
      </w:tr>
      <w:tr>
        <w:tc>
          <w:tcPr/>
          <w:p>
            <w:pPr>
              <w:pStyle w:val="Compact"/>
            </w:pPr>
            <w:r>
              <w:rPr>
                <w:sz w:val="17"/>
              </w:rPr>
              <w:t xml:space="preserve">ARB-60</w:t>
            </w:r>
          </w:p>
        </w:tc>
        <w:tc>
          <w:tcPr/>
          <w:p>
            <w:pPr>
              <w:pStyle w:val="Compact"/>
            </w:pPr>
            <w:r>
              <w:rPr>
                <w:sz w:val="17"/>
              </w:rPr>
              <w:t xml:space="preserve">Pile technique</w:t>
            </w:r>
          </w:p>
        </w:tc>
        <w:tc>
          <w:tcPr/>
          <w:p>
            <w:pPr>
              <w:pStyle w:val="Compact"/>
            </w:pPr>
            <w:r>
              <w:rPr>
                <w:sz w:val="17"/>
              </w:rPr>
              <w:t xml:space="preserve">Next.js, NestJS (Cahier) ; Java/.NET (autres documents)</w:t>
            </w:r>
          </w:p>
        </w:tc>
        <w:tc>
          <w:tcPr/>
          <w:p>
            <w:pPr>
              <w:pStyle w:val="Compact"/>
            </w:pPr>
            <w:r>
              <w:rPr>
                <w:sz w:val="17"/>
              </w:rPr>
              <w:t xml:space="preserve">TypeScript/Node.js (Fastify) + React ; PostgreSQL/PostGIS ; Kafka ; outbox conservée</w:t>
            </w:r>
          </w:p>
        </w:tc>
        <w:tc>
          <w:tcPr/>
          <w:p>
            <w:pPr>
              <w:pStyle w:val="Compact"/>
            </w:pPr>
            <w:r>
              <w:rPr>
                <w:sz w:val="17"/>
              </w:rPr>
              <w:t xml:space="preserve">Socle livré (§ 28.2)</w:t>
            </w:r>
          </w:p>
        </w:tc>
      </w:tr>
      <w:tr>
        <w:tc>
          <w:tcPr>
            <w:shd w:val="clear" w:color="auto" w:fill="F5F7FB"/>
          </w:tcPr>
          <w:p>
            <w:pPr>
              <w:pStyle w:val="Compact"/>
            </w:pPr>
            <w:r>
              <w:rPr>
                <w:sz w:val="17"/>
              </w:rPr>
              <w:t xml:space="preserve">ARB-61</w:t>
            </w:r>
          </w:p>
        </w:tc>
        <w:tc>
          <w:tcPr>
            <w:shd w:val="clear" w:color="auto" w:fill="F5F7FB"/>
          </w:tcPr>
          <w:p>
            <w:pPr>
              <w:pStyle w:val="Compact"/>
            </w:pPr>
            <w:r>
              <w:rPr>
                <w:sz w:val="17"/>
              </w:rPr>
              <w:t xml:space="preserve">Valeurs non fonctionnelles</w:t>
            </w:r>
          </w:p>
        </w:tc>
        <w:tc>
          <w:tcPr>
            <w:shd w:val="clear" w:color="auto" w:fill="F5F7FB"/>
          </w:tcPr>
          <w:p>
            <w:pPr>
              <w:pStyle w:val="Compact"/>
            </w:pPr>
            <w:r>
              <w:rPr>
                <w:sz w:val="17"/>
              </w:rPr>
              <w:t xml:space="preserve">99,9 % ; restauration trimestrielle ; marge ≥ 3× ; hors ligne 1 jour</w:t>
            </w:r>
          </w:p>
        </w:tc>
        <w:tc>
          <w:tcPr>
            <w:shd w:val="clear" w:color="auto" w:fill="F5F7FB"/>
          </w:tcPr>
          <w:p>
            <w:pPr>
              <w:pStyle w:val="Compact"/>
            </w:pPr>
            <w:r>
              <w:rPr>
                <w:sz w:val="17"/>
              </w:rPr>
              <w:t xml:space="preserve">99,5 % pilote / 99,9 % ; restauration mensuelle ; 20× la moyenne ; 5 jours</w:t>
            </w:r>
          </w:p>
        </w:tc>
        <w:tc>
          <w:tcPr>
            <w:shd w:val="clear" w:color="auto" w:fill="F5F7FB"/>
          </w:tcPr>
          <w:p>
            <w:pPr>
              <w:pStyle w:val="Compact"/>
            </w:pPr>
            <w:r>
              <w:rPr>
                <w:sz w:val="17"/>
              </w:rPr>
              <w:t xml:space="preserve">§ H.16.2</w:t>
            </w:r>
          </w:p>
        </w:tc>
      </w:tr>
      <w:tr>
        <w:tc>
          <w:tcPr/>
          <w:p>
            <w:pPr>
              <w:pStyle w:val="Compact"/>
            </w:pPr>
            <w:r>
              <w:rPr>
                <w:sz w:val="17"/>
              </w:rPr>
              <w:t xml:space="preserve">ARB-62</w:t>
            </w:r>
          </w:p>
        </w:tc>
        <w:tc>
          <w:tcPr/>
          <w:p>
            <w:pPr>
              <w:pStyle w:val="Compact"/>
            </w:pPr>
            <w:r>
              <w:rPr>
                <w:sz w:val="17"/>
              </w:rPr>
              <w:t xml:space="preserve">Composition de l’échelle de la recette</w:t>
            </w:r>
          </w:p>
        </w:tc>
        <w:tc>
          <w:tcPr/>
          <w:p>
            <w:pPr>
              <w:pStyle w:val="Compact"/>
            </w:pPr>
            <w:r>
              <w:rPr>
                <w:sz w:val="17"/>
              </w:rPr>
              <w:t xml:space="preserve">Comptabilisé = niveau 10</w:t>
            </w:r>
          </w:p>
        </w:tc>
        <w:tc>
          <w:tcPr/>
          <w:p>
            <w:pPr>
              <w:pStyle w:val="Compact"/>
            </w:pPr>
            <w:r>
              <w:rPr>
                <w:sz w:val="17"/>
              </w:rPr>
              <w:t xml:space="preserve">Contesté = niveau 6 ; clôture comptable en attribut</w:t>
            </w:r>
          </w:p>
        </w:tc>
        <w:tc>
          <w:tcPr/>
          <w:p>
            <w:pPr>
              <w:pStyle w:val="Compact"/>
            </w:pPr>
            <w:r>
              <w:rPr>
                <w:sz w:val="17"/>
              </w:rPr>
              <w:t xml:space="preserve">Droits du contribuable (§ H.14.1)</w:t>
            </w:r>
          </w:p>
        </w:tc>
      </w:tr>
      <w:tr>
        <w:tc>
          <w:tcPr>
            <w:shd w:val="clear" w:color="auto" w:fill="F5F7FB"/>
          </w:tcPr>
          <w:p>
            <w:pPr>
              <w:pStyle w:val="Compact"/>
            </w:pPr>
            <w:r>
              <w:rPr>
                <w:sz w:val="17"/>
              </w:rPr>
              <w:t xml:space="preserve">ARB-63</w:t>
            </w:r>
          </w:p>
        </w:tc>
        <w:tc>
          <w:tcPr>
            <w:shd w:val="clear" w:color="auto" w:fill="F5F7FB"/>
          </w:tcPr>
          <w:p>
            <w:pPr>
              <w:pStyle w:val="Compact"/>
            </w:pPr>
            <w:r>
              <w:rPr>
                <w:sz w:val="17"/>
              </w:rPr>
              <w:t xml:space="preserve">Invitations de niveau 0</w:t>
            </w:r>
          </w:p>
        </w:tc>
        <w:tc>
          <w:tcPr>
            <w:shd w:val="clear" w:color="auto" w:fill="F5F7FB"/>
          </w:tcPr>
          <w:p>
            <w:pPr>
              <w:pStyle w:val="Compact"/>
            </w:pPr>
            <w:r>
              <w:rPr>
                <w:sz w:val="17"/>
              </w:rPr>
              <w:t xml:space="preserve">Administrateur de la plateforme</w:t>
            </w:r>
          </w:p>
        </w:tc>
        <w:tc>
          <w:tcPr>
            <w:shd w:val="clear" w:color="auto" w:fill="F5F7FB"/>
          </w:tcPr>
          <w:p>
            <w:pPr>
              <w:pStyle w:val="Compact"/>
            </w:pPr>
            <w:r>
              <w:rPr>
                <w:sz w:val="17"/>
              </w:rPr>
              <w:t xml:space="preserve">Exécutées par l’administrateur sur décision écrite du Comité de pilotage ; seconde validation</w:t>
            </w:r>
          </w:p>
        </w:tc>
        <w:tc>
          <w:tcPr>
            <w:shd w:val="clear" w:color="auto" w:fill="F5F7FB"/>
          </w:tcPr>
          <w:p>
            <w:pPr>
              <w:pStyle w:val="Compact"/>
            </w:pPr>
            <w:r>
              <w:rPr>
                <w:sz w:val="17"/>
              </w:rPr>
              <w:t xml:space="preserve">Réconciliation § 12.7 / § 12A</w:t>
            </w:r>
          </w:p>
        </w:tc>
      </w:tr>
      <w:tr>
        <w:tc>
          <w:tcPr/>
          <w:p>
            <w:pPr>
              <w:pStyle w:val="Compact"/>
            </w:pPr>
            <w:r>
              <w:rPr>
                <w:sz w:val="17"/>
              </w:rPr>
              <w:t xml:space="preserve">ARB-64</w:t>
            </w:r>
          </w:p>
        </w:tc>
        <w:tc>
          <w:tcPr/>
          <w:p>
            <w:pPr>
              <w:pStyle w:val="Compact"/>
            </w:pPr>
            <w:r>
              <w:rPr>
                <w:sz w:val="17"/>
              </w:rPr>
              <w:t xml:space="preserve">Assistant WhatsApp renvoyant un lien de paiement</w:t>
            </w:r>
          </w:p>
        </w:tc>
        <w:tc>
          <w:tcPr/>
          <w:p>
            <w:pPr>
              <w:pStyle w:val="Compact"/>
            </w:pPr>
            <w:r>
              <w:rPr>
                <w:sz w:val="17"/>
              </w:rPr>
              <w:t xml:space="preserve">Lien de paiement</w:t>
            </w:r>
          </w:p>
        </w:tc>
        <w:tc>
          <w:tcPr/>
          <w:p>
            <w:pPr>
              <w:pStyle w:val="Compact"/>
            </w:pPr>
            <w:r>
              <w:rPr>
                <w:sz w:val="17"/>
              </w:rPr>
              <w:t xml:space="preserve">Aucun lien de paiement, aucun montant nominatif ; renvoi vers l’USSD officiel ou l’application</w:t>
            </w:r>
          </w:p>
        </w:tc>
        <w:tc>
          <w:tcPr/>
          <w:p>
            <w:pPr>
              <w:pStyle w:val="Compact"/>
            </w:pPr>
            <w:r>
              <w:rPr>
                <w:sz w:val="17"/>
              </w:rPr>
              <w:t xml:space="preserve">Anti-hameçonnage (§ 11.4.4)</w:t>
            </w:r>
          </w:p>
        </w:tc>
      </w:tr>
      <w:tr>
        <w:tc>
          <w:tcPr>
            <w:shd w:val="clear" w:color="auto" w:fill="F5F7FB"/>
          </w:tcPr>
          <w:p>
            <w:pPr>
              <w:pStyle w:val="Compact"/>
            </w:pPr>
            <w:r>
              <w:rPr>
                <w:sz w:val="17"/>
              </w:rPr>
              <w:t xml:space="preserve">ARB-65</w:t>
            </w:r>
          </w:p>
        </w:tc>
        <w:tc>
          <w:tcPr>
            <w:shd w:val="clear" w:color="auto" w:fill="F5F7FB"/>
          </w:tcPr>
          <w:p>
            <w:pPr>
              <w:pStyle w:val="Compact"/>
            </w:pPr>
            <w:r>
              <w:rPr>
                <w:sz w:val="17"/>
              </w:rPr>
              <w:t xml:space="preserve">Bail déclaré par le locataire affiché chez le bailleur</w:t>
            </w:r>
          </w:p>
        </w:tc>
        <w:tc>
          <w:tcPr>
            <w:shd w:val="clear" w:color="auto" w:fill="F5F7FB"/>
          </w:tcPr>
          <w:p>
            <w:pPr>
              <w:pStyle w:val="Compact"/>
            </w:pPr>
            <w:r>
              <w:rPr>
                <w:sz w:val="17"/>
              </w:rPr>
              <w:t xml:space="preserve">Visible du bailleur</w:t>
            </w:r>
          </w:p>
        </w:tc>
        <w:tc>
          <w:tcPr>
            <w:shd w:val="clear" w:color="auto" w:fill="F5F7FB"/>
          </w:tcPr>
          <w:p>
            <w:pPr>
              <w:pStyle w:val="Compact"/>
            </w:pPr>
            <w:r>
              <w:rPr>
                <w:sz w:val="17"/>
              </w:rPr>
              <w:t xml:space="preserve">Bailleur invité à déclarer, sans révéler le déclarant avant vérification</w:t>
            </w:r>
          </w:p>
        </w:tc>
        <w:tc>
          <w:tcPr>
            <w:shd w:val="clear" w:color="auto" w:fill="F5F7FB"/>
          </w:tcPr>
          <w:p>
            <w:pPr>
              <w:pStyle w:val="Compact"/>
            </w:pPr>
            <w:r>
              <w:rPr>
                <w:sz w:val="17"/>
              </w:rPr>
              <w:t xml:space="preserve">Protection contre les représailles (§ 13.3)</w:t>
            </w:r>
          </w:p>
        </w:tc>
      </w:tr>
      <w:tr>
        <w:tc>
          <w:tcPr/>
          <w:p>
            <w:pPr>
              <w:pStyle w:val="Compact"/>
            </w:pPr>
            <w:r>
              <w:rPr>
                <w:sz w:val="17"/>
              </w:rPr>
              <w:t xml:space="preserve">ARB-66</w:t>
            </w:r>
          </w:p>
        </w:tc>
        <w:tc>
          <w:tcPr/>
          <w:p>
            <w:pPr>
              <w:pStyle w:val="Compact"/>
            </w:pPr>
            <w:r>
              <w:rPr>
                <w:sz w:val="17"/>
              </w:rPr>
              <w:t xml:space="preserve">Releases des modules</w:t>
            </w:r>
          </w:p>
        </w:tc>
        <w:tc>
          <w:tcPr/>
          <w:p>
            <w:pPr>
              <w:pStyle w:val="Compact"/>
            </w:pPr>
            <w:r>
              <w:rPr>
                <w:sz w:val="17"/>
              </w:rPr>
              <w:t xml:space="preserve">Releases SF</w:t>
            </w:r>
          </w:p>
        </w:tc>
        <w:tc>
          <w:tcPr/>
          <w:p>
            <w:pPr>
              <w:pStyle w:val="Compact"/>
            </w:pPr>
            <w:r>
              <w:rPr>
                <w:sz w:val="17"/>
              </w:rPr>
              <w:t xml:space="preserve">Releases v3.0 (§ 11, § 43) ; historique au § H.28</w:t>
            </w:r>
          </w:p>
        </w:tc>
        <w:tc>
          <w:tcPr/>
          <w:p>
            <w:pPr>
              <w:pStyle w:val="Compact"/>
            </w:pPr>
            <w:r>
              <w:rPr>
                <w:sz w:val="17"/>
              </w:rPr>
              <w:t xml:space="preserve">Calendrier réaliste</w:t>
            </w:r>
          </w:p>
        </w:tc>
      </w:tr>
      <w:tr>
        <w:tc>
          <w:tcPr>
            <w:shd w:val="clear" w:color="auto" w:fill="F5F7FB"/>
          </w:tcPr>
          <w:p>
            <w:pPr>
              <w:pStyle w:val="Compact"/>
            </w:pPr>
            <w:r>
              <w:rPr>
                <w:sz w:val="17"/>
              </w:rPr>
              <w:t xml:space="preserve">ARB-67</w:t>
            </w:r>
          </w:p>
        </w:tc>
        <w:tc>
          <w:tcPr>
            <w:shd w:val="clear" w:color="auto" w:fill="F5F7FB"/>
          </w:tcPr>
          <w:p>
            <w:pPr>
              <w:pStyle w:val="Compact"/>
            </w:pPr>
            <w:r>
              <w:rPr>
                <w:sz w:val="17"/>
              </w:rPr>
              <w:t xml:space="preserve">Module 73</w:t>
            </w:r>
          </w:p>
        </w:tc>
        <w:tc>
          <w:tcPr>
            <w:shd w:val="clear" w:color="auto" w:fill="F5F7FB"/>
          </w:tcPr>
          <w:p>
            <w:pPr>
              <w:pStyle w:val="Compact"/>
            </w:pPr>
            <w:r>
              <w:rPr>
                <w:sz w:val="17"/>
              </w:rPr>
              <w:t xml:space="preserve">Répartition 10/10/10/70, deux flux</w:t>
            </w:r>
          </w:p>
        </w:tc>
        <w:tc>
          <w:tcPr>
            <w:shd w:val="clear" w:color="auto" w:fill="F5F7FB"/>
          </w:tcPr>
          <w:p>
            <w:pPr>
              <w:pStyle w:val="Compact"/>
            </w:pPr>
            <w:r>
              <w:rPr>
                <w:sz w:val="17"/>
              </w:rPr>
              <w:t xml:space="preserve">Répartition</w:t>
            </w:r>
            <w:r>
              <w:rPr>
                <w:sz w:val="17"/>
              </w:rPr>
              <w:t xml:space="preserve"> </w:t>
            </w:r>
            <w:r>
              <w:rPr>
                <w:b/>
                <w:bCs/>
                <w:sz w:val="17"/>
              </w:rPr>
              <w:t xml:space="preserve">légale</w:t>
            </w:r>
            <w:r>
              <w:rPr>
                <w:sz w:val="17"/>
              </w:rPr>
              <w:t xml:space="preserve"> </w:t>
            </w:r>
            <w:r>
              <w:rPr>
                <w:sz w:val="17"/>
              </w:rPr>
              <w:t xml:space="preserve">des recettes</w:t>
            </w:r>
          </w:p>
        </w:tc>
        <w:tc>
          <w:tcPr>
            <w:shd w:val="clear" w:color="auto" w:fill="F5F7FB"/>
          </w:tcPr>
          <w:p>
            <w:pPr>
              <w:pStyle w:val="Compact"/>
            </w:pPr>
            <w:r>
              <w:rPr>
                <w:sz w:val="17"/>
              </w:rPr>
              <w:t xml:space="preserve">ARB-01 à ARB-06</w:t>
            </w:r>
          </w:p>
        </w:tc>
      </w:tr>
      <w:tr>
        <w:tc>
          <w:tcPr/>
          <w:p>
            <w:pPr>
              <w:pStyle w:val="Compact"/>
            </w:pPr>
            <w:r>
              <w:rPr>
                <w:sz w:val="17"/>
              </w:rPr>
              <w:t xml:space="preserve">ARB-68</w:t>
            </w:r>
          </w:p>
        </w:tc>
        <w:tc>
          <w:tcPr/>
          <w:p>
            <w:pPr>
              <w:pStyle w:val="Compact"/>
            </w:pPr>
            <w:r>
              <w:rPr>
                <w:sz w:val="17"/>
              </w:rPr>
              <w:t xml:space="preserve">Expiration des données de mission</w:t>
            </w:r>
          </w:p>
        </w:tc>
        <w:tc>
          <w:tcPr/>
          <w:p>
            <w:pPr>
              <w:pStyle w:val="Compact"/>
            </w:pPr>
            <w:r>
              <w:rPr>
                <w:sz w:val="17"/>
              </w:rPr>
              <w:t xml:space="preserve">« Date d’expiration automatique »</w:t>
            </w:r>
          </w:p>
        </w:tc>
        <w:tc>
          <w:tcPr/>
          <w:p>
            <w:pPr>
              <w:pStyle w:val="Compact"/>
            </w:pPr>
            <w:r>
              <w:rPr>
                <w:sz w:val="17"/>
              </w:rPr>
              <w:t xml:space="preserve">72 heures par défaut, paramétrable</w:t>
            </w:r>
          </w:p>
        </w:tc>
        <w:tc>
          <w:tcPr/>
          <w:p>
            <w:pPr>
              <w:pStyle w:val="Compact"/>
            </w:pPr>
            <w:r>
              <w:rPr>
                <w:sz w:val="17"/>
              </w:rPr>
              <w:t xml:space="preserve">§ 15.1</w:t>
            </w:r>
          </w:p>
        </w:tc>
      </w:tr>
      <w:tr>
        <w:tc>
          <w:tcPr>
            <w:shd w:val="clear" w:color="auto" w:fill="F5F7FB"/>
          </w:tcPr>
          <w:p>
            <w:pPr>
              <w:pStyle w:val="Compact"/>
            </w:pPr>
            <w:r>
              <w:rPr>
                <w:sz w:val="17"/>
              </w:rPr>
              <w:t xml:space="preserve">ARB-69</w:t>
            </w:r>
          </w:p>
        </w:tc>
        <w:tc>
          <w:tcPr>
            <w:shd w:val="clear" w:color="auto" w:fill="F5F7FB"/>
          </w:tcPr>
          <w:p>
            <w:pPr>
              <w:pStyle w:val="Compact"/>
            </w:pPr>
            <w:r>
              <w:rPr>
                <w:sz w:val="17"/>
              </w:rPr>
              <w:t xml:space="preserve">Échantillon de contrôle qualité</w:t>
            </w:r>
          </w:p>
        </w:tc>
        <w:tc>
          <w:tcPr>
            <w:shd w:val="clear" w:color="auto" w:fill="F5F7FB"/>
          </w:tcPr>
          <w:p>
            <w:pPr>
              <w:pStyle w:val="Compact"/>
            </w:pPr>
            <w:r>
              <w:rPr>
                <w:sz w:val="17"/>
              </w:rPr>
              <w:t xml:space="preserve">« Échantillon aléatoire »</w:t>
            </w:r>
          </w:p>
        </w:tc>
        <w:tc>
          <w:tcPr>
            <w:shd w:val="clear" w:color="auto" w:fill="F5F7FB"/>
          </w:tcPr>
          <w:p>
            <w:pPr>
              <w:pStyle w:val="Compact"/>
            </w:pPr>
            <w:r>
              <w:rPr>
                <w:sz w:val="17"/>
              </w:rPr>
              <w:t xml:space="preserve">≥ 5 % aléatoire + 100 % des cas à risque</w:t>
            </w:r>
          </w:p>
        </w:tc>
        <w:tc>
          <w:tcPr>
            <w:shd w:val="clear" w:color="auto" w:fill="F5F7FB"/>
          </w:tcPr>
          <w:p>
            <w:pPr>
              <w:pStyle w:val="Compact"/>
            </w:pPr>
            <w:r>
              <w:rPr>
                <w:sz w:val="17"/>
              </w:rPr>
              <w:t xml:space="preserve">§ 15.3</w:t>
            </w:r>
          </w:p>
        </w:tc>
      </w:tr>
      <w:tr>
        <w:tc>
          <w:tcPr/>
          <w:p>
            <w:pPr>
              <w:pStyle w:val="Compact"/>
            </w:pPr>
            <w:r>
              <w:rPr>
                <w:sz w:val="17"/>
              </w:rPr>
              <w:t xml:space="preserve">ARB-70</w:t>
            </w:r>
          </w:p>
        </w:tc>
        <w:tc>
          <w:tcPr/>
          <w:p>
            <w:pPr>
              <w:pStyle w:val="Compact"/>
            </w:pPr>
            <w:r>
              <w:rPr>
                <w:sz w:val="17"/>
              </w:rPr>
              <w:t xml:space="preserve">Calendrier de recouvrement</w:t>
            </w:r>
          </w:p>
        </w:tc>
        <w:tc>
          <w:tcPr/>
          <w:p>
            <w:pPr>
              <w:pStyle w:val="Compact"/>
            </w:pPr>
            <w:r>
              <w:rPr>
                <w:sz w:val="17"/>
              </w:rPr>
              <w:t xml:space="preserve">J−15, J−3, J+1, J+15, J+30 (constat)</w:t>
            </w:r>
          </w:p>
        </w:tc>
        <w:tc>
          <w:tcPr/>
          <w:p>
            <w:pPr>
              <w:pStyle w:val="Compact"/>
            </w:pPr>
            <w:r>
              <w:rPr>
                <w:sz w:val="17"/>
              </w:rPr>
              <w:t xml:space="preserve">Fusionné : rappels J−15 et J−3 ajoutés ; mise en demeure selon l’édit</w:t>
            </w:r>
          </w:p>
        </w:tc>
        <w:tc>
          <w:tcPr/>
          <w:p>
            <w:pPr>
              <w:pStyle w:val="Compact"/>
            </w:pPr>
            <w:r>
              <w:rPr>
                <w:sz w:val="17"/>
              </w:rPr>
              <w:t xml:space="preserve">§ H.12.1</w:t>
            </w:r>
          </w:p>
        </w:tc>
      </w:tr>
      <w:tr>
        <w:tc>
          <w:tcPr>
            <w:shd w:val="clear" w:color="auto" w:fill="F5F7FB"/>
          </w:tcPr>
          <w:p>
            <w:pPr>
              <w:pStyle w:val="Compact"/>
            </w:pPr>
            <w:r>
              <w:rPr>
                <w:sz w:val="17"/>
              </w:rPr>
              <w:t xml:space="preserve">ARB-71</w:t>
            </w:r>
          </w:p>
        </w:tc>
        <w:tc>
          <w:tcPr>
            <w:shd w:val="clear" w:color="auto" w:fill="F5F7FB"/>
          </w:tcPr>
          <w:p>
            <w:pPr>
              <w:pStyle w:val="Compact"/>
            </w:pPr>
            <w:r>
              <w:rPr>
                <w:sz w:val="17"/>
              </w:rPr>
              <w:t xml:space="preserve">Comité de suivi de la répartition</w:t>
            </w:r>
          </w:p>
        </w:tc>
        <w:tc>
          <w:tcPr>
            <w:shd w:val="clear" w:color="auto" w:fill="F5F7FB"/>
          </w:tcPr>
          <w:p>
            <w:pPr>
              <w:pStyle w:val="Compact"/>
            </w:pPr>
            <w:r>
              <w:rPr>
                <w:sz w:val="17"/>
              </w:rPr>
              <w:t xml:space="preserve">Trimestriel, avec le prestataire</w:t>
            </w:r>
          </w:p>
        </w:tc>
        <w:tc>
          <w:tcPr>
            <w:shd w:val="clear" w:color="auto" w:fill="F5F7FB"/>
          </w:tcPr>
          <w:p>
            <w:pPr>
              <w:pStyle w:val="Compact"/>
            </w:pPr>
            <w:r>
              <w:rPr>
                <w:sz w:val="17"/>
              </w:rPr>
              <w:t xml:space="preserve">Comité de suivi du contrat et de la prime ; prestataire sans voix délibérative</w:t>
            </w:r>
          </w:p>
        </w:tc>
        <w:tc>
          <w:tcPr>
            <w:shd w:val="clear" w:color="auto" w:fill="F5F7FB"/>
          </w:tcPr>
          <w:p>
            <w:pPr>
              <w:pStyle w:val="Compact"/>
            </w:pPr>
            <w:r>
              <w:rPr>
                <w:sz w:val="17"/>
              </w:rPr>
              <w:t xml:space="preserve">Conflit d’intérêts</w:t>
            </w:r>
          </w:p>
        </w:tc>
      </w:tr>
      <w:tr>
        <w:tc>
          <w:tcPr/>
          <w:p>
            <w:pPr>
              <w:pStyle w:val="Compact"/>
            </w:pPr>
            <w:r>
              <w:rPr>
                <w:sz w:val="17"/>
              </w:rPr>
              <w:t xml:space="preserve">ARB-72</w:t>
            </w:r>
          </w:p>
        </w:tc>
        <w:tc>
          <w:tcPr/>
          <w:p>
            <w:pPr>
              <w:pStyle w:val="Compact"/>
            </w:pPr>
            <w:r>
              <w:rPr>
                <w:sz w:val="17"/>
              </w:rPr>
              <w:t xml:space="preserve">Effectifs du pilote</w:t>
            </w:r>
          </w:p>
        </w:tc>
        <w:tc>
          <w:tcPr/>
          <w:p>
            <w:pPr>
              <w:pStyle w:val="Compact"/>
            </w:pPr>
            <w:r>
              <w:rPr>
                <w:sz w:val="17"/>
              </w:rPr>
              <w:t xml:space="preserve">Chiffres fermes</w:t>
            </w:r>
          </w:p>
        </w:tc>
        <w:tc>
          <w:tcPr/>
          <w:p>
            <w:pPr>
              <w:pStyle w:val="Compact"/>
            </w:pPr>
            <w:r>
              <w:rPr>
                <w:sz w:val="17"/>
              </w:rPr>
              <w:t xml:space="preserve">[EXEMPLE] indicatif, confirmé par le plan de charge</w:t>
            </w:r>
          </w:p>
        </w:tc>
        <w:tc>
          <w:tcPr/>
          <w:p>
            <w:pPr>
              <w:pStyle w:val="Compact"/>
            </w:pPr>
            <w:r>
              <w:rPr>
                <w:sz w:val="17"/>
              </w:rPr>
              <w:t xml:space="preserve">§ H.17.4</w:t>
            </w:r>
          </w:p>
        </w:tc>
      </w:tr>
      <w:tr>
        <w:tc>
          <w:tcPr>
            <w:shd w:val="clear" w:color="auto" w:fill="F5F7FB"/>
          </w:tcPr>
          <w:p>
            <w:pPr>
              <w:pStyle w:val="Compact"/>
            </w:pPr>
            <w:r>
              <w:rPr>
                <w:sz w:val="17"/>
              </w:rPr>
              <w:t xml:space="preserve">ARB-73</w:t>
            </w:r>
          </w:p>
        </w:tc>
        <w:tc>
          <w:tcPr>
            <w:shd w:val="clear" w:color="auto" w:fill="F5F7FB"/>
          </w:tcPr>
          <w:p>
            <w:pPr>
              <w:pStyle w:val="Compact"/>
            </w:pPr>
            <w:r>
              <w:rPr>
                <w:sz w:val="17"/>
              </w:rPr>
              <w:t xml:space="preserve">Cibles des indicateurs à 18 mois</w:t>
            </w:r>
          </w:p>
        </w:tc>
        <w:tc>
          <w:tcPr>
            <w:shd w:val="clear" w:color="auto" w:fill="F5F7FB"/>
          </w:tcPr>
          <w:p>
            <w:pPr>
              <w:pStyle w:val="Compact"/>
            </w:pPr>
            <w:r>
              <w:rPr>
                <w:sz w:val="17"/>
              </w:rPr>
              <w:t xml:space="preserve">&gt; 80 % couverture ; &gt; 90 % électronique</w:t>
            </w:r>
          </w:p>
        </w:tc>
        <w:tc>
          <w:tcPr>
            <w:shd w:val="clear" w:color="auto" w:fill="F5F7FB"/>
          </w:tcPr>
          <w:p>
            <w:pPr>
              <w:pStyle w:val="Compact"/>
            </w:pPr>
            <w:r>
              <w:rPr>
                <w:sz w:val="17"/>
              </w:rPr>
              <w:t xml:space="preserve">≥ 90 % couverture des quartiers pilotes ; &gt; 80 % électronique</w:t>
            </w:r>
          </w:p>
        </w:tc>
        <w:tc>
          <w:tcPr>
            <w:shd w:val="clear" w:color="auto" w:fill="F5F7FB"/>
          </w:tcPr>
          <w:p>
            <w:pPr>
              <w:pStyle w:val="Compact"/>
            </w:pPr>
            <w:r>
              <w:rPr>
                <w:sz w:val="17"/>
              </w:rPr>
              <w:t xml:space="preserve">§ H.2.4</w:t>
            </w:r>
          </w:p>
        </w:tc>
      </w:tr>
      <w:tr>
        <w:tc>
          <w:tcPr/>
          <w:p>
            <w:pPr>
              <w:pStyle w:val="Compact"/>
            </w:pPr>
            <w:r>
              <w:rPr>
                <w:sz w:val="17"/>
              </w:rPr>
              <w:t xml:space="preserve">ARB-74</w:t>
            </w:r>
          </w:p>
        </w:tc>
        <w:tc>
          <w:tcPr/>
          <w:p>
            <w:pPr>
              <w:pStyle w:val="Compact"/>
            </w:pPr>
            <w:r>
              <w:rPr>
                <w:sz w:val="17"/>
              </w:rPr>
              <w:t xml:space="preserve">Entités et routes de répartition (</w:t>
            </w:r>
            <w:r>
              <w:rPr>
                <w:rStyle w:val="VerbatimChar"/>
                <w:sz w:val="17"/>
              </w:rPr>
              <w:t xml:space="preserve">RevenueShareKey</w:t>
            </w:r>
            <w:r>
              <w:rPr>
                <w:sz w:val="17"/>
              </w:rPr>
              <w:t xml:space="preserve">,</w:t>
            </w:r>
            <w:r>
              <w:rPr>
                <w:sz w:val="17"/>
              </w:rPr>
              <w:t xml:space="preserve"> </w:t>
            </w:r>
            <w:r>
              <w:rPr>
                <w:rStyle w:val="VerbatimChar"/>
                <w:sz w:val="17"/>
              </w:rPr>
              <w:t xml:space="preserve">/v1/repartition/ordres</w:t>
            </w:r>
            <w:r>
              <w:rPr>
                <w:sz w:val="17"/>
              </w:rPr>
              <w:t xml:space="preserve">, réserve agents)</w:t>
            </w:r>
          </w:p>
        </w:tc>
        <w:tc>
          <w:tcPr/>
          <w:p>
            <w:pPr>
              <w:pStyle w:val="Compact"/>
            </w:pPr>
            <w:r>
              <w:rPr>
                <w:sz w:val="17"/>
              </w:rPr>
              <w:t xml:space="preserve">Prévues</w:t>
            </w:r>
          </w:p>
        </w:tc>
        <w:tc>
          <w:tcPr/>
          <w:p>
            <w:pPr>
              <w:pStyle w:val="Compact"/>
            </w:pPr>
            <w:r>
              <w:rPr>
                <w:sz w:val="17"/>
              </w:rPr>
              <w:t xml:space="preserve">Remplacées par</w:t>
            </w:r>
            <w:r>
              <w:rPr>
                <w:sz w:val="17"/>
              </w:rPr>
              <w:t xml:space="preserve"> </w:t>
            </w:r>
            <w:r>
              <w:rPr>
                <w:rStyle w:val="VerbatimChar"/>
                <w:sz w:val="17"/>
              </w:rPr>
              <w:t xml:space="preserve">AllocationRule</w:t>
            </w:r>
            <w:r>
              <w:rPr>
                <w:sz w:val="17"/>
              </w:rPr>
              <w:t xml:space="preserve"> </w:t>
            </w:r>
            <w:r>
              <w:rPr>
                <w:sz w:val="17"/>
              </w:rPr>
              <w:t xml:space="preserve">et</w:t>
            </w:r>
            <w:r>
              <w:rPr>
                <w:sz w:val="17"/>
              </w:rPr>
              <w:t xml:space="preserve"> </w:t>
            </w:r>
            <w:r>
              <w:rPr>
                <w:rStyle w:val="VerbatimChar"/>
                <w:sz w:val="17"/>
              </w:rPr>
              <w:t xml:space="preserve">/v1/legal-shares:calculate</w:t>
            </w:r>
            <w:r>
              <w:rPr>
                <w:sz w:val="17"/>
              </w:rPr>
              <w:t xml:space="preserve"> </w:t>
            </w:r>
            <w:r>
              <w:rPr>
                <w:sz w:val="17"/>
              </w:rPr>
              <w:t xml:space="preserve">; aucune instruction de virement</w:t>
            </w:r>
          </w:p>
        </w:tc>
        <w:tc>
          <w:tcPr/>
          <w:p>
            <w:pPr>
              <w:pStyle w:val="Compact"/>
            </w:pPr>
            <w:r>
              <w:rPr>
                <w:sz w:val="17"/>
              </w:rPr>
              <w:t xml:space="preserve">§ H.16.3–H.16.4</w:t>
            </w:r>
          </w:p>
        </w:tc>
      </w:tr>
      <w:tr>
        <w:tc>
          <w:tcPr>
            <w:shd w:val="clear" w:color="auto" w:fill="F5F7FB"/>
          </w:tcPr>
          <w:p>
            <w:pPr>
              <w:pStyle w:val="Compact"/>
            </w:pPr>
            <w:r>
              <w:rPr>
                <w:sz w:val="17"/>
              </w:rPr>
              <w:t xml:space="preserve">ARB-75</w:t>
            </w:r>
          </w:p>
        </w:tc>
        <w:tc>
          <w:tcPr>
            <w:shd w:val="clear" w:color="auto" w:fill="F5F7FB"/>
          </w:tcPr>
          <w:p>
            <w:pPr>
              <w:pStyle w:val="Compact"/>
            </w:pPr>
            <w:r>
              <w:rPr>
                <w:sz w:val="17"/>
              </w:rPr>
              <w:t xml:space="preserve">Noms des scénarios</w:t>
            </w:r>
          </w:p>
        </w:tc>
        <w:tc>
          <w:tcPr>
            <w:shd w:val="clear" w:color="auto" w:fill="F5F7FB"/>
          </w:tcPr>
          <w:p>
            <w:pPr>
              <w:pStyle w:val="Compact"/>
            </w:pPr>
            <w:r>
              <w:rPr>
                <w:sz w:val="17"/>
              </w:rPr>
              <w:t xml:space="preserve">Prudent, attendu, transformationnel</w:t>
            </w:r>
          </w:p>
        </w:tc>
        <w:tc>
          <w:tcPr>
            <w:shd w:val="clear" w:color="auto" w:fill="F5F7FB"/>
          </w:tcPr>
          <w:p>
            <w:pPr>
              <w:pStyle w:val="Compact"/>
            </w:pPr>
            <w:r>
              <w:rPr>
                <w:sz w:val="17"/>
              </w:rPr>
              <w:t xml:space="preserve">Conservateur, attendu, transformationnel (ambitieux)</w:t>
            </w:r>
          </w:p>
        </w:tc>
        <w:tc>
          <w:tcPr>
            <w:shd w:val="clear" w:color="auto" w:fill="F5F7FB"/>
          </w:tcPr>
          <w:p>
            <w:pPr>
              <w:pStyle w:val="Compact"/>
            </w:pPr>
            <w:r>
              <w:rPr>
                <w:sz w:val="17"/>
              </w:rPr>
              <w:t xml:space="preserve">§ 38.3</w:t>
            </w:r>
          </w:p>
        </w:tc>
      </w:tr>
      <w:tr>
        <w:tc>
          <w:tcPr/>
          <w:p>
            <w:pPr>
              <w:pStyle w:val="Compact"/>
            </w:pPr>
            <w:r>
              <w:rPr>
                <w:sz w:val="17"/>
              </w:rPr>
              <w:t xml:space="preserve">ARB-76</w:t>
            </w:r>
          </w:p>
        </w:tc>
        <w:tc>
          <w:tcPr/>
          <w:p>
            <w:pPr>
              <w:pStyle w:val="Compact"/>
            </w:pPr>
            <w:r>
              <w:rPr>
                <w:sz w:val="17"/>
              </w:rPr>
              <w:t xml:space="preserve">Scan public de la plaque fiscale immobilière</w:t>
            </w:r>
          </w:p>
        </w:tc>
        <w:tc>
          <w:tcPr/>
          <w:p>
            <w:pPr>
              <w:pStyle w:val="Compact"/>
            </w:pPr>
            <w:r>
              <w:rPr>
                <w:sz w:val="17"/>
              </w:rPr>
              <w:t xml:space="preserve">« Statut minimal » incluant la situation (vert, orange, rouge, gris)</w:t>
            </w:r>
          </w:p>
        </w:tc>
        <w:tc>
          <w:tcPr/>
          <w:p>
            <w:pPr>
              <w:pStyle w:val="Compact"/>
            </w:pPr>
            <w:r>
              <w:rPr>
                <w:b/>
                <w:bCs/>
                <w:sz w:val="17"/>
              </w:rPr>
              <w:t xml:space="preserve">Révisé par décision de la Ville : la source prévaut.</w:t>
            </w:r>
            <w:r>
              <w:rPr>
                <w:sz w:val="17"/>
              </w:rPr>
              <w:t xml:space="preserve"> </w:t>
            </w:r>
            <w:r>
              <w:rPr>
                <w:sz w:val="17"/>
              </w:rPr>
              <w:t xml:space="preserve">Authenticité, enregistrement, commune, quartier et couleur de situation avec légende générique ; ni nom, ni adresse précise, ni montant ; aucune mesure automatique</w:t>
            </w:r>
          </w:p>
        </w:tc>
        <w:tc>
          <w:tcPr/>
          <w:p>
            <w:pPr>
              <w:pStyle w:val="Compact"/>
            </w:pPr>
            <w:r>
              <w:rPr>
                <w:sz w:val="17"/>
              </w:rPr>
              <w:t xml:space="preserve">P14 (§ 16.8)</w:t>
            </w:r>
          </w:p>
        </w:tc>
      </w:tr>
      <w:tr>
        <w:tc>
          <w:tcPr>
            <w:shd w:val="clear" w:color="auto" w:fill="F5F7FB"/>
          </w:tcPr>
          <w:p>
            <w:pPr>
              <w:pStyle w:val="Compact"/>
            </w:pPr>
            <w:r>
              <w:rPr>
                <w:sz w:val="17"/>
              </w:rPr>
              <w:t xml:space="preserve">ARB-77</w:t>
            </w:r>
          </w:p>
        </w:tc>
        <w:tc>
          <w:tcPr>
            <w:shd w:val="clear" w:color="auto" w:fill="F5F7FB"/>
          </w:tcPr>
          <w:p>
            <w:pPr>
              <w:pStyle w:val="Compact"/>
            </w:pPr>
            <w:r>
              <w:rPr>
                <w:sz w:val="17"/>
              </w:rPr>
              <w:t xml:space="preserve">Cinq piliers (DG) vs sept piliers (NE, C)</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Sept piliers, tous couverts (§ H.2.1)</w:t>
            </w:r>
          </w:p>
        </w:tc>
        <w:tc>
          <w:tcPr>
            <w:shd w:val="clear" w:color="auto" w:fill="F5F7FB"/>
          </w:tcPr>
          <w:p>
            <w:pPr>
              <w:pStyle w:val="Compact"/>
            </w:pPr>
            <w:r>
              <w:rPr>
                <w:sz w:val="17"/>
              </w:rPr>
              <w:t xml:space="preserve">Exhaustivité</w:t>
            </w:r>
          </w:p>
        </w:tc>
      </w:tr>
    </w:tbl>
    <w:bookmarkEnd w:id="576"/>
    <w:bookmarkEnd w:id="577"/>
    <w:bookmarkStart w:id="582" w:name="h.30-matrice-de-traçabilité"/>
    <w:p>
      <w:pPr>
        <w:pStyle w:val="Heading2"/>
      </w:pPr>
      <w:r>
        <w:t xml:space="preserve">H.30 Matrice de traçabilité</w:t>
      </w:r>
    </w:p>
    <w:bookmarkStart w:id="578" w:name="X409f5a03af10bb497abbfa1da80035e50f71292"/>
    <w:p>
      <w:pPr>
        <w:pStyle w:val="Heading3"/>
      </w:pPr>
      <w:r>
        <w:t xml:space="preserve">H.30.1 Cahier des exigences consolidé v2.9 → document maître v3.0</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Section source</w:t>
            </w:r>
          </w:p>
        </w:tc>
        <w:tc>
          <w:tcPr>
            <w:shd w:val="clear" w:color="auto" w:fill="232C6B"/>
          </w:tcPr>
          <w:p>
            <w:pPr>
              <w:pStyle w:val="Compact"/>
            </w:pPr>
            <w:r>
              <w:rPr>
                <w:b/>
                <w:color w:val="FFFFFF"/>
                <w:sz w:val="17"/>
              </w:rPr>
              <w:t xml:space="preserve">Objet</w:t>
            </w:r>
          </w:p>
        </w:tc>
        <w:tc>
          <w:tcPr>
            <w:shd w:val="clear" w:color="auto" w:fill="232C6B"/>
          </w:tcPr>
          <w:p>
            <w:pPr>
              <w:pStyle w:val="Compact"/>
            </w:pPr>
            <w:r>
              <w:rPr>
                <w:b/>
                <w:color w:val="FFFFFF"/>
                <w:sz w:val="17"/>
              </w:rPr>
              <w:t xml:space="preserve">Destination v3.0</w:t>
            </w:r>
          </w:p>
        </w:tc>
        <w:tc>
          <w:tcPr>
            <w:shd w:val="clear" w:color="auto" w:fill="232C6B"/>
          </w:tcPr>
          <w:p>
            <w:pPr>
              <w:pStyle w:val="Compact"/>
            </w:pPr>
            <w:r>
              <w:rPr>
                <w:b/>
                <w:color w:val="FFFFFF"/>
                <w:sz w:val="17"/>
              </w:rPr>
              <w:t xml:space="preserve">Complément Annexe H</w:t>
            </w:r>
          </w:p>
        </w:tc>
      </w:tr>
      <w:tr>
        <w:tc>
          <w:tcPr/>
          <w:p>
            <w:pPr>
              <w:pStyle w:val="Compact"/>
            </w:pPr>
            <w:r>
              <w:rPr>
                <w:sz w:val="17"/>
              </w:rPr>
              <w:t xml:space="preserve">En-tête, positionnement</w:t>
            </w:r>
          </w:p>
        </w:tc>
        <w:tc>
          <w:tcPr/>
          <w:p>
            <w:pPr>
              <w:pStyle w:val="Compact"/>
            </w:pPr>
            <w:r>
              <w:rPr>
                <w:sz w:val="17"/>
              </w:rPr>
              <w:t xml:space="preserve">Nom, devise, chaîne, statut</w:t>
            </w:r>
          </w:p>
        </w:tc>
        <w:tc>
          <w:tcPr/>
          <w:p>
            <w:pPr>
              <w:pStyle w:val="Compact"/>
            </w:pPr>
            <w:r>
              <w:rPr>
                <w:sz w:val="17"/>
              </w:rPr>
              <w:t xml:space="preserve">Couverture ; § 3.3</w:t>
            </w:r>
          </w:p>
        </w:tc>
        <w:tc>
          <w:tcPr/>
          <w:p>
            <w:pPr>
              <w:pStyle w:val="Compact"/>
            </w:pPr>
            <w:r>
              <w:rPr>
                <w:sz w:val="17"/>
              </w:rPr>
              <w:t xml:space="preserve">—</w:t>
            </w:r>
          </w:p>
        </w:tc>
      </w:tr>
      <w:tr>
        <w:tc>
          <w:tcPr>
            <w:shd w:val="clear" w:color="auto" w:fill="F5F7FB"/>
          </w:tcPr>
          <w:p>
            <w:pPr>
              <w:pStyle w:val="Compact"/>
            </w:pPr>
            <w:r>
              <w:rPr>
                <w:sz w:val="17"/>
              </w:rPr>
              <w:t xml:space="preserve">Note de consolidation</w:t>
            </w:r>
          </w:p>
        </w:tc>
        <w:tc>
          <w:tcPr>
            <w:shd w:val="clear" w:color="auto" w:fill="F5F7FB"/>
          </w:tcPr>
          <w:p>
            <w:pPr>
              <w:pStyle w:val="Compact"/>
            </w:pPr>
            <w:r>
              <w:rPr>
                <w:sz w:val="17"/>
              </w:rPr>
              <w:t xml:space="preserve">Sources, arbitrages, historique v2.1–v2.9</w:t>
            </w:r>
          </w:p>
        </w:tc>
        <w:tc>
          <w:tcPr>
            <w:shd w:val="clear" w:color="auto" w:fill="F5F7FB"/>
          </w:tcPr>
          <w:p>
            <w:pPr>
              <w:pStyle w:val="Compact"/>
            </w:pPr>
            <w:r>
              <w:rPr>
                <w:sz w:val="17"/>
              </w:rPr>
              <w:t xml:space="preserve">Annexe D</w:t>
            </w:r>
          </w:p>
        </w:tc>
        <w:tc>
          <w:tcPr>
            <w:shd w:val="clear" w:color="auto" w:fill="F5F7FB"/>
          </w:tcPr>
          <w:p>
            <w:pPr>
              <w:pStyle w:val="Compact"/>
            </w:pPr>
            <w:r>
              <w:rPr>
                <w:sz w:val="17"/>
              </w:rPr>
              <w:t xml:space="preserve">H.1, H.29</w:t>
            </w:r>
          </w:p>
        </w:tc>
      </w:tr>
      <w:tr>
        <w:tc>
          <w:tcPr/>
          <w:p>
            <w:pPr>
              <w:pStyle w:val="Compact"/>
            </w:pPr>
            <w:r>
              <w:rPr>
                <w:sz w:val="17"/>
              </w:rPr>
              <w:t xml:space="preserve">Note exécutive intégrée</w:t>
            </w:r>
          </w:p>
        </w:tc>
        <w:tc>
          <w:tcPr/>
          <w:p>
            <w:pPr>
              <w:pStyle w:val="Compact"/>
            </w:pPr>
            <w:r>
              <w:rPr>
                <w:sz w:val="17"/>
              </w:rPr>
              <w:t xml:space="preserve">Constat, sept piliers, décisions</w:t>
            </w:r>
          </w:p>
        </w:tc>
        <w:tc>
          <w:tcPr/>
          <w:p>
            <w:pPr>
              <w:pStyle w:val="Compact"/>
            </w:pPr>
            <w:r>
              <w:rPr>
                <w:sz w:val="17"/>
              </w:rPr>
              <w:t xml:space="preserve">Ch. 1, 2</w:t>
            </w:r>
          </w:p>
        </w:tc>
        <w:tc>
          <w:tcPr/>
          <w:p>
            <w:pPr>
              <w:pStyle w:val="Compact"/>
            </w:pPr>
            <w:r>
              <w:rPr>
                <w:sz w:val="17"/>
              </w:rPr>
              <w:t xml:space="preserve">H.2.1, H.26</w:t>
            </w:r>
          </w:p>
        </w:tc>
      </w:tr>
      <w:tr>
        <w:tc>
          <w:tcPr>
            <w:shd w:val="clear" w:color="auto" w:fill="F5F7FB"/>
          </w:tcPr>
          <w:p>
            <w:pPr>
              <w:pStyle w:val="Compact"/>
            </w:pPr>
            <w:r>
              <w:rPr>
                <w:sz w:val="17"/>
              </w:rPr>
              <w:t xml:space="preserve">§ 1</w:t>
            </w:r>
          </w:p>
        </w:tc>
        <w:tc>
          <w:tcPr>
            <w:shd w:val="clear" w:color="auto" w:fill="F5F7FB"/>
          </w:tcPr>
          <w:p>
            <w:pPr>
              <w:pStyle w:val="Compact"/>
            </w:pPr>
            <w:r>
              <w:rPr>
                <w:sz w:val="17"/>
              </w:rPr>
              <w:t xml:space="preserve">Résumé exécutif, huit résultats, décisions institutionnelles</w:t>
            </w:r>
          </w:p>
        </w:tc>
        <w:tc>
          <w:tcPr>
            <w:shd w:val="clear" w:color="auto" w:fill="F5F7FB"/>
          </w:tcPr>
          <w:p>
            <w:pPr>
              <w:pStyle w:val="Compact"/>
            </w:pPr>
            <w:r>
              <w:rPr>
                <w:sz w:val="17"/>
              </w:rPr>
              <w:t xml:space="preserve">Ch. 1</w:t>
            </w:r>
          </w:p>
        </w:tc>
        <w:tc>
          <w:tcPr>
            <w:shd w:val="clear" w:color="auto" w:fill="F5F7FB"/>
          </w:tcPr>
          <w:p>
            <w:pPr>
              <w:pStyle w:val="Compact"/>
            </w:pPr>
            <w:r>
              <w:rPr>
                <w:sz w:val="17"/>
              </w:rPr>
              <w:t xml:space="preserve">H.2.2, H.2.3</w:t>
            </w:r>
          </w:p>
        </w:tc>
      </w:tr>
      <w:tr>
        <w:tc>
          <w:tcPr/>
          <w:p>
            <w:pPr>
              <w:pStyle w:val="Compact"/>
            </w:pPr>
            <w:r>
              <w:rPr>
                <w:sz w:val="17"/>
              </w:rPr>
              <w:t xml:space="preserve">§ 2</w:t>
            </w:r>
          </w:p>
        </w:tc>
        <w:tc>
          <w:tcPr/>
          <w:p>
            <w:pPr>
              <w:pStyle w:val="Compact"/>
            </w:pPr>
            <w:r>
              <w:rPr>
                <w:sz w:val="17"/>
              </w:rPr>
              <w:t xml:space="preserve">Argumentaire, équation de la recette</w:t>
            </w:r>
          </w:p>
        </w:tc>
        <w:tc>
          <w:tcPr/>
          <w:p>
            <w:pPr>
              <w:pStyle w:val="Compact"/>
            </w:pPr>
            <w:r>
              <w:rPr>
                <w:sz w:val="17"/>
              </w:rPr>
              <w:t xml:space="preserve">Ch. 2</w:t>
            </w:r>
          </w:p>
        </w:tc>
        <w:tc>
          <w:tcPr/>
          <w:p>
            <w:pPr>
              <w:pStyle w:val="Compact"/>
            </w:pPr>
            <w:r>
              <w:rPr>
                <w:sz w:val="17"/>
              </w:rPr>
              <w:t xml:space="preserve">H.3.4 (taux de change)</w:t>
            </w:r>
          </w:p>
        </w:tc>
      </w:tr>
      <w:tr>
        <w:tc>
          <w:tcPr>
            <w:shd w:val="clear" w:color="auto" w:fill="F5F7FB"/>
          </w:tcPr>
          <w:p>
            <w:pPr>
              <w:pStyle w:val="Compact"/>
            </w:pPr>
            <w:r>
              <w:rPr>
                <w:sz w:val="17"/>
              </w:rPr>
              <w:t xml:space="preserve">§ 3</w:t>
            </w:r>
          </w:p>
        </w:tc>
        <w:tc>
          <w:tcPr>
            <w:shd w:val="clear" w:color="auto" w:fill="F5F7FB"/>
          </w:tcPr>
          <w:p>
            <w:pPr>
              <w:pStyle w:val="Compact"/>
            </w:pPr>
            <w:r>
              <w:rPr>
                <w:sz w:val="17"/>
              </w:rPr>
              <w:t xml:space="preserve">Vision, principes constitutionnels</w:t>
            </w:r>
          </w:p>
        </w:tc>
        <w:tc>
          <w:tcPr>
            <w:shd w:val="clear" w:color="auto" w:fill="F5F7FB"/>
          </w:tcPr>
          <w:p>
            <w:pPr>
              <w:pStyle w:val="Compact"/>
            </w:pPr>
            <w:r>
              <w:rPr>
                <w:sz w:val="17"/>
              </w:rPr>
              <w:t xml:space="preserve">Ch. 3</w:t>
            </w:r>
          </w:p>
        </w:tc>
        <w:tc>
          <w:tcPr>
            <w:shd w:val="clear" w:color="auto" w:fill="F5F7FB"/>
          </w:tcPr>
          <w:p>
            <w:pPr>
              <w:pStyle w:val="Compact"/>
            </w:pPr>
            <w:r>
              <w:rPr>
                <w:sz w:val="17"/>
              </w:rPr>
              <w:t xml:space="preserve">—</w:t>
            </w:r>
          </w:p>
        </w:tc>
      </w:tr>
      <w:tr>
        <w:tc>
          <w:tcPr/>
          <w:p>
            <w:pPr>
              <w:pStyle w:val="Compact"/>
            </w:pPr>
            <w:r>
              <w:rPr>
                <w:sz w:val="17"/>
              </w:rPr>
              <w:t xml:space="preserve">§ 4</w:t>
            </w:r>
          </w:p>
        </w:tc>
        <w:tc>
          <w:tcPr/>
          <w:p>
            <w:pPr>
              <w:pStyle w:val="Compact"/>
            </w:pPr>
            <w:r>
              <w:rPr>
                <w:sz w:val="17"/>
              </w:rPr>
              <w:t xml:space="preserve">Énoncé du problème</w:t>
            </w:r>
          </w:p>
        </w:tc>
        <w:tc>
          <w:tcPr/>
          <w:p>
            <w:pPr>
              <w:pStyle w:val="Compact"/>
            </w:pPr>
            <w:r>
              <w:rPr>
                <w:sz w:val="17"/>
              </w:rPr>
              <w:t xml:space="preserve">Ch. 4</w:t>
            </w:r>
          </w:p>
        </w:tc>
        <w:tc>
          <w:tcPr/>
          <w:p>
            <w:pPr>
              <w:pStyle w:val="Compact"/>
            </w:pPr>
            <w:r>
              <w:rPr>
                <w:sz w:val="17"/>
              </w:rPr>
              <w:t xml:space="preserve">—</w:t>
            </w:r>
          </w:p>
        </w:tc>
      </w:tr>
      <w:tr>
        <w:tc>
          <w:tcPr>
            <w:shd w:val="clear" w:color="auto" w:fill="F5F7FB"/>
          </w:tcPr>
          <w:p>
            <w:pPr>
              <w:pStyle w:val="Compact"/>
            </w:pPr>
            <w:r>
              <w:rPr>
                <w:sz w:val="17"/>
              </w:rPr>
              <w:t xml:space="preserve">§ 5</w:t>
            </w:r>
          </w:p>
        </w:tc>
        <w:tc>
          <w:tcPr>
            <w:shd w:val="clear" w:color="auto" w:fill="F5F7FB"/>
          </w:tcPr>
          <w:p>
            <w:pPr>
              <w:pStyle w:val="Compact"/>
            </w:pPr>
            <w:r>
              <w:rPr>
                <w:sz w:val="17"/>
              </w:rPr>
              <w:t xml:space="preserve">Objectifs</w:t>
            </w:r>
          </w:p>
        </w:tc>
        <w:tc>
          <w:tcPr>
            <w:shd w:val="clear" w:color="auto" w:fill="F5F7FB"/>
          </w:tcPr>
          <w:p>
            <w:pPr>
              <w:pStyle w:val="Compact"/>
            </w:pPr>
            <w:r>
              <w:rPr>
                <w:sz w:val="17"/>
              </w:rPr>
              <w:t xml:space="preserve">Ch. 5</w:t>
            </w:r>
          </w:p>
        </w:tc>
        <w:tc>
          <w:tcPr>
            <w:shd w:val="clear" w:color="auto" w:fill="F5F7FB"/>
          </w:tcPr>
          <w:p>
            <w:pPr>
              <w:pStyle w:val="Compact"/>
            </w:pPr>
            <w:r>
              <w:rPr>
                <w:sz w:val="17"/>
              </w:rPr>
              <w:t xml:space="preserve">H.2.4</w:t>
            </w:r>
          </w:p>
        </w:tc>
      </w:tr>
      <w:tr>
        <w:tc>
          <w:tcPr/>
          <w:p>
            <w:pPr>
              <w:pStyle w:val="Compact"/>
            </w:pPr>
            <w:r>
              <w:rPr>
                <w:sz w:val="17"/>
              </w:rPr>
              <w:t xml:space="preserve">§ 6.1–6.3</w:t>
            </w:r>
          </w:p>
        </w:tc>
        <w:tc>
          <w:tcPr/>
          <w:p>
            <w:pPr>
              <w:pStyle w:val="Compact"/>
            </w:pPr>
            <w:r>
              <w:rPr>
                <w:sz w:val="17"/>
              </w:rPr>
              <w:t xml:space="preserve">Textes, fiche de recette, séparation des compétences</w:t>
            </w:r>
          </w:p>
        </w:tc>
        <w:tc>
          <w:tcPr/>
          <w:p>
            <w:pPr>
              <w:pStyle w:val="Compact"/>
            </w:pPr>
            <w:r>
              <w:rPr>
                <w:sz w:val="17"/>
              </w:rPr>
              <w:t xml:space="preserve">§ 6.2, 6.11, 6.12</w:t>
            </w:r>
          </w:p>
        </w:tc>
        <w:tc>
          <w:tcPr/>
          <w:p>
            <w:pPr>
              <w:pStyle w:val="Compact"/>
            </w:pPr>
            <w:r>
              <w:rPr>
                <w:sz w:val="17"/>
              </w:rPr>
              <w:t xml:space="preserve">H.3.1</w:t>
            </w:r>
          </w:p>
        </w:tc>
      </w:tr>
      <w:tr>
        <w:tc>
          <w:tcPr>
            <w:shd w:val="clear" w:color="auto" w:fill="F5F7FB"/>
          </w:tcPr>
          <w:p>
            <w:pPr>
              <w:pStyle w:val="Compact"/>
            </w:pPr>
            <w:r>
              <w:rPr>
                <w:sz w:val="17"/>
              </w:rPr>
              <w:t xml:space="preserve">§ 6.4</w:t>
            </w:r>
          </w:p>
        </w:tc>
        <w:tc>
          <w:tcPr>
            <w:shd w:val="clear" w:color="auto" w:fill="F5F7FB"/>
          </w:tcPr>
          <w:p>
            <w:pPr>
              <w:pStyle w:val="Compact"/>
            </w:pPr>
            <w:r>
              <w:rPr>
                <w:sz w:val="17"/>
              </w:rPr>
              <w:t xml:space="preserve">Points juridiques</w:t>
            </w:r>
          </w:p>
        </w:tc>
        <w:tc>
          <w:tcPr>
            <w:shd w:val="clear" w:color="auto" w:fill="F5F7FB"/>
          </w:tcPr>
          <w:p>
            <w:pPr>
              <w:pStyle w:val="Compact"/>
            </w:pPr>
            <w:r>
              <w:rPr>
                <w:sz w:val="17"/>
              </w:rPr>
              <w:t xml:space="preserve">§ 6.13</w:t>
            </w:r>
          </w:p>
        </w:tc>
        <w:tc>
          <w:tcPr>
            <w:shd w:val="clear" w:color="auto" w:fill="F5F7FB"/>
          </w:tcPr>
          <w:p>
            <w:pPr>
              <w:pStyle w:val="Compact"/>
            </w:pPr>
            <w:r>
              <w:rPr>
                <w:sz w:val="17"/>
              </w:rPr>
              <w:t xml:space="preserve">H.3.3</w:t>
            </w:r>
          </w:p>
        </w:tc>
      </w:tr>
      <w:tr>
        <w:tc>
          <w:tcPr/>
          <w:p>
            <w:pPr>
              <w:pStyle w:val="Compact"/>
            </w:pPr>
            <w:r>
              <w:rPr>
                <w:sz w:val="17"/>
              </w:rPr>
              <w:t xml:space="preserve">§ 7</w:t>
            </w:r>
          </w:p>
        </w:tc>
        <w:tc>
          <w:tcPr/>
          <w:p>
            <w:pPr>
              <w:pStyle w:val="Compact"/>
            </w:pPr>
            <w:r>
              <w:rPr>
                <w:sz w:val="17"/>
              </w:rPr>
              <w:t xml:space="preserve">Paysage des recettes</w:t>
            </w:r>
          </w:p>
        </w:tc>
        <w:tc>
          <w:tcPr/>
          <w:p>
            <w:pPr>
              <w:pStyle w:val="Compact"/>
            </w:pPr>
            <w:r>
              <w:rPr>
                <w:sz w:val="17"/>
              </w:rPr>
              <w:t xml:space="preserve">Ch. 7</w:t>
            </w:r>
          </w:p>
        </w:tc>
        <w:tc>
          <w:tcPr/>
          <w:p>
            <w:pPr>
              <w:pStyle w:val="Compact"/>
            </w:pPr>
            <w:r>
              <w:rPr>
                <w:sz w:val="17"/>
              </w:rPr>
              <w:t xml:space="preserve">H.3.4</w:t>
            </w:r>
          </w:p>
        </w:tc>
      </w:tr>
      <w:tr>
        <w:tc>
          <w:tcPr>
            <w:shd w:val="clear" w:color="auto" w:fill="F5F7FB"/>
          </w:tcPr>
          <w:p>
            <w:pPr>
              <w:pStyle w:val="Compact"/>
            </w:pPr>
            <w:r>
              <w:rPr>
                <w:sz w:val="17"/>
              </w:rPr>
              <w:t xml:space="preserve">§ 8</w:t>
            </w:r>
          </w:p>
        </w:tc>
        <w:tc>
          <w:tcPr>
            <w:shd w:val="clear" w:color="auto" w:fill="F5F7FB"/>
          </w:tcPr>
          <w:p>
            <w:pPr>
              <w:pStyle w:val="Compact"/>
            </w:pPr>
            <w:r>
              <w:rPr>
                <w:sz w:val="17"/>
              </w:rPr>
              <w:t xml:space="preserve">Opportunités, découverte, recoupement, leviers</w:t>
            </w:r>
          </w:p>
        </w:tc>
        <w:tc>
          <w:tcPr>
            <w:shd w:val="clear" w:color="auto" w:fill="F5F7FB"/>
          </w:tcPr>
          <w:p>
            <w:pPr>
              <w:pStyle w:val="Compact"/>
            </w:pPr>
            <w:r>
              <w:rPr>
                <w:sz w:val="17"/>
              </w:rPr>
              <w:t xml:space="preserve">Ch. 8</w:t>
            </w:r>
          </w:p>
        </w:tc>
        <w:tc>
          <w:tcPr>
            <w:shd w:val="clear" w:color="auto" w:fill="F5F7FB"/>
          </w:tcPr>
          <w:p>
            <w:pPr>
              <w:pStyle w:val="Compact"/>
            </w:pPr>
            <w:r>
              <w:rPr>
                <w:sz w:val="17"/>
              </w:rPr>
              <w:t xml:space="preserve">H.3.5</w:t>
            </w:r>
          </w:p>
        </w:tc>
      </w:tr>
      <w:tr>
        <w:tc>
          <w:tcPr/>
          <w:p>
            <w:pPr>
              <w:pStyle w:val="Compact"/>
            </w:pPr>
            <w:r>
              <w:rPr>
                <w:sz w:val="17"/>
              </w:rPr>
              <w:t xml:space="preserve">§ 9</w:t>
            </w:r>
          </w:p>
        </w:tc>
        <w:tc>
          <w:tcPr/>
          <w:p>
            <w:pPr>
              <w:pStyle w:val="Compact"/>
            </w:pPr>
            <w:r>
              <w:rPr>
                <w:sz w:val="17"/>
              </w:rPr>
              <w:t xml:space="preserve">Compte unique, niveaux, profils</w:t>
            </w:r>
          </w:p>
        </w:tc>
        <w:tc>
          <w:tcPr/>
          <w:p>
            <w:pPr>
              <w:pStyle w:val="Compact"/>
            </w:pPr>
            <w:r>
              <w:rPr>
                <w:sz w:val="17"/>
              </w:rPr>
              <w:t xml:space="preserve">Ch. 9</w:t>
            </w:r>
          </w:p>
        </w:tc>
        <w:tc>
          <w:tcPr/>
          <w:p>
            <w:pPr>
              <w:pStyle w:val="Compact"/>
            </w:pPr>
            <w:r>
              <w:rPr>
                <w:sz w:val="17"/>
              </w:rPr>
              <w:t xml:space="preserve">H.4.1</w:t>
            </w:r>
          </w:p>
        </w:tc>
      </w:tr>
      <w:tr>
        <w:tc>
          <w:tcPr>
            <w:shd w:val="clear" w:color="auto" w:fill="F5F7FB"/>
          </w:tcPr>
          <w:p>
            <w:pPr>
              <w:pStyle w:val="Compact"/>
            </w:pPr>
            <w:r>
              <w:rPr>
                <w:sz w:val="17"/>
              </w:rPr>
              <w:t xml:space="preserve">§ 10</w:t>
            </w:r>
          </w:p>
        </w:tc>
        <w:tc>
          <w:tcPr>
            <w:shd w:val="clear" w:color="auto" w:fill="F5F7FB"/>
          </w:tcPr>
          <w:p>
            <w:pPr>
              <w:pStyle w:val="Compact"/>
            </w:pPr>
            <w:r>
              <w:rPr>
                <w:sz w:val="17"/>
              </w:rPr>
              <w:t xml:space="preserve">Sept domaines</w:t>
            </w:r>
          </w:p>
        </w:tc>
        <w:tc>
          <w:tcPr>
            <w:shd w:val="clear" w:color="auto" w:fill="F5F7FB"/>
          </w:tcPr>
          <w:p>
            <w:pPr>
              <w:pStyle w:val="Compact"/>
            </w:pPr>
            <w:r>
              <w:rPr>
                <w:sz w:val="17"/>
              </w:rPr>
              <w:t xml:space="preserve">§ 10.1–10.2</w:t>
            </w:r>
          </w:p>
        </w:tc>
        <w:tc>
          <w:tcPr>
            <w:shd w:val="clear" w:color="auto" w:fill="F5F7FB"/>
          </w:tcPr>
          <w:p>
            <w:pPr>
              <w:pStyle w:val="Compact"/>
            </w:pPr>
            <w:r>
              <w:rPr>
                <w:sz w:val="17"/>
              </w:rPr>
              <w:t xml:space="preserve">—</w:t>
            </w:r>
          </w:p>
        </w:tc>
      </w:tr>
      <w:tr>
        <w:tc>
          <w:tcPr/>
          <w:p>
            <w:pPr>
              <w:pStyle w:val="Compact"/>
            </w:pPr>
            <w:r>
              <w:rPr>
                <w:sz w:val="17"/>
              </w:rPr>
              <w:t xml:space="preserve">§ 10A</w:t>
            </w:r>
          </w:p>
        </w:tc>
        <w:tc>
          <w:tcPr/>
          <w:p>
            <w:pPr>
              <w:pStyle w:val="Compact"/>
            </w:pPr>
            <w:r>
              <w:rPr>
                <w:sz w:val="17"/>
              </w:rPr>
              <w:t xml:space="preserve">Multi-entités</w:t>
            </w:r>
          </w:p>
        </w:tc>
        <w:tc>
          <w:tcPr/>
          <w:p>
            <w:pPr>
              <w:pStyle w:val="Compact"/>
            </w:pPr>
            <w:r>
              <w:rPr>
                <w:sz w:val="17"/>
              </w:rPr>
              <w:t xml:space="preserve">§ 10.3</w:t>
            </w:r>
          </w:p>
        </w:tc>
        <w:tc>
          <w:tcPr/>
          <w:p>
            <w:pPr>
              <w:pStyle w:val="Compact"/>
            </w:pPr>
            <w:r>
              <w:rPr>
                <w:sz w:val="17"/>
              </w:rPr>
              <w:t xml:space="preserve">H.4.2, H.4.3</w:t>
            </w:r>
          </w:p>
        </w:tc>
      </w:tr>
      <w:tr>
        <w:tc>
          <w:tcPr>
            <w:shd w:val="clear" w:color="auto" w:fill="F5F7FB"/>
          </w:tcPr>
          <w:p>
            <w:pPr>
              <w:pStyle w:val="Compact"/>
            </w:pPr>
            <w:r>
              <w:rPr>
                <w:sz w:val="17"/>
              </w:rPr>
              <w:t xml:space="preserve">§ 11</w:t>
            </w:r>
          </w:p>
        </w:tc>
        <w:tc>
          <w:tcPr>
            <w:shd w:val="clear" w:color="auto" w:fill="F5F7FB"/>
          </w:tcPr>
          <w:p>
            <w:pPr>
              <w:pStyle w:val="Compact"/>
            </w:pPr>
            <w:r>
              <w:rPr>
                <w:sz w:val="17"/>
              </w:rPr>
              <w:t xml:space="preserve">Catalogue des 81 modules</w:t>
            </w:r>
          </w:p>
        </w:tc>
        <w:tc>
          <w:tcPr>
            <w:shd w:val="clear" w:color="auto" w:fill="F5F7FB"/>
          </w:tcPr>
          <w:p>
            <w:pPr>
              <w:pStyle w:val="Compact"/>
            </w:pPr>
            <w:r>
              <w:rPr>
                <w:sz w:val="17"/>
              </w:rPr>
              <w:t xml:space="preserve">§ 11.1–11.2</w:t>
            </w:r>
          </w:p>
        </w:tc>
        <w:tc>
          <w:tcPr>
            <w:shd w:val="clear" w:color="auto" w:fill="F5F7FB"/>
          </w:tcPr>
          <w:p>
            <w:pPr>
              <w:pStyle w:val="Compact"/>
            </w:pPr>
            <w:r>
              <w:rPr>
                <w:sz w:val="17"/>
              </w:rPr>
              <w:t xml:space="preserve">H.5.1, H.5.2, H.28</w:t>
            </w:r>
          </w:p>
        </w:tc>
      </w:tr>
      <w:tr>
        <w:tc>
          <w:tcPr/>
          <w:p>
            <w:pPr>
              <w:pStyle w:val="Compact"/>
            </w:pPr>
            <w:r>
              <w:rPr>
                <w:sz w:val="17"/>
              </w:rPr>
              <w:t xml:space="preserve">§ 11.1</w:t>
            </w:r>
          </w:p>
        </w:tc>
        <w:tc>
          <w:tcPr/>
          <w:p>
            <w:pPr>
              <w:pStyle w:val="Compact"/>
            </w:pPr>
            <w:r>
              <w:rPr>
                <w:sz w:val="17"/>
              </w:rPr>
              <w:t xml:space="preserve">Verticales</w:t>
            </w:r>
          </w:p>
        </w:tc>
        <w:tc>
          <w:tcPr/>
          <w:p>
            <w:pPr>
              <w:pStyle w:val="Compact"/>
            </w:pPr>
            <w:r>
              <w:rPr>
                <w:sz w:val="17"/>
              </w:rPr>
              <w:t xml:space="preserve">§ 11.3</w:t>
            </w:r>
          </w:p>
        </w:tc>
        <w:tc>
          <w:tcPr/>
          <w:p>
            <w:pPr>
              <w:pStyle w:val="Compact"/>
            </w:pPr>
            <w:r>
              <w:rPr>
                <w:sz w:val="17"/>
              </w:rPr>
              <w:t xml:space="preserve">H.5.3, H.27</w:t>
            </w:r>
          </w:p>
        </w:tc>
      </w:tr>
      <w:tr>
        <w:tc>
          <w:tcPr>
            <w:shd w:val="clear" w:color="auto" w:fill="F5F7FB"/>
          </w:tcPr>
          <w:p>
            <w:pPr>
              <w:pStyle w:val="Compact"/>
            </w:pPr>
            <w:r>
              <w:rPr>
                <w:sz w:val="17"/>
              </w:rPr>
              <w:t xml:space="preserve">§ 11.2–11.3</w:t>
            </w:r>
          </w:p>
        </w:tc>
        <w:tc>
          <w:tcPr>
            <w:shd w:val="clear" w:color="auto" w:fill="F5F7FB"/>
          </w:tcPr>
          <w:p>
            <w:pPr>
              <w:pStyle w:val="Compact"/>
            </w:pPr>
            <w:r>
              <w:rPr>
                <w:sz w:val="17"/>
              </w:rPr>
              <w:t xml:space="preserve">Moteurs de liquidation et de notification</w:t>
            </w:r>
          </w:p>
        </w:tc>
        <w:tc>
          <w:tcPr>
            <w:shd w:val="clear" w:color="auto" w:fill="F5F7FB"/>
          </w:tcPr>
          <w:p>
            <w:pPr>
              <w:pStyle w:val="Compact"/>
            </w:pPr>
            <w:r>
              <w:rPr>
                <w:sz w:val="17"/>
              </w:rPr>
              <w:t xml:space="preserve">§ 6.12, § 11.4</w:t>
            </w:r>
          </w:p>
        </w:tc>
        <w:tc>
          <w:tcPr>
            <w:shd w:val="clear" w:color="auto" w:fill="F5F7FB"/>
          </w:tcPr>
          <w:p>
            <w:pPr>
              <w:pStyle w:val="Compact"/>
            </w:pPr>
            <w:r>
              <w:rPr>
                <w:sz w:val="17"/>
              </w:rPr>
              <w:t xml:space="preserve">H.28 (26, 27, 39)</w:t>
            </w:r>
          </w:p>
        </w:tc>
      </w:tr>
      <w:tr>
        <w:tc>
          <w:tcPr/>
          <w:p>
            <w:pPr>
              <w:pStyle w:val="Compact"/>
            </w:pPr>
            <w:r>
              <w:rPr>
                <w:sz w:val="17"/>
              </w:rPr>
              <w:t xml:space="preserve">§ 11A</w:t>
            </w:r>
          </w:p>
        </w:tc>
        <w:tc>
          <w:tcPr/>
          <w:p>
            <w:pPr>
              <w:pStyle w:val="Compact"/>
            </w:pPr>
            <w:r>
              <w:rPr>
                <w:sz w:val="17"/>
              </w:rPr>
              <w:t xml:space="preserve">ParkSmart</w:t>
            </w:r>
          </w:p>
        </w:tc>
        <w:tc>
          <w:tcPr/>
          <w:p>
            <w:pPr>
              <w:pStyle w:val="Compact"/>
            </w:pPr>
            <w:r>
              <w:rPr>
                <w:sz w:val="17"/>
              </w:rPr>
              <w:t xml:space="preserve">G15 (§ 8.3)</w:t>
            </w:r>
          </w:p>
        </w:tc>
        <w:tc>
          <w:tcPr/>
          <w:p>
            <w:pPr>
              <w:pStyle w:val="Compact"/>
            </w:pPr>
            <w:r>
              <w:rPr>
                <w:sz w:val="17"/>
              </w:rPr>
              <w:t xml:space="preserve">H.27.5</w:t>
            </w:r>
          </w:p>
        </w:tc>
      </w:tr>
      <w:tr>
        <w:tc>
          <w:tcPr>
            <w:shd w:val="clear" w:color="auto" w:fill="F5F7FB"/>
          </w:tcPr>
          <w:p>
            <w:pPr>
              <w:pStyle w:val="Compact"/>
            </w:pPr>
            <w:r>
              <w:rPr>
                <w:sz w:val="17"/>
              </w:rPr>
              <w:t xml:space="preserve">§ 11B</w:t>
            </w:r>
          </w:p>
        </w:tc>
        <w:tc>
          <w:tcPr>
            <w:shd w:val="clear" w:color="auto" w:fill="F5F7FB"/>
          </w:tcPr>
          <w:p>
            <w:pPr>
              <w:pStyle w:val="Compact"/>
            </w:pPr>
            <w:r>
              <w:rPr>
                <w:sz w:val="17"/>
              </w:rPr>
              <w:t xml:space="preserve">KIN PUB CONTROL</w:t>
            </w:r>
          </w:p>
        </w:tc>
        <w:tc>
          <w:tcPr>
            <w:shd w:val="clear" w:color="auto" w:fill="F5F7FB"/>
          </w:tcPr>
          <w:p>
            <w:pPr>
              <w:pStyle w:val="Compact"/>
            </w:pPr>
            <w:r>
              <w:rPr>
                <w:sz w:val="17"/>
              </w:rPr>
              <w:t xml:space="preserve">G09 (§ 8.2)</w:t>
            </w:r>
          </w:p>
        </w:tc>
        <w:tc>
          <w:tcPr>
            <w:shd w:val="clear" w:color="auto" w:fill="F5F7FB"/>
          </w:tcPr>
          <w:p>
            <w:pPr>
              <w:pStyle w:val="Compact"/>
            </w:pPr>
            <w:r>
              <w:rPr>
                <w:sz w:val="17"/>
              </w:rPr>
              <w:t xml:space="preserve">H.27.6</w:t>
            </w:r>
          </w:p>
        </w:tc>
      </w:tr>
      <w:tr>
        <w:tc>
          <w:tcPr/>
          <w:p>
            <w:pPr>
              <w:pStyle w:val="Compact"/>
            </w:pPr>
            <w:r>
              <w:rPr>
                <w:sz w:val="17"/>
              </w:rPr>
              <w:t xml:space="preserve">§ 11C</w:t>
            </w:r>
          </w:p>
        </w:tc>
        <w:tc>
          <w:tcPr/>
          <w:p>
            <w:pPr>
              <w:pStyle w:val="Compact"/>
            </w:pPr>
            <w:r>
              <w:rPr>
                <w:sz w:val="17"/>
              </w:rPr>
              <w:t xml:space="preserve">KIN-AVIA FISCUS</w:t>
            </w:r>
          </w:p>
        </w:tc>
        <w:tc>
          <w:tcPr/>
          <w:p>
            <w:pPr>
              <w:pStyle w:val="Compact"/>
            </w:pPr>
            <w:r>
              <w:rPr>
                <w:sz w:val="17"/>
              </w:rPr>
              <w:t xml:space="preserve">§ 11.3 (AVIA)</w:t>
            </w:r>
          </w:p>
        </w:tc>
        <w:tc>
          <w:tcPr/>
          <w:p>
            <w:pPr>
              <w:pStyle w:val="Compact"/>
            </w:pPr>
            <w:r>
              <w:rPr>
                <w:sz w:val="17"/>
              </w:rPr>
              <w:t xml:space="preserve">H.27.12</w:t>
            </w:r>
          </w:p>
        </w:tc>
      </w:tr>
      <w:tr>
        <w:tc>
          <w:tcPr>
            <w:shd w:val="clear" w:color="auto" w:fill="F5F7FB"/>
          </w:tcPr>
          <w:p>
            <w:pPr>
              <w:pStyle w:val="Compact"/>
            </w:pPr>
            <w:r>
              <w:rPr>
                <w:sz w:val="17"/>
              </w:rPr>
              <w:t xml:space="preserve">§ 11D.1–11D.7</w:t>
            </w:r>
          </w:p>
        </w:tc>
        <w:tc>
          <w:tcPr>
            <w:shd w:val="clear" w:color="auto" w:fill="F5F7FB"/>
          </w:tcPr>
          <w:p>
            <w:pPr>
              <w:pStyle w:val="Compact"/>
            </w:pPr>
            <w:r>
              <w:rPr>
                <w:sz w:val="17"/>
              </w:rPr>
              <w:t xml:space="preserve">Billetterie RakaPay</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H.27.16</w:t>
            </w:r>
          </w:p>
        </w:tc>
      </w:tr>
      <w:tr>
        <w:tc>
          <w:tcPr/>
          <w:p>
            <w:pPr>
              <w:pStyle w:val="Compact"/>
            </w:pPr>
            <w:r>
              <w:rPr>
                <w:sz w:val="17"/>
              </w:rPr>
              <w:t xml:space="preserve">§ 11D.8</w:t>
            </w:r>
          </w:p>
        </w:tc>
        <w:tc>
          <w:tcPr/>
          <w:p>
            <w:pPr>
              <w:pStyle w:val="Compact"/>
            </w:pPr>
            <w:r>
              <w:rPr>
                <w:sz w:val="17"/>
              </w:rPr>
              <w:t xml:space="preserve">Pass wewa (composante RakaPay)</w:t>
            </w:r>
          </w:p>
        </w:tc>
        <w:tc>
          <w:tcPr/>
          <w:p>
            <w:pPr>
              <w:pStyle w:val="Compact"/>
            </w:pPr>
            <w:r>
              <w:rPr>
                <w:sz w:val="17"/>
              </w:rPr>
              <w:t xml:space="preserve">§ 11.3, § 13.8</w:t>
            </w:r>
          </w:p>
        </w:tc>
        <w:tc>
          <w:tcPr/>
          <w:p>
            <w:pPr>
              <w:pStyle w:val="Compact"/>
            </w:pPr>
            <w:r>
              <w:rPr>
                <w:sz w:val="17"/>
              </w:rPr>
              <w:t xml:space="preserve">H.27.16.1</w:t>
            </w:r>
          </w:p>
        </w:tc>
      </w:tr>
      <w:tr>
        <w:tc>
          <w:tcPr>
            <w:shd w:val="clear" w:color="auto" w:fill="F5F7FB"/>
          </w:tcPr>
          <w:p>
            <w:pPr>
              <w:pStyle w:val="Compact"/>
            </w:pPr>
            <w:r>
              <w:rPr>
                <w:sz w:val="17"/>
              </w:rPr>
              <w:t xml:space="preserve">§ 12, § 12.1–12.3</w:t>
            </w:r>
          </w:p>
        </w:tc>
        <w:tc>
          <w:tcPr>
            <w:shd w:val="clear" w:color="auto" w:fill="F5F7FB"/>
          </w:tcPr>
          <w:p>
            <w:pPr>
              <w:pStyle w:val="Compact"/>
            </w:pPr>
            <w:r>
              <w:rPr>
                <w:sz w:val="17"/>
              </w:rPr>
              <w:t xml:space="preserve">Rôles, contrôles, Constitution financière</w:t>
            </w:r>
          </w:p>
        </w:tc>
        <w:tc>
          <w:tcPr>
            <w:shd w:val="clear" w:color="auto" w:fill="F5F7FB"/>
          </w:tcPr>
          <w:p>
            <w:pPr>
              <w:pStyle w:val="Compact"/>
            </w:pPr>
            <w:r>
              <w:rPr>
                <w:sz w:val="17"/>
              </w:rPr>
              <w:t xml:space="preserve">§ 12.1–12.6</w:t>
            </w:r>
          </w:p>
        </w:tc>
        <w:tc>
          <w:tcPr>
            <w:shd w:val="clear" w:color="auto" w:fill="F5F7FB"/>
          </w:tcPr>
          <w:p>
            <w:pPr>
              <w:pStyle w:val="Compact"/>
            </w:pPr>
            <w:r>
              <w:rPr>
                <w:sz w:val="17"/>
              </w:rPr>
              <w:t xml:space="preserve">—</w:t>
            </w:r>
          </w:p>
        </w:tc>
      </w:tr>
      <w:tr>
        <w:tc>
          <w:tcPr/>
          <w:p>
            <w:pPr>
              <w:pStyle w:val="Compact"/>
            </w:pPr>
            <w:r>
              <w:rPr>
                <w:sz w:val="17"/>
              </w:rPr>
              <w:t xml:space="preserve">§ 12.4–12.5</w:t>
            </w:r>
          </w:p>
        </w:tc>
        <w:tc>
          <w:tcPr/>
          <w:p>
            <w:pPr>
              <w:pStyle w:val="Compact"/>
            </w:pPr>
            <w:r>
              <w:rPr>
                <w:sz w:val="17"/>
              </w:rPr>
              <w:t xml:space="preserve">Rôles assistés, impossibilités, accès privilégiés</w:t>
            </w:r>
          </w:p>
        </w:tc>
        <w:tc>
          <w:tcPr/>
          <w:p>
            <w:pPr>
              <w:pStyle w:val="Compact"/>
            </w:pPr>
            <w:r>
              <w:rPr>
                <w:sz w:val="17"/>
              </w:rPr>
              <w:t xml:space="preserve">§ 12.5</w:t>
            </w:r>
          </w:p>
        </w:tc>
        <w:tc>
          <w:tcPr/>
          <w:p>
            <w:pPr>
              <w:pStyle w:val="Compact"/>
            </w:pPr>
            <w:r>
              <w:rPr>
                <w:sz w:val="17"/>
              </w:rPr>
              <w:t xml:space="preserve">H.6.1, H.6.2</w:t>
            </w:r>
          </w:p>
        </w:tc>
      </w:tr>
      <w:tr>
        <w:tc>
          <w:tcPr>
            <w:shd w:val="clear" w:color="auto" w:fill="F5F7FB"/>
          </w:tcPr>
          <w:p>
            <w:pPr>
              <w:pStyle w:val="Compact"/>
            </w:pPr>
            <w:r>
              <w:rPr>
                <w:sz w:val="17"/>
              </w:rPr>
              <w:t xml:space="preserve">§ 12A</w:t>
            </w:r>
          </w:p>
        </w:tc>
        <w:tc>
          <w:tcPr>
            <w:shd w:val="clear" w:color="auto" w:fill="F5F7FB"/>
          </w:tcPr>
          <w:p>
            <w:pPr>
              <w:pStyle w:val="Compact"/>
            </w:pPr>
            <w:r>
              <w:rPr>
                <w:sz w:val="17"/>
              </w:rPr>
              <w:t xml:space="preserve">Invitations en cascade</w:t>
            </w:r>
          </w:p>
        </w:tc>
        <w:tc>
          <w:tcPr>
            <w:shd w:val="clear" w:color="auto" w:fill="F5F7FB"/>
          </w:tcPr>
          <w:p>
            <w:pPr>
              <w:pStyle w:val="Compact"/>
            </w:pPr>
            <w:r>
              <w:rPr>
                <w:sz w:val="17"/>
              </w:rPr>
              <w:t xml:space="preserve">§ 12.7</w:t>
            </w:r>
          </w:p>
        </w:tc>
        <w:tc>
          <w:tcPr>
            <w:shd w:val="clear" w:color="auto" w:fill="F5F7FB"/>
          </w:tcPr>
          <w:p>
            <w:pPr>
              <w:pStyle w:val="Compact"/>
            </w:pPr>
            <w:r>
              <w:rPr>
                <w:sz w:val="17"/>
              </w:rPr>
              <w:t xml:space="preserve">H.6.3 à H.6.9</w:t>
            </w:r>
          </w:p>
        </w:tc>
      </w:tr>
      <w:tr>
        <w:tc>
          <w:tcPr/>
          <w:p>
            <w:pPr>
              <w:pStyle w:val="Compact"/>
            </w:pPr>
            <w:r>
              <w:rPr>
                <w:sz w:val="17"/>
              </w:rPr>
              <w:t xml:space="preserve">§ 13</w:t>
            </w:r>
          </w:p>
        </w:tc>
        <w:tc>
          <w:tcPr/>
          <w:p>
            <w:pPr>
              <w:pStyle w:val="Compact"/>
            </w:pPr>
            <w:r>
              <w:rPr>
                <w:sz w:val="17"/>
              </w:rPr>
              <w:t xml:space="preserve">Parcours contribuable</w:t>
            </w:r>
          </w:p>
        </w:tc>
        <w:tc>
          <w:tcPr/>
          <w:p>
            <w:pPr>
              <w:pStyle w:val="Compact"/>
            </w:pPr>
            <w:r>
              <w:rPr>
                <w:sz w:val="17"/>
              </w:rPr>
              <w:t xml:space="preserve">Ch. 13</w:t>
            </w:r>
          </w:p>
        </w:tc>
        <w:tc>
          <w:tcPr/>
          <w:p>
            <w:pPr>
              <w:pStyle w:val="Compact"/>
            </w:pPr>
            <w:r>
              <w:rPr>
                <w:sz w:val="17"/>
              </w:rPr>
              <w:t xml:space="preserve">H.7.7</w:t>
            </w:r>
          </w:p>
        </w:tc>
      </w:tr>
      <w:tr>
        <w:tc>
          <w:tcPr>
            <w:shd w:val="clear" w:color="auto" w:fill="F5F7FB"/>
          </w:tcPr>
          <w:p>
            <w:pPr>
              <w:pStyle w:val="Compact"/>
            </w:pPr>
            <w:r>
              <w:rPr>
                <w:sz w:val="17"/>
              </w:rPr>
              <w:t xml:space="preserve">§ 13A</w:t>
            </w:r>
          </w:p>
        </w:tc>
        <w:tc>
          <w:tcPr>
            <w:shd w:val="clear" w:color="auto" w:fill="F5F7FB"/>
          </w:tcPr>
          <w:p>
            <w:pPr>
              <w:pStyle w:val="Compact"/>
            </w:pPr>
            <w:r>
              <w:rPr>
                <w:sz w:val="17"/>
              </w:rPr>
              <w:t xml:space="preserve">Enrôlement inclusif</w:t>
            </w:r>
          </w:p>
        </w:tc>
        <w:tc>
          <w:tcPr>
            <w:shd w:val="clear" w:color="auto" w:fill="F5F7FB"/>
          </w:tcPr>
          <w:p>
            <w:pPr>
              <w:pStyle w:val="Compact"/>
            </w:pPr>
            <w:r>
              <w:rPr>
                <w:sz w:val="17"/>
              </w:rPr>
              <w:t xml:space="preserve">§ 13.6</w:t>
            </w:r>
          </w:p>
        </w:tc>
        <w:tc>
          <w:tcPr>
            <w:shd w:val="clear" w:color="auto" w:fill="F5F7FB"/>
          </w:tcPr>
          <w:p>
            <w:pPr>
              <w:pStyle w:val="Compact"/>
            </w:pPr>
            <w:r>
              <w:rPr>
                <w:sz w:val="17"/>
              </w:rPr>
              <w:t xml:space="preserve">H.7.1 à H.7.6</w:t>
            </w:r>
          </w:p>
        </w:tc>
      </w:tr>
      <w:tr>
        <w:tc>
          <w:tcPr/>
          <w:p>
            <w:pPr>
              <w:pStyle w:val="Compact"/>
            </w:pPr>
            <w:r>
              <w:rPr>
                <w:sz w:val="17"/>
              </w:rPr>
              <w:t xml:space="preserve">§ 14</w:t>
            </w:r>
          </w:p>
        </w:tc>
        <w:tc>
          <w:tcPr/>
          <w:p>
            <w:pPr>
              <w:pStyle w:val="Compact"/>
            </w:pPr>
            <w:r>
              <w:rPr>
                <w:sz w:val="17"/>
              </w:rPr>
              <w:t xml:space="preserve">Parcours gouvernementaux</w:t>
            </w:r>
          </w:p>
        </w:tc>
        <w:tc>
          <w:tcPr/>
          <w:p>
            <w:pPr>
              <w:pStyle w:val="Compact"/>
            </w:pPr>
            <w:r>
              <w:rPr>
                <w:sz w:val="17"/>
              </w:rPr>
              <w:t xml:space="preserve">Ch. 14</w:t>
            </w:r>
          </w:p>
        </w:tc>
        <w:tc>
          <w:tcPr/>
          <w:p>
            <w:pPr>
              <w:pStyle w:val="Compact"/>
            </w:pPr>
            <w:r>
              <w:rPr>
                <w:sz w:val="17"/>
              </w:rPr>
              <w:t xml:space="preserve">—</w:t>
            </w:r>
          </w:p>
        </w:tc>
      </w:tr>
      <w:tr>
        <w:tc>
          <w:tcPr>
            <w:shd w:val="clear" w:color="auto" w:fill="F5F7FB"/>
          </w:tcPr>
          <w:p>
            <w:pPr>
              <w:pStyle w:val="Compact"/>
            </w:pPr>
            <w:r>
              <w:rPr>
                <w:sz w:val="17"/>
              </w:rPr>
              <w:t xml:space="preserve">§ 15, § 15.1–15.4</w:t>
            </w:r>
          </w:p>
        </w:tc>
        <w:tc>
          <w:tcPr>
            <w:shd w:val="clear" w:color="auto" w:fill="F5F7FB"/>
          </w:tcPr>
          <w:p>
            <w:pPr>
              <w:pStyle w:val="Compact"/>
            </w:pPr>
            <w:r>
              <w:rPr>
                <w:sz w:val="17"/>
              </w:rPr>
              <w:t xml:space="preserve">Agent de terrain, hors ligne</w:t>
            </w:r>
          </w:p>
        </w:tc>
        <w:tc>
          <w:tcPr>
            <w:shd w:val="clear" w:color="auto" w:fill="F5F7FB"/>
          </w:tcPr>
          <w:p>
            <w:pPr>
              <w:pStyle w:val="Compact"/>
            </w:pPr>
            <w:r>
              <w:rPr>
                <w:sz w:val="17"/>
              </w:rPr>
              <w:t xml:space="preserve">Ch. 15 ; § 28.6</w:t>
            </w:r>
          </w:p>
        </w:tc>
        <w:tc>
          <w:tcPr>
            <w:shd w:val="clear" w:color="auto" w:fill="F5F7FB"/>
          </w:tcPr>
          <w:p>
            <w:pPr>
              <w:pStyle w:val="Compact"/>
            </w:pPr>
            <w:r>
              <w:rPr>
                <w:sz w:val="17"/>
              </w:rPr>
              <w:t xml:space="preserve">H.8.1</w:t>
            </w:r>
          </w:p>
        </w:tc>
      </w:tr>
      <w:tr>
        <w:tc>
          <w:tcPr/>
          <w:p>
            <w:pPr>
              <w:pStyle w:val="Compact"/>
            </w:pPr>
            <w:r>
              <w:rPr>
                <w:sz w:val="17"/>
              </w:rPr>
              <w:t xml:space="preserve">§ 15.5</w:t>
            </w:r>
          </w:p>
        </w:tc>
        <w:tc>
          <w:tcPr/>
          <w:p>
            <w:pPr>
              <w:pStyle w:val="Compact"/>
            </w:pPr>
            <w:r>
              <w:rPr>
                <w:sz w:val="17"/>
              </w:rPr>
              <w:t xml:space="preserve">Écrans de contrôle</w:t>
            </w:r>
          </w:p>
        </w:tc>
        <w:tc>
          <w:tcPr/>
          <w:p>
            <w:pPr>
              <w:pStyle w:val="Compact"/>
            </w:pPr>
            <w:r>
              <w:rPr>
                <w:sz w:val="17"/>
              </w:rPr>
              <w:t xml:space="preserve">—</w:t>
            </w:r>
          </w:p>
        </w:tc>
        <w:tc>
          <w:tcPr/>
          <w:p>
            <w:pPr>
              <w:pStyle w:val="Compact"/>
            </w:pPr>
            <w:r>
              <w:rPr>
                <w:sz w:val="17"/>
              </w:rPr>
              <w:t xml:space="preserve">H.8.1</w:t>
            </w:r>
          </w:p>
        </w:tc>
      </w:tr>
      <w:tr>
        <w:tc>
          <w:tcPr>
            <w:shd w:val="clear" w:color="auto" w:fill="F5F7FB"/>
          </w:tcPr>
          <w:p>
            <w:pPr>
              <w:pStyle w:val="Compact"/>
            </w:pPr>
            <w:r>
              <w:rPr>
                <w:sz w:val="17"/>
              </w:rPr>
              <w:t xml:space="preserve">§ 15A</w:t>
            </w:r>
          </w:p>
        </w:tc>
        <w:tc>
          <w:tcPr>
            <w:shd w:val="clear" w:color="auto" w:fill="F5F7FB"/>
          </w:tcPr>
          <w:p>
            <w:pPr>
              <w:pStyle w:val="Compact"/>
            </w:pPr>
            <w:r>
              <w:rPr>
                <w:sz w:val="17"/>
              </w:rPr>
              <w:t xml:space="preserve">Sous-traitance terrain</w:t>
            </w:r>
          </w:p>
        </w:tc>
        <w:tc>
          <w:tcPr>
            <w:shd w:val="clear" w:color="auto" w:fill="F5F7FB"/>
          </w:tcPr>
          <w:p>
            <w:pPr>
              <w:pStyle w:val="Compact"/>
            </w:pPr>
            <w:r>
              <w:rPr>
                <w:sz w:val="17"/>
              </w:rPr>
              <w:t xml:space="preserve">§ 15.3 (partiel)</w:t>
            </w:r>
          </w:p>
        </w:tc>
        <w:tc>
          <w:tcPr>
            <w:shd w:val="clear" w:color="auto" w:fill="F5F7FB"/>
          </w:tcPr>
          <w:p>
            <w:pPr>
              <w:pStyle w:val="Compact"/>
            </w:pPr>
            <w:r>
              <w:rPr>
                <w:sz w:val="17"/>
              </w:rPr>
              <w:t xml:space="preserve">H.8.2 à H.8.6</w:t>
            </w:r>
          </w:p>
        </w:tc>
      </w:tr>
      <w:tr>
        <w:tc>
          <w:tcPr/>
          <w:p>
            <w:pPr>
              <w:pStyle w:val="Compact"/>
            </w:pPr>
            <w:r>
              <w:rPr>
                <w:sz w:val="17"/>
              </w:rPr>
              <w:t xml:space="preserve">§ 16</w:t>
            </w:r>
          </w:p>
        </w:tc>
        <w:tc>
          <w:tcPr/>
          <w:p>
            <w:pPr>
              <w:pStyle w:val="Compact"/>
            </w:pPr>
            <w:r>
              <w:rPr>
                <w:sz w:val="17"/>
              </w:rPr>
              <w:t xml:space="preserve">Foncier et locatif</w:t>
            </w:r>
          </w:p>
        </w:tc>
        <w:tc>
          <w:tcPr/>
          <w:p>
            <w:pPr>
              <w:pStyle w:val="Compact"/>
            </w:pPr>
            <w:r>
              <w:rPr>
                <w:sz w:val="17"/>
              </w:rPr>
              <w:t xml:space="preserve">Ch. 16</w:t>
            </w:r>
          </w:p>
        </w:tc>
        <w:tc>
          <w:tcPr/>
          <w:p>
            <w:pPr>
              <w:pStyle w:val="Compact"/>
            </w:pPr>
            <w:r>
              <w:rPr>
                <w:sz w:val="17"/>
              </w:rPr>
              <w:t xml:space="preserve">H.9.4</w:t>
            </w:r>
          </w:p>
        </w:tc>
      </w:tr>
      <w:tr>
        <w:tc>
          <w:tcPr>
            <w:shd w:val="clear" w:color="auto" w:fill="F5F7FB"/>
          </w:tcPr>
          <w:p>
            <w:pPr>
              <w:pStyle w:val="Compact"/>
            </w:pPr>
            <w:r>
              <w:rPr>
                <w:sz w:val="17"/>
              </w:rPr>
              <w:t xml:space="preserve">§ 16.7</w:t>
            </w:r>
          </w:p>
        </w:tc>
        <w:tc>
          <w:tcPr>
            <w:shd w:val="clear" w:color="auto" w:fill="F5F7FB"/>
          </w:tcPr>
          <w:p>
            <w:pPr>
              <w:pStyle w:val="Compact"/>
            </w:pPr>
            <w:r>
              <w:rPr>
                <w:sz w:val="17"/>
              </w:rPr>
              <w:t xml:space="preserve">Plaque NFIU</w:t>
            </w:r>
          </w:p>
        </w:tc>
        <w:tc>
          <w:tcPr>
            <w:shd w:val="clear" w:color="auto" w:fill="F5F7FB"/>
          </w:tcPr>
          <w:p>
            <w:pPr>
              <w:pStyle w:val="Compact"/>
            </w:pPr>
            <w:r>
              <w:rPr>
                <w:sz w:val="17"/>
              </w:rPr>
              <w:t xml:space="preserve">§ 16.8</w:t>
            </w:r>
          </w:p>
        </w:tc>
        <w:tc>
          <w:tcPr>
            <w:shd w:val="clear" w:color="auto" w:fill="F5F7FB"/>
          </w:tcPr>
          <w:p>
            <w:pPr>
              <w:pStyle w:val="Compact"/>
            </w:pPr>
            <w:r>
              <w:rPr>
                <w:sz w:val="17"/>
              </w:rPr>
              <w:t xml:space="preserve">H.9.1, H.27.1</w:t>
            </w:r>
          </w:p>
        </w:tc>
      </w:tr>
      <w:tr>
        <w:tc>
          <w:tcPr/>
          <w:p>
            <w:pPr>
              <w:pStyle w:val="Compact"/>
            </w:pPr>
            <w:r>
              <w:rPr>
                <w:sz w:val="17"/>
              </w:rPr>
              <w:t xml:space="preserve">§ 17</w:t>
            </w:r>
          </w:p>
        </w:tc>
        <w:tc>
          <w:tcPr/>
          <w:p>
            <w:pPr>
              <w:pStyle w:val="Compact"/>
            </w:pPr>
            <w:r>
              <w:rPr>
                <w:sz w:val="17"/>
              </w:rPr>
              <w:t xml:space="preserve">Cadastre fiscal</w:t>
            </w:r>
          </w:p>
        </w:tc>
        <w:tc>
          <w:tcPr/>
          <w:p>
            <w:pPr>
              <w:pStyle w:val="Compact"/>
            </w:pPr>
            <w:r>
              <w:rPr>
                <w:sz w:val="17"/>
              </w:rPr>
              <w:t xml:space="preserve">Ch. 17</w:t>
            </w:r>
          </w:p>
        </w:tc>
        <w:tc>
          <w:tcPr/>
          <w:p>
            <w:pPr>
              <w:pStyle w:val="Compact"/>
            </w:pPr>
            <w:r>
              <w:rPr>
                <w:sz w:val="17"/>
              </w:rPr>
              <w:t xml:space="preserve">H.9.2, H.9.3</w:t>
            </w:r>
          </w:p>
        </w:tc>
      </w:tr>
      <w:tr>
        <w:tc>
          <w:tcPr>
            <w:shd w:val="clear" w:color="auto" w:fill="F5F7FB"/>
          </w:tcPr>
          <w:p>
            <w:pPr>
              <w:pStyle w:val="Compact"/>
            </w:pPr>
            <w:r>
              <w:rPr>
                <w:sz w:val="17"/>
              </w:rPr>
              <w:t xml:space="preserve">§ 18</w:t>
            </w:r>
          </w:p>
        </w:tc>
        <w:tc>
          <w:tcPr>
            <w:shd w:val="clear" w:color="auto" w:fill="F5F7FB"/>
          </w:tcPr>
          <w:p>
            <w:pPr>
              <w:pStyle w:val="Compact"/>
            </w:pPr>
            <w:r>
              <w:rPr>
                <w:sz w:val="17"/>
              </w:rPr>
              <w:t xml:space="preserve">Paiement et règlement</w:t>
            </w:r>
          </w:p>
        </w:tc>
        <w:tc>
          <w:tcPr>
            <w:shd w:val="clear" w:color="auto" w:fill="F5F7FB"/>
          </w:tcPr>
          <w:p>
            <w:pPr>
              <w:pStyle w:val="Compact"/>
            </w:pPr>
            <w:r>
              <w:rPr>
                <w:sz w:val="17"/>
              </w:rPr>
              <w:t xml:space="preserve">Ch. 18</w:t>
            </w:r>
          </w:p>
        </w:tc>
        <w:tc>
          <w:tcPr>
            <w:shd w:val="clear" w:color="auto" w:fill="F5F7FB"/>
          </w:tcPr>
          <w:p>
            <w:pPr>
              <w:pStyle w:val="Compact"/>
            </w:pPr>
            <w:r>
              <w:rPr>
                <w:sz w:val="17"/>
              </w:rPr>
              <w:t xml:space="preserve">H.10.12</w:t>
            </w:r>
          </w:p>
        </w:tc>
      </w:tr>
      <w:tr>
        <w:tc>
          <w:tcPr/>
          <w:p>
            <w:pPr>
              <w:pStyle w:val="Compact"/>
            </w:pPr>
            <w:r>
              <w:rPr>
                <w:sz w:val="17"/>
              </w:rPr>
              <w:t xml:space="preserve">§ 18A</w:t>
            </w:r>
          </w:p>
        </w:tc>
        <w:tc>
          <w:tcPr/>
          <w:p>
            <w:pPr>
              <w:pStyle w:val="Compact"/>
            </w:pPr>
            <w:r>
              <w:rPr>
                <w:sz w:val="17"/>
              </w:rPr>
              <w:t xml:space="preserve">Paiement de bout en bout, preuve</w:t>
            </w:r>
          </w:p>
        </w:tc>
        <w:tc>
          <w:tcPr/>
          <w:p>
            <w:pPr>
              <w:pStyle w:val="Compact"/>
            </w:pPr>
            <w:r>
              <w:rPr>
                <w:sz w:val="17"/>
              </w:rPr>
              <w:t xml:space="preserve">§ 18.2 (partiel)</w:t>
            </w:r>
          </w:p>
        </w:tc>
        <w:tc>
          <w:tcPr/>
          <w:p>
            <w:pPr>
              <w:pStyle w:val="Compact"/>
            </w:pPr>
            <w:r>
              <w:rPr>
                <w:sz w:val="17"/>
              </w:rPr>
              <w:t xml:space="preserve">H.10.1 à H.10.10</w:t>
            </w:r>
          </w:p>
        </w:tc>
      </w:tr>
      <w:tr>
        <w:tc>
          <w:tcPr>
            <w:shd w:val="clear" w:color="auto" w:fill="F5F7FB"/>
          </w:tcPr>
          <w:p>
            <w:pPr>
              <w:pStyle w:val="Compact"/>
            </w:pPr>
            <w:r>
              <w:rPr>
                <w:sz w:val="17"/>
              </w:rPr>
              <w:t xml:space="preserve">§ 19</w:t>
            </w:r>
          </w:p>
        </w:tc>
        <w:tc>
          <w:tcPr>
            <w:shd w:val="clear" w:color="auto" w:fill="F5F7FB"/>
          </w:tcPr>
          <w:p>
            <w:pPr>
              <w:pStyle w:val="Compact"/>
            </w:pPr>
            <w:r>
              <w:rPr>
                <w:sz w:val="17"/>
              </w:rPr>
              <w:t xml:space="preserve">Quittance</w:t>
            </w:r>
          </w:p>
        </w:tc>
        <w:tc>
          <w:tcPr>
            <w:shd w:val="clear" w:color="auto" w:fill="F5F7FB"/>
          </w:tcPr>
          <w:p>
            <w:pPr>
              <w:pStyle w:val="Compact"/>
            </w:pPr>
            <w:r>
              <w:rPr>
                <w:sz w:val="17"/>
              </w:rPr>
              <w:t xml:space="preserve">Ch. 19</w:t>
            </w:r>
          </w:p>
        </w:tc>
        <w:tc>
          <w:tcPr>
            <w:shd w:val="clear" w:color="auto" w:fill="F5F7FB"/>
          </w:tcPr>
          <w:p>
            <w:pPr>
              <w:pStyle w:val="Compact"/>
            </w:pPr>
            <w:r>
              <w:rPr>
                <w:sz w:val="17"/>
              </w:rPr>
              <w:t xml:space="preserve">H.10.10</w:t>
            </w:r>
          </w:p>
        </w:tc>
      </w:tr>
      <w:tr>
        <w:tc>
          <w:tcPr/>
          <w:p>
            <w:pPr>
              <w:pStyle w:val="Compact"/>
            </w:pPr>
            <w:r>
              <w:rPr>
                <w:sz w:val="17"/>
              </w:rPr>
              <w:t xml:space="preserve">§ 19A</w:t>
            </w:r>
          </w:p>
        </w:tc>
        <w:tc>
          <w:tcPr/>
          <w:p>
            <w:pPr>
              <w:pStyle w:val="Compact"/>
            </w:pPr>
            <w:r>
              <w:rPr>
                <w:sz w:val="17"/>
              </w:rPr>
              <w:t xml:space="preserve">Titres et laissez-passer</w:t>
            </w:r>
          </w:p>
        </w:tc>
        <w:tc>
          <w:tcPr/>
          <w:p>
            <w:pPr>
              <w:pStyle w:val="Compact"/>
            </w:pPr>
            <w:r>
              <w:rPr>
                <w:sz w:val="17"/>
              </w:rPr>
              <w:t xml:space="preserve">§ 19.4 (partiel)</w:t>
            </w:r>
          </w:p>
        </w:tc>
        <w:tc>
          <w:tcPr/>
          <w:p>
            <w:pPr>
              <w:pStyle w:val="Compact"/>
            </w:pPr>
            <w:r>
              <w:rPr>
                <w:sz w:val="17"/>
              </w:rPr>
              <w:t xml:space="preserve">H.11</w:t>
            </w:r>
          </w:p>
        </w:tc>
      </w:tr>
      <w:tr>
        <w:tc>
          <w:tcPr>
            <w:shd w:val="clear" w:color="auto" w:fill="F5F7FB"/>
          </w:tcPr>
          <w:p>
            <w:pPr>
              <w:pStyle w:val="Compact"/>
            </w:pPr>
            <w:r>
              <w:rPr>
                <w:sz w:val="17"/>
              </w:rPr>
              <w:t xml:space="preserve">§ 20</w:t>
            </w:r>
          </w:p>
        </w:tc>
        <w:tc>
          <w:tcPr>
            <w:shd w:val="clear" w:color="auto" w:fill="F5F7FB"/>
          </w:tcPr>
          <w:p>
            <w:pPr>
              <w:pStyle w:val="Compact"/>
            </w:pPr>
            <w:r>
              <w:rPr>
                <w:sz w:val="17"/>
              </w:rPr>
              <w:t xml:space="preserve">Rapprochement, grand livre</w:t>
            </w:r>
          </w:p>
        </w:tc>
        <w:tc>
          <w:tcPr>
            <w:shd w:val="clear" w:color="auto" w:fill="F5F7FB"/>
          </w:tcPr>
          <w:p>
            <w:pPr>
              <w:pStyle w:val="Compact"/>
            </w:pPr>
            <w:r>
              <w:rPr>
                <w:sz w:val="17"/>
              </w:rPr>
              <w:t xml:space="preserve">Ch. 20</w:t>
            </w:r>
          </w:p>
        </w:tc>
        <w:tc>
          <w:tcPr>
            <w:shd w:val="clear" w:color="auto" w:fill="F5F7FB"/>
          </w:tcPr>
          <w:p>
            <w:pPr>
              <w:pStyle w:val="Compact"/>
            </w:pPr>
            <w:r>
              <w:rPr>
                <w:sz w:val="17"/>
              </w:rPr>
              <w:t xml:space="preserve">H.10.11</w:t>
            </w:r>
          </w:p>
        </w:tc>
      </w:tr>
      <w:tr>
        <w:tc>
          <w:tcPr/>
          <w:p>
            <w:pPr>
              <w:pStyle w:val="Compact"/>
            </w:pPr>
            <w:r>
              <w:rPr>
                <w:sz w:val="17"/>
              </w:rPr>
              <w:t xml:space="preserve">§ 21</w:t>
            </w:r>
          </w:p>
        </w:tc>
        <w:tc>
          <w:tcPr/>
          <w:p>
            <w:pPr>
              <w:pStyle w:val="Compact"/>
            </w:pPr>
            <w:r>
              <w:rPr>
                <w:sz w:val="17"/>
              </w:rPr>
              <w:t xml:space="preserve">Recouvrement</w:t>
            </w:r>
          </w:p>
        </w:tc>
        <w:tc>
          <w:tcPr/>
          <w:p>
            <w:pPr>
              <w:pStyle w:val="Compact"/>
            </w:pPr>
            <w:r>
              <w:rPr>
                <w:sz w:val="17"/>
              </w:rPr>
              <w:t xml:space="preserve">Ch. 21</w:t>
            </w:r>
          </w:p>
        </w:tc>
        <w:tc>
          <w:tcPr/>
          <w:p>
            <w:pPr>
              <w:pStyle w:val="Compact"/>
            </w:pPr>
            <w:r>
              <w:rPr>
                <w:sz w:val="17"/>
              </w:rPr>
              <w:t xml:space="preserve">H.12.1, H.12.2</w:t>
            </w:r>
          </w:p>
        </w:tc>
      </w:tr>
      <w:tr>
        <w:tc>
          <w:tcPr>
            <w:shd w:val="clear" w:color="auto" w:fill="F5F7FB"/>
          </w:tcPr>
          <w:p>
            <w:pPr>
              <w:pStyle w:val="Compact"/>
            </w:pPr>
            <w:r>
              <w:rPr>
                <w:sz w:val="17"/>
              </w:rPr>
              <w:t xml:space="preserve">§ 22</w:t>
            </w:r>
          </w:p>
        </w:tc>
        <w:tc>
          <w:tcPr>
            <w:shd w:val="clear" w:color="auto" w:fill="F5F7FB"/>
          </w:tcPr>
          <w:p>
            <w:pPr>
              <w:pStyle w:val="Compact"/>
            </w:pPr>
            <w:r>
              <w:rPr>
                <w:sz w:val="17"/>
              </w:rPr>
              <w:t xml:space="preserve">Recours</w:t>
            </w:r>
          </w:p>
        </w:tc>
        <w:tc>
          <w:tcPr>
            <w:shd w:val="clear" w:color="auto" w:fill="F5F7FB"/>
          </w:tcPr>
          <w:p>
            <w:pPr>
              <w:pStyle w:val="Compact"/>
            </w:pPr>
            <w:r>
              <w:rPr>
                <w:sz w:val="17"/>
              </w:rPr>
              <w:t xml:space="preserve">Ch. 22</w:t>
            </w:r>
          </w:p>
        </w:tc>
        <w:tc>
          <w:tcPr>
            <w:shd w:val="clear" w:color="auto" w:fill="F5F7FB"/>
          </w:tcPr>
          <w:p>
            <w:pPr>
              <w:pStyle w:val="Compact"/>
            </w:pPr>
            <w:r>
              <w:rPr>
                <w:sz w:val="17"/>
              </w:rPr>
              <w:t xml:space="preserve">H.12.3</w:t>
            </w:r>
          </w:p>
        </w:tc>
      </w:tr>
      <w:tr>
        <w:tc>
          <w:tcPr/>
          <w:p>
            <w:pPr>
              <w:pStyle w:val="Compact"/>
            </w:pPr>
            <w:r>
              <w:rPr>
                <w:sz w:val="17"/>
              </w:rPr>
              <w:t xml:space="preserve">§ 23</w:t>
            </w:r>
          </w:p>
        </w:tc>
        <w:tc>
          <w:tcPr/>
          <w:p>
            <w:pPr>
              <w:pStyle w:val="Compact"/>
            </w:pPr>
            <w:r>
              <w:rPr>
                <w:sz w:val="17"/>
              </w:rPr>
              <w:t xml:space="preserve">Agents d’IA</w:t>
            </w:r>
          </w:p>
        </w:tc>
        <w:tc>
          <w:tcPr/>
          <w:p>
            <w:pPr>
              <w:pStyle w:val="Compact"/>
            </w:pPr>
            <w:r>
              <w:rPr>
                <w:sz w:val="17"/>
              </w:rPr>
              <w:t xml:space="preserve">Ch. 23</w:t>
            </w:r>
          </w:p>
        </w:tc>
        <w:tc>
          <w:tcPr/>
          <w:p>
            <w:pPr>
              <w:pStyle w:val="Compact"/>
            </w:pPr>
            <w:r>
              <w:rPr>
                <w:sz w:val="17"/>
              </w:rPr>
              <w:t xml:space="preserve">H.13.1</w:t>
            </w:r>
          </w:p>
        </w:tc>
      </w:tr>
      <w:tr>
        <w:tc>
          <w:tcPr>
            <w:shd w:val="clear" w:color="auto" w:fill="F5F7FB"/>
          </w:tcPr>
          <w:p>
            <w:pPr>
              <w:pStyle w:val="Compact"/>
            </w:pPr>
            <w:r>
              <w:rPr>
                <w:sz w:val="17"/>
              </w:rPr>
              <w:t xml:space="preserve">§ 24</w:t>
            </w:r>
          </w:p>
        </w:tc>
        <w:tc>
          <w:tcPr>
            <w:shd w:val="clear" w:color="auto" w:fill="F5F7FB"/>
          </w:tcPr>
          <w:p>
            <w:pPr>
              <w:pStyle w:val="Compact"/>
            </w:pPr>
            <w:r>
              <w:rPr>
                <w:sz w:val="17"/>
              </w:rPr>
              <w:t xml:space="preserve">Apprentissage</w:t>
            </w:r>
          </w:p>
        </w:tc>
        <w:tc>
          <w:tcPr>
            <w:shd w:val="clear" w:color="auto" w:fill="F5F7FB"/>
          </w:tcPr>
          <w:p>
            <w:pPr>
              <w:pStyle w:val="Compact"/>
            </w:pPr>
            <w:r>
              <w:rPr>
                <w:sz w:val="17"/>
              </w:rPr>
              <w:t xml:space="preserve">Ch. 24</w:t>
            </w:r>
          </w:p>
        </w:tc>
        <w:tc>
          <w:tcPr>
            <w:shd w:val="clear" w:color="auto" w:fill="F5F7FB"/>
          </w:tcPr>
          <w:p>
            <w:pPr>
              <w:pStyle w:val="Compact"/>
            </w:pPr>
            <w:r>
              <w:rPr>
                <w:sz w:val="17"/>
              </w:rPr>
              <w:t xml:space="preserve">H.13.2</w:t>
            </w:r>
          </w:p>
        </w:tc>
      </w:tr>
      <w:tr>
        <w:tc>
          <w:tcPr/>
          <w:p>
            <w:pPr>
              <w:pStyle w:val="Compact"/>
            </w:pPr>
            <w:r>
              <w:rPr>
                <w:sz w:val="17"/>
              </w:rPr>
              <w:t xml:space="preserve">§ 25</w:t>
            </w:r>
          </w:p>
        </w:tc>
        <w:tc>
          <w:tcPr/>
          <w:p>
            <w:pPr>
              <w:pStyle w:val="Compact"/>
            </w:pPr>
            <w:r>
              <w:rPr>
                <w:sz w:val="17"/>
              </w:rPr>
              <w:t xml:space="preserve">Fraude</w:t>
            </w:r>
          </w:p>
        </w:tc>
        <w:tc>
          <w:tcPr/>
          <w:p>
            <w:pPr>
              <w:pStyle w:val="Compact"/>
            </w:pPr>
            <w:r>
              <w:rPr>
                <w:sz w:val="17"/>
              </w:rPr>
              <w:t xml:space="preserve">Ch. 25</w:t>
            </w:r>
          </w:p>
        </w:tc>
        <w:tc>
          <w:tcPr/>
          <w:p>
            <w:pPr>
              <w:pStyle w:val="Compact"/>
            </w:pPr>
            <w:r>
              <w:rPr>
                <w:sz w:val="17"/>
              </w:rPr>
              <w:t xml:space="preserve">H.13.3</w:t>
            </w:r>
          </w:p>
        </w:tc>
      </w:tr>
      <w:tr>
        <w:tc>
          <w:tcPr>
            <w:shd w:val="clear" w:color="auto" w:fill="F5F7FB"/>
          </w:tcPr>
          <w:p>
            <w:pPr>
              <w:pStyle w:val="Compact"/>
            </w:pPr>
            <w:r>
              <w:rPr>
                <w:sz w:val="17"/>
              </w:rPr>
              <w:t xml:space="preserve">§ 26</w:t>
            </w:r>
          </w:p>
        </w:tc>
        <w:tc>
          <w:tcPr>
            <w:shd w:val="clear" w:color="auto" w:fill="F5F7FB"/>
          </w:tcPr>
          <w:p>
            <w:pPr>
              <w:pStyle w:val="Compact"/>
            </w:pPr>
            <w:r>
              <w:rPr>
                <w:sz w:val="17"/>
              </w:rPr>
              <w:t xml:space="preserve">Tableaux de bord</w:t>
            </w:r>
          </w:p>
        </w:tc>
        <w:tc>
          <w:tcPr>
            <w:shd w:val="clear" w:color="auto" w:fill="F5F7FB"/>
          </w:tcPr>
          <w:p>
            <w:pPr>
              <w:pStyle w:val="Compact"/>
            </w:pPr>
            <w:r>
              <w:rPr>
                <w:sz w:val="17"/>
              </w:rPr>
              <w:t xml:space="preserve">Ch. 26</w:t>
            </w:r>
          </w:p>
        </w:tc>
        <w:tc>
          <w:tcPr>
            <w:shd w:val="clear" w:color="auto" w:fill="F5F7FB"/>
          </w:tcPr>
          <w:p>
            <w:pPr>
              <w:pStyle w:val="Compact"/>
            </w:pPr>
            <w:r>
              <w:rPr>
                <w:sz w:val="17"/>
              </w:rPr>
              <w:t xml:space="preserve">H.14</w:t>
            </w:r>
          </w:p>
        </w:tc>
      </w:tr>
      <w:tr>
        <w:tc>
          <w:tcPr/>
          <w:p>
            <w:pPr>
              <w:pStyle w:val="Compact"/>
            </w:pPr>
            <w:r>
              <w:rPr>
                <w:sz w:val="17"/>
              </w:rPr>
              <w:t xml:space="preserve">§ 27</w:t>
            </w:r>
          </w:p>
        </w:tc>
        <w:tc>
          <w:tcPr/>
          <w:p>
            <w:pPr>
              <w:pStyle w:val="Compact"/>
            </w:pPr>
            <w:r>
              <w:rPr>
                <w:sz w:val="17"/>
              </w:rPr>
              <w:t xml:space="preserve">Affectation</w:t>
            </w:r>
          </w:p>
        </w:tc>
        <w:tc>
          <w:tcPr/>
          <w:p>
            <w:pPr>
              <w:pStyle w:val="Compact"/>
            </w:pPr>
            <w:r>
              <w:rPr>
                <w:sz w:val="17"/>
              </w:rPr>
              <w:t xml:space="preserve">Ch. 27</w:t>
            </w:r>
          </w:p>
        </w:tc>
        <w:tc>
          <w:tcPr/>
          <w:p>
            <w:pPr>
              <w:pStyle w:val="Compact"/>
            </w:pPr>
            <w:r>
              <w:rPr>
                <w:sz w:val="17"/>
              </w:rPr>
              <w:t xml:space="preserve">H.15.1</w:t>
            </w:r>
          </w:p>
        </w:tc>
      </w:tr>
      <w:tr>
        <w:tc>
          <w:tcPr>
            <w:shd w:val="clear" w:color="auto" w:fill="F5F7FB"/>
          </w:tcPr>
          <w:p>
            <w:pPr>
              <w:pStyle w:val="Compact"/>
            </w:pPr>
            <w:r>
              <w:rPr>
                <w:sz w:val="17"/>
              </w:rPr>
              <w:t xml:space="preserve">§ 27A</w:t>
            </w:r>
          </w:p>
        </w:tc>
        <w:tc>
          <w:tcPr>
            <w:shd w:val="clear" w:color="auto" w:fill="F5F7FB"/>
          </w:tcPr>
          <w:p>
            <w:pPr>
              <w:pStyle w:val="Compact"/>
            </w:pPr>
            <w:r>
              <w:rPr>
                <w:sz w:val="17"/>
              </w:rPr>
              <w:t xml:space="preserve">CALCU</w:t>
            </w:r>
          </w:p>
        </w:tc>
        <w:tc>
          <w:tcPr>
            <w:shd w:val="clear" w:color="auto" w:fill="F5F7FB"/>
          </w:tcPr>
          <w:p>
            <w:pPr>
              <w:pStyle w:val="Compact"/>
            </w:pPr>
            <w:r>
              <w:rPr>
                <w:sz w:val="17"/>
              </w:rPr>
              <w:t xml:space="preserve">§ 11.2 (module 80)</w:t>
            </w:r>
          </w:p>
        </w:tc>
        <w:tc>
          <w:tcPr>
            <w:shd w:val="clear" w:color="auto" w:fill="F5F7FB"/>
          </w:tcPr>
          <w:p>
            <w:pPr>
              <w:pStyle w:val="Compact"/>
            </w:pPr>
            <w:r>
              <w:rPr>
                <w:sz w:val="17"/>
              </w:rPr>
              <w:t xml:space="preserve">H.15.2</w:t>
            </w:r>
          </w:p>
        </w:tc>
      </w:tr>
      <w:tr>
        <w:tc>
          <w:tcPr/>
          <w:p>
            <w:pPr>
              <w:pStyle w:val="Compact"/>
            </w:pPr>
            <w:r>
              <w:rPr>
                <w:sz w:val="17"/>
              </w:rPr>
              <w:t xml:space="preserve">§ 28</w:t>
            </w:r>
          </w:p>
        </w:tc>
        <w:tc>
          <w:tcPr/>
          <w:p>
            <w:pPr>
              <w:pStyle w:val="Compact"/>
            </w:pPr>
            <w:r>
              <w:rPr>
                <w:sz w:val="17"/>
              </w:rPr>
              <w:t xml:space="preserve">Architecture technique</w:t>
            </w:r>
          </w:p>
        </w:tc>
        <w:tc>
          <w:tcPr/>
          <w:p>
            <w:pPr>
              <w:pStyle w:val="Compact"/>
            </w:pPr>
            <w:r>
              <w:rPr>
                <w:sz w:val="17"/>
              </w:rPr>
              <w:t xml:space="preserve">Ch. 28</w:t>
            </w:r>
          </w:p>
        </w:tc>
        <w:tc>
          <w:tcPr/>
          <w:p>
            <w:pPr>
              <w:pStyle w:val="Compact"/>
            </w:pPr>
            <w:r>
              <w:rPr>
                <w:sz w:val="17"/>
              </w:rPr>
              <w:t xml:space="preserve">H.16.1, H.16.2, H.16.5</w:t>
            </w:r>
          </w:p>
        </w:tc>
      </w:tr>
      <w:tr>
        <w:tc>
          <w:tcPr>
            <w:shd w:val="clear" w:color="auto" w:fill="F5F7FB"/>
          </w:tcPr>
          <w:p>
            <w:pPr>
              <w:pStyle w:val="Compact"/>
            </w:pPr>
            <w:r>
              <w:rPr>
                <w:sz w:val="17"/>
              </w:rPr>
              <w:t xml:space="preserve">§ 29</w:t>
            </w:r>
          </w:p>
        </w:tc>
        <w:tc>
          <w:tcPr>
            <w:shd w:val="clear" w:color="auto" w:fill="F5F7FB"/>
          </w:tcPr>
          <w:p>
            <w:pPr>
              <w:pStyle w:val="Compact"/>
            </w:pPr>
            <w:r>
              <w:rPr>
                <w:sz w:val="17"/>
              </w:rPr>
              <w:t xml:space="preserve">Modèle de données</w:t>
            </w:r>
          </w:p>
        </w:tc>
        <w:tc>
          <w:tcPr>
            <w:shd w:val="clear" w:color="auto" w:fill="F5F7FB"/>
          </w:tcPr>
          <w:p>
            <w:pPr>
              <w:pStyle w:val="Compact"/>
            </w:pPr>
            <w:r>
              <w:rPr>
                <w:sz w:val="17"/>
              </w:rPr>
              <w:t xml:space="preserve">Ch. 29</w:t>
            </w:r>
          </w:p>
        </w:tc>
        <w:tc>
          <w:tcPr>
            <w:shd w:val="clear" w:color="auto" w:fill="F5F7FB"/>
          </w:tcPr>
          <w:p>
            <w:pPr>
              <w:pStyle w:val="Compact"/>
            </w:pPr>
            <w:r>
              <w:rPr>
                <w:sz w:val="17"/>
              </w:rPr>
              <w:t xml:space="preserve">H.16.3</w:t>
            </w:r>
          </w:p>
        </w:tc>
      </w:tr>
      <w:tr>
        <w:tc>
          <w:tcPr/>
          <w:p>
            <w:pPr>
              <w:pStyle w:val="Compact"/>
            </w:pPr>
            <w:r>
              <w:rPr>
                <w:sz w:val="17"/>
              </w:rPr>
              <w:t xml:space="preserve">§ 30</w:t>
            </w:r>
          </w:p>
        </w:tc>
        <w:tc>
          <w:tcPr/>
          <w:p>
            <w:pPr>
              <w:pStyle w:val="Compact"/>
            </w:pPr>
            <w:r>
              <w:rPr>
                <w:sz w:val="17"/>
              </w:rPr>
              <w:t xml:space="preserve">API</w:t>
            </w:r>
          </w:p>
        </w:tc>
        <w:tc>
          <w:tcPr/>
          <w:p>
            <w:pPr>
              <w:pStyle w:val="Compact"/>
            </w:pPr>
            <w:r>
              <w:rPr>
                <w:sz w:val="17"/>
              </w:rPr>
              <w:t xml:space="preserve">Ch. 30</w:t>
            </w:r>
          </w:p>
        </w:tc>
        <w:tc>
          <w:tcPr/>
          <w:p>
            <w:pPr>
              <w:pStyle w:val="Compact"/>
            </w:pPr>
            <w:r>
              <w:rPr>
                <w:sz w:val="17"/>
              </w:rPr>
              <w:t xml:space="preserve">H.16.4</w:t>
            </w:r>
          </w:p>
        </w:tc>
      </w:tr>
      <w:tr>
        <w:tc>
          <w:tcPr>
            <w:shd w:val="clear" w:color="auto" w:fill="F5F7FB"/>
          </w:tcPr>
          <w:p>
            <w:pPr>
              <w:pStyle w:val="Compact"/>
            </w:pPr>
            <w:r>
              <w:rPr>
                <w:sz w:val="17"/>
              </w:rPr>
              <w:t xml:space="preserve">§ 31</w:t>
            </w:r>
          </w:p>
        </w:tc>
        <w:tc>
          <w:tcPr>
            <w:shd w:val="clear" w:color="auto" w:fill="F5F7FB"/>
          </w:tcPr>
          <w:p>
            <w:pPr>
              <w:pStyle w:val="Compact"/>
            </w:pPr>
            <w:r>
              <w:rPr>
                <w:sz w:val="17"/>
              </w:rPr>
              <w:t xml:space="preserve">Sécurité</w:t>
            </w:r>
          </w:p>
        </w:tc>
        <w:tc>
          <w:tcPr>
            <w:shd w:val="clear" w:color="auto" w:fill="F5F7FB"/>
          </w:tcPr>
          <w:p>
            <w:pPr>
              <w:pStyle w:val="Compact"/>
            </w:pPr>
            <w:r>
              <w:rPr>
                <w:sz w:val="17"/>
              </w:rPr>
              <w:t xml:space="preserve">Ch. 31</w:t>
            </w:r>
          </w:p>
        </w:tc>
        <w:tc>
          <w:tcPr>
            <w:shd w:val="clear" w:color="auto" w:fill="F5F7FB"/>
          </w:tcPr>
          <w:p>
            <w:pPr>
              <w:pStyle w:val="Compact"/>
            </w:pPr>
            <w:r>
              <w:rPr>
                <w:sz w:val="17"/>
              </w:rPr>
              <w:t xml:space="preserve">H.16.2</w:t>
            </w:r>
          </w:p>
        </w:tc>
      </w:tr>
      <w:tr>
        <w:tc>
          <w:tcPr/>
          <w:p>
            <w:pPr>
              <w:pStyle w:val="Compact"/>
            </w:pPr>
            <w:r>
              <w:rPr>
                <w:sz w:val="17"/>
              </w:rPr>
              <w:t xml:space="preserve">§ 32</w:t>
            </w:r>
          </w:p>
        </w:tc>
        <w:tc>
          <w:tcPr/>
          <w:p>
            <w:pPr>
              <w:pStyle w:val="Compact"/>
            </w:pPr>
            <w:r>
              <w:rPr>
                <w:sz w:val="17"/>
              </w:rPr>
              <w:t xml:space="preserve">Gouvernance des données</w:t>
            </w:r>
          </w:p>
        </w:tc>
        <w:tc>
          <w:tcPr/>
          <w:p>
            <w:pPr>
              <w:pStyle w:val="Compact"/>
            </w:pPr>
            <w:r>
              <w:rPr>
                <w:sz w:val="17"/>
              </w:rPr>
              <w:t xml:space="preserve">Ch. 32</w:t>
            </w:r>
          </w:p>
        </w:tc>
        <w:tc>
          <w:tcPr/>
          <w:p>
            <w:pPr>
              <w:pStyle w:val="Compact"/>
            </w:pPr>
            <w:r>
              <w:rPr>
                <w:sz w:val="17"/>
              </w:rPr>
              <w:t xml:space="preserve">—</w:t>
            </w:r>
          </w:p>
        </w:tc>
      </w:tr>
      <w:tr>
        <w:tc>
          <w:tcPr>
            <w:shd w:val="clear" w:color="auto" w:fill="F5F7FB"/>
          </w:tcPr>
          <w:p>
            <w:pPr>
              <w:pStyle w:val="Compact"/>
            </w:pPr>
            <w:r>
              <w:rPr>
                <w:sz w:val="17"/>
              </w:rPr>
              <w:t xml:space="preserve">§ 33</w:t>
            </w:r>
          </w:p>
        </w:tc>
        <w:tc>
          <w:tcPr>
            <w:shd w:val="clear" w:color="auto" w:fill="F5F7FB"/>
          </w:tcPr>
          <w:p>
            <w:pPr>
              <w:pStyle w:val="Compact"/>
            </w:pPr>
            <w:r>
              <w:rPr>
                <w:sz w:val="17"/>
              </w:rPr>
              <w:t xml:space="preserve">Hébergement</w:t>
            </w:r>
          </w:p>
        </w:tc>
        <w:tc>
          <w:tcPr>
            <w:shd w:val="clear" w:color="auto" w:fill="F5F7FB"/>
          </w:tcPr>
          <w:p>
            <w:pPr>
              <w:pStyle w:val="Compact"/>
            </w:pPr>
            <w:r>
              <w:rPr>
                <w:sz w:val="17"/>
              </w:rPr>
              <w:t xml:space="preserve">Ch. 33</w:t>
            </w:r>
          </w:p>
        </w:tc>
        <w:tc>
          <w:tcPr>
            <w:shd w:val="clear" w:color="auto" w:fill="F5F7FB"/>
          </w:tcPr>
          <w:p>
            <w:pPr>
              <w:pStyle w:val="Compact"/>
            </w:pPr>
            <w:r>
              <w:rPr>
                <w:sz w:val="17"/>
              </w:rPr>
              <w:t xml:space="preserve">H.16.2 (réversibilité annuelle)</w:t>
            </w:r>
          </w:p>
        </w:tc>
      </w:tr>
      <w:tr>
        <w:tc>
          <w:tcPr/>
          <w:p>
            <w:pPr>
              <w:pStyle w:val="Compact"/>
            </w:pPr>
            <w:r>
              <w:rPr>
                <w:sz w:val="17"/>
              </w:rPr>
              <w:t xml:space="preserve">§ 34</w:t>
            </w:r>
          </w:p>
        </w:tc>
        <w:tc>
          <w:tcPr/>
          <w:p>
            <w:pPr>
              <w:pStyle w:val="Compact"/>
            </w:pPr>
            <w:r>
              <w:rPr>
                <w:sz w:val="17"/>
              </w:rPr>
              <w:t xml:space="preserve">Feuille de route</w:t>
            </w:r>
          </w:p>
        </w:tc>
        <w:tc>
          <w:tcPr/>
          <w:p>
            <w:pPr>
              <w:pStyle w:val="Compact"/>
            </w:pPr>
            <w:r>
              <w:rPr>
                <w:sz w:val="17"/>
              </w:rPr>
              <w:t xml:space="preserve">Ch. 34</w:t>
            </w:r>
          </w:p>
        </w:tc>
        <w:tc>
          <w:tcPr/>
          <w:p>
            <w:pPr>
              <w:pStyle w:val="Compact"/>
            </w:pPr>
            <w:r>
              <w:rPr>
                <w:sz w:val="17"/>
              </w:rPr>
              <w:t xml:space="preserve">H.17.1 à H.17.3</w:t>
            </w:r>
          </w:p>
        </w:tc>
      </w:tr>
      <w:tr>
        <w:tc>
          <w:tcPr>
            <w:shd w:val="clear" w:color="auto" w:fill="F5F7FB"/>
          </w:tcPr>
          <w:p>
            <w:pPr>
              <w:pStyle w:val="Compact"/>
            </w:pPr>
            <w:r>
              <w:rPr>
                <w:sz w:val="17"/>
              </w:rPr>
              <w:t xml:space="preserve">§ 35</w:t>
            </w:r>
          </w:p>
        </w:tc>
        <w:tc>
          <w:tcPr>
            <w:shd w:val="clear" w:color="auto" w:fill="F5F7FB"/>
          </w:tcPr>
          <w:p>
            <w:pPr>
              <w:pStyle w:val="Compact"/>
            </w:pPr>
            <w:r>
              <w:rPr>
                <w:sz w:val="17"/>
              </w:rPr>
              <w:t xml:space="preserve">Effectifs</w:t>
            </w:r>
          </w:p>
        </w:tc>
        <w:tc>
          <w:tcPr>
            <w:shd w:val="clear" w:color="auto" w:fill="F5F7FB"/>
          </w:tcPr>
          <w:p>
            <w:pPr>
              <w:pStyle w:val="Compact"/>
            </w:pPr>
            <w:r>
              <w:rPr>
                <w:sz w:val="17"/>
              </w:rPr>
              <w:t xml:space="preserve">Ch. 35</w:t>
            </w:r>
          </w:p>
        </w:tc>
        <w:tc>
          <w:tcPr>
            <w:shd w:val="clear" w:color="auto" w:fill="F5F7FB"/>
          </w:tcPr>
          <w:p>
            <w:pPr>
              <w:pStyle w:val="Compact"/>
            </w:pPr>
            <w:r>
              <w:rPr>
                <w:sz w:val="17"/>
              </w:rPr>
              <w:t xml:space="preserve">H.17.4</w:t>
            </w:r>
          </w:p>
        </w:tc>
      </w:tr>
      <w:tr>
        <w:tc>
          <w:tcPr/>
          <w:p>
            <w:pPr>
              <w:pStyle w:val="Compact"/>
            </w:pPr>
            <w:r>
              <w:rPr>
                <w:sz w:val="17"/>
              </w:rPr>
              <w:t xml:space="preserve">§ 36</w:t>
            </w:r>
          </w:p>
        </w:tc>
        <w:tc>
          <w:tcPr/>
          <w:p>
            <w:pPr>
              <w:pStyle w:val="Compact"/>
            </w:pPr>
            <w:r>
              <w:rPr>
                <w:sz w:val="17"/>
              </w:rPr>
              <w:t xml:space="preserve">Gouvernance</w:t>
            </w:r>
          </w:p>
        </w:tc>
        <w:tc>
          <w:tcPr/>
          <w:p>
            <w:pPr>
              <w:pStyle w:val="Compact"/>
            </w:pPr>
            <w:r>
              <w:rPr>
                <w:sz w:val="17"/>
              </w:rPr>
              <w:t xml:space="preserve">Ch. 36</w:t>
            </w:r>
          </w:p>
        </w:tc>
        <w:tc>
          <w:tcPr/>
          <w:p>
            <w:pPr>
              <w:pStyle w:val="Compact"/>
            </w:pPr>
            <w:r>
              <w:rPr>
                <w:sz w:val="17"/>
              </w:rPr>
              <w:t xml:space="preserve">H.17.5</w:t>
            </w:r>
          </w:p>
        </w:tc>
      </w:tr>
      <w:tr>
        <w:tc>
          <w:tcPr>
            <w:shd w:val="clear" w:color="auto" w:fill="F5F7FB"/>
          </w:tcPr>
          <w:p>
            <w:pPr>
              <w:pStyle w:val="Compact"/>
            </w:pPr>
            <w:r>
              <w:rPr>
                <w:sz w:val="17"/>
              </w:rPr>
              <w:t xml:space="preserve">§ 37</w:t>
            </w:r>
          </w:p>
        </w:tc>
        <w:tc>
          <w:tcPr>
            <w:shd w:val="clear" w:color="auto" w:fill="F5F7FB"/>
          </w:tcPr>
          <w:p>
            <w:pPr>
              <w:pStyle w:val="Compact"/>
            </w:pPr>
            <w:r>
              <w:rPr>
                <w:sz w:val="17"/>
              </w:rPr>
              <w:t xml:space="preserve">Passation</w:t>
            </w:r>
          </w:p>
        </w:tc>
        <w:tc>
          <w:tcPr>
            <w:shd w:val="clear" w:color="auto" w:fill="F5F7FB"/>
          </w:tcPr>
          <w:p>
            <w:pPr>
              <w:pStyle w:val="Compact"/>
            </w:pPr>
            <w:r>
              <w:rPr>
                <w:sz w:val="17"/>
              </w:rPr>
              <w:t xml:space="preserve">Ch. 37</w:t>
            </w:r>
          </w:p>
        </w:tc>
        <w:tc>
          <w:tcPr>
            <w:shd w:val="clear" w:color="auto" w:fill="F5F7FB"/>
          </w:tcPr>
          <w:p>
            <w:pPr>
              <w:pStyle w:val="Compact"/>
            </w:pPr>
            <w:r>
              <w:rPr>
                <w:sz w:val="17"/>
              </w:rPr>
              <w:t xml:space="preserve">H.18.2</w:t>
            </w:r>
          </w:p>
        </w:tc>
      </w:tr>
      <w:tr>
        <w:tc>
          <w:tcPr/>
          <w:p>
            <w:pPr>
              <w:pStyle w:val="Compact"/>
            </w:pPr>
            <w:r>
              <w:rPr>
                <w:sz w:val="17"/>
              </w:rPr>
              <w:t xml:space="preserve">§ 37A</w:t>
            </w:r>
          </w:p>
        </w:tc>
        <w:tc>
          <w:tcPr/>
          <w:p>
            <w:pPr>
              <w:pStyle w:val="Compact"/>
            </w:pPr>
            <w:r>
              <w:rPr>
                <w:sz w:val="17"/>
              </w:rPr>
              <w:t xml:space="preserve">Financement et partage 10/10/10/70</w:t>
            </w:r>
          </w:p>
        </w:tc>
        <w:tc>
          <w:tcPr/>
          <w:p>
            <w:pPr>
              <w:pStyle w:val="Compact"/>
            </w:pPr>
            <w:r>
              <w:rPr>
                <w:sz w:val="17"/>
              </w:rPr>
              <w:t xml:space="preserve">§ 37.2 (arbitré)</w:t>
            </w:r>
          </w:p>
        </w:tc>
        <w:tc>
          <w:tcPr/>
          <w:p>
            <w:pPr>
              <w:pStyle w:val="Compact"/>
            </w:pPr>
            <w:r>
              <w:rPr>
                <w:sz w:val="17"/>
              </w:rPr>
              <w:t xml:space="preserve">H.18.1, H.29.1</w:t>
            </w:r>
          </w:p>
        </w:tc>
      </w:tr>
      <w:tr>
        <w:tc>
          <w:tcPr>
            <w:shd w:val="clear" w:color="auto" w:fill="F5F7FB"/>
          </w:tcPr>
          <w:p>
            <w:pPr>
              <w:pStyle w:val="Compact"/>
            </w:pPr>
            <w:r>
              <w:rPr>
                <w:sz w:val="17"/>
              </w:rPr>
              <w:t xml:space="preserve">§ 38</w:t>
            </w:r>
          </w:p>
        </w:tc>
        <w:tc>
          <w:tcPr>
            <w:shd w:val="clear" w:color="auto" w:fill="F5F7FB"/>
          </w:tcPr>
          <w:p>
            <w:pPr>
              <w:pStyle w:val="Compact"/>
            </w:pPr>
            <w:r>
              <w:rPr>
                <w:sz w:val="17"/>
              </w:rPr>
              <w:t xml:space="preserve">Modèle financier</w:t>
            </w:r>
          </w:p>
        </w:tc>
        <w:tc>
          <w:tcPr>
            <w:shd w:val="clear" w:color="auto" w:fill="F5F7FB"/>
          </w:tcPr>
          <w:p>
            <w:pPr>
              <w:pStyle w:val="Compact"/>
            </w:pPr>
            <w:r>
              <w:rPr>
                <w:sz w:val="17"/>
              </w:rPr>
              <w:t xml:space="preserve">Ch. 38</w:t>
            </w:r>
          </w:p>
        </w:tc>
        <w:tc>
          <w:tcPr>
            <w:shd w:val="clear" w:color="auto" w:fill="F5F7FB"/>
          </w:tcPr>
          <w:p>
            <w:pPr>
              <w:pStyle w:val="Compact"/>
            </w:pPr>
            <w:r>
              <w:rPr>
                <w:sz w:val="17"/>
              </w:rPr>
              <w:t xml:space="preserve">H.18.3</w:t>
            </w:r>
          </w:p>
        </w:tc>
      </w:tr>
      <w:tr>
        <w:tc>
          <w:tcPr/>
          <w:p>
            <w:pPr>
              <w:pStyle w:val="Compact"/>
            </w:pPr>
            <w:r>
              <w:rPr>
                <w:sz w:val="17"/>
              </w:rPr>
              <w:t xml:space="preserve">§ 39</w:t>
            </w:r>
          </w:p>
        </w:tc>
        <w:tc>
          <w:tcPr/>
          <w:p>
            <w:pPr>
              <w:pStyle w:val="Compact"/>
            </w:pPr>
            <w:r>
              <w:rPr>
                <w:sz w:val="17"/>
              </w:rPr>
              <w:t xml:space="preserve">Indicateurs</w:t>
            </w:r>
          </w:p>
        </w:tc>
        <w:tc>
          <w:tcPr/>
          <w:p>
            <w:pPr>
              <w:pStyle w:val="Compact"/>
            </w:pPr>
            <w:r>
              <w:rPr>
                <w:sz w:val="17"/>
              </w:rPr>
              <w:t xml:space="preserve">Ch. 39</w:t>
            </w:r>
          </w:p>
        </w:tc>
        <w:tc>
          <w:tcPr/>
          <w:p>
            <w:pPr>
              <w:pStyle w:val="Compact"/>
            </w:pPr>
            <w:r>
              <w:rPr>
                <w:sz w:val="17"/>
              </w:rPr>
              <w:t xml:space="preserve">H.19</w:t>
            </w:r>
          </w:p>
        </w:tc>
      </w:tr>
      <w:tr>
        <w:tc>
          <w:tcPr>
            <w:shd w:val="clear" w:color="auto" w:fill="F5F7FB"/>
          </w:tcPr>
          <w:p>
            <w:pPr>
              <w:pStyle w:val="Compact"/>
            </w:pPr>
            <w:r>
              <w:rPr>
                <w:sz w:val="17"/>
              </w:rPr>
              <w:t xml:space="preserve">§ 40</w:t>
            </w:r>
          </w:p>
        </w:tc>
        <w:tc>
          <w:tcPr>
            <w:shd w:val="clear" w:color="auto" w:fill="F5F7FB"/>
          </w:tcPr>
          <w:p>
            <w:pPr>
              <w:pStyle w:val="Compact"/>
            </w:pPr>
            <w:r>
              <w:rPr>
                <w:sz w:val="17"/>
              </w:rPr>
              <w:t xml:space="preserve">Risques</w:t>
            </w:r>
          </w:p>
        </w:tc>
        <w:tc>
          <w:tcPr>
            <w:shd w:val="clear" w:color="auto" w:fill="F5F7FB"/>
          </w:tcPr>
          <w:p>
            <w:pPr>
              <w:pStyle w:val="Compact"/>
            </w:pPr>
            <w:r>
              <w:rPr>
                <w:sz w:val="17"/>
              </w:rPr>
              <w:t xml:space="preserve">Ch. 40</w:t>
            </w:r>
          </w:p>
        </w:tc>
        <w:tc>
          <w:tcPr>
            <w:shd w:val="clear" w:color="auto" w:fill="F5F7FB"/>
          </w:tcPr>
          <w:p>
            <w:pPr>
              <w:pStyle w:val="Compact"/>
            </w:pPr>
            <w:r>
              <w:rPr>
                <w:sz w:val="17"/>
              </w:rPr>
              <w:t xml:space="preserve">H.20</w:t>
            </w:r>
          </w:p>
        </w:tc>
      </w:tr>
      <w:tr>
        <w:tc>
          <w:tcPr/>
          <w:p>
            <w:pPr>
              <w:pStyle w:val="Compact"/>
            </w:pPr>
            <w:r>
              <w:rPr>
                <w:sz w:val="17"/>
              </w:rPr>
              <w:t xml:space="preserve">§ 41</w:t>
            </w:r>
          </w:p>
        </w:tc>
        <w:tc>
          <w:tcPr/>
          <w:p>
            <w:pPr>
              <w:pStyle w:val="Compact"/>
            </w:pPr>
            <w:r>
              <w:rPr>
                <w:sz w:val="17"/>
              </w:rPr>
              <w:t xml:space="preserve">Critères d’acceptation</w:t>
            </w:r>
          </w:p>
        </w:tc>
        <w:tc>
          <w:tcPr/>
          <w:p>
            <w:pPr>
              <w:pStyle w:val="Compact"/>
            </w:pPr>
            <w:r>
              <w:rPr>
                <w:sz w:val="17"/>
              </w:rPr>
              <w:t xml:space="preserve">Ch. 41</w:t>
            </w:r>
          </w:p>
        </w:tc>
        <w:tc>
          <w:tcPr/>
          <w:p>
            <w:pPr>
              <w:pStyle w:val="Compact"/>
            </w:pPr>
            <w:r>
              <w:rPr>
                <w:sz w:val="17"/>
              </w:rPr>
              <w:t xml:space="preserve">H.21</w:t>
            </w:r>
          </w:p>
        </w:tc>
      </w:tr>
      <w:tr>
        <w:tc>
          <w:tcPr>
            <w:shd w:val="clear" w:color="auto" w:fill="F5F7FB"/>
          </w:tcPr>
          <w:p>
            <w:pPr>
              <w:pStyle w:val="Compact"/>
            </w:pPr>
            <w:r>
              <w:rPr>
                <w:sz w:val="17"/>
              </w:rPr>
              <w:t xml:space="preserve">§ 42</w:t>
            </w:r>
          </w:p>
        </w:tc>
        <w:tc>
          <w:tcPr>
            <w:shd w:val="clear" w:color="auto" w:fill="F5F7FB"/>
          </w:tcPr>
          <w:p>
            <w:pPr>
              <w:pStyle w:val="Compact"/>
            </w:pPr>
            <w:r>
              <w:rPr>
                <w:sz w:val="17"/>
              </w:rPr>
              <w:t xml:space="preserve">Carnet de développement</w:t>
            </w:r>
          </w:p>
        </w:tc>
        <w:tc>
          <w:tcPr>
            <w:shd w:val="clear" w:color="auto" w:fill="F5F7FB"/>
          </w:tcPr>
          <w:p>
            <w:pPr>
              <w:pStyle w:val="Compact"/>
            </w:pPr>
            <w:r>
              <w:rPr>
                <w:sz w:val="17"/>
              </w:rPr>
              <w:t xml:space="preserve">Ch. 42</w:t>
            </w:r>
          </w:p>
        </w:tc>
        <w:tc>
          <w:tcPr>
            <w:shd w:val="clear" w:color="auto" w:fill="F5F7FB"/>
          </w:tcPr>
          <w:p>
            <w:pPr>
              <w:pStyle w:val="Compact"/>
            </w:pPr>
            <w:r>
              <w:rPr>
                <w:sz w:val="17"/>
              </w:rPr>
              <w:t xml:space="preserve">H.22.1, H.22.2</w:t>
            </w:r>
          </w:p>
        </w:tc>
      </w:tr>
      <w:tr>
        <w:tc>
          <w:tcPr/>
          <w:p>
            <w:pPr>
              <w:pStyle w:val="Compact"/>
            </w:pPr>
            <w:r>
              <w:rPr>
                <w:sz w:val="17"/>
              </w:rPr>
              <w:t xml:space="preserve">§ 43</w:t>
            </w:r>
          </w:p>
        </w:tc>
        <w:tc>
          <w:tcPr/>
          <w:p>
            <w:pPr>
              <w:pStyle w:val="Compact"/>
            </w:pPr>
            <w:r>
              <w:rPr>
                <w:sz w:val="17"/>
              </w:rPr>
              <w:t xml:space="preserve">Plan de livraison</w:t>
            </w:r>
          </w:p>
        </w:tc>
        <w:tc>
          <w:tcPr/>
          <w:p>
            <w:pPr>
              <w:pStyle w:val="Compact"/>
            </w:pPr>
            <w:r>
              <w:rPr>
                <w:sz w:val="17"/>
              </w:rPr>
              <w:t xml:space="preserve">Ch. 43</w:t>
            </w:r>
          </w:p>
        </w:tc>
        <w:tc>
          <w:tcPr/>
          <w:p>
            <w:pPr>
              <w:pStyle w:val="Compact"/>
            </w:pPr>
            <w:r>
              <w:rPr>
                <w:sz w:val="17"/>
              </w:rPr>
              <w:t xml:space="preserve">H.22.3</w:t>
            </w:r>
          </w:p>
        </w:tc>
      </w:tr>
      <w:tr>
        <w:tc>
          <w:tcPr>
            <w:shd w:val="clear" w:color="auto" w:fill="F5F7FB"/>
          </w:tcPr>
          <w:p>
            <w:pPr>
              <w:pStyle w:val="Compact"/>
            </w:pPr>
            <w:r>
              <w:rPr>
                <w:sz w:val="17"/>
              </w:rPr>
              <w:t xml:space="preserve">§ 44</w:t>
            </w:r>
          </w:p>
        </w:tc>
        <w:tc>
          <w:tcPr>
            <w:shd w:val="clear" w:color="auto" w:fill="F5F7FB"/>
          </w:tcPr>
          <w:p>
            <w:pPr>
              <w:pStyle w:val="Compact"/>
            </w:pPr>
            <w:r>
              <w:rPr>
                <w:sz w:val="17"/>
              </w:rPr>
              <w:t xml:space="preserve">Tests</w:t>
            </w:r>
          </w:p>
        </w:tc>
        <w:tc>
          <w:tcPr>
            <w:shd w:val="clear" w:color="auto" w:fill="F5F7FB"/>
          </w:tcPr>
          <w:p>
            <w:pPr>
              <w:pStyle w:val="Compact"/>
            </w:pPr>
            <w:r>
              <w:rPr>
                <w:sz w:val="17"/>
              </w:rPr>
              <w:t xml:space="preserve">Ch. 44</w:t>
            </w:r>
          </w:p>
        </w:tc>
        <w:tc>
          <w:tcPr>
            <w:shd w:val="clear" w:color="auto" w:fill="F5F7FB"/>
          </w:tcPr>
          <w:p>
            <w:pPr>
              <w:pStyle w:val="Compact"/>
            </w:pPr>
            <w:r>
              <w:rPr>
                <w:sz w:val="17"/>
              </w:rPr>
              <w:t xml:space="preserve">H.23</w:t>
            </w:r>
          </w:p>
        </w:tc>
      </w:tr>
      <w:tr>
        <w:tc>
          <w:tcPr/>
          <w:p>
            <w:pPr>
              <w:pStyle w:val="Compact"/>
            </w:pPr>
            <w:r>
              <w:rPr>
                <w:sz w:val="17"/>
              </w:rPr>
              <w:t xml:space="preserve">§ 45</w:t>
            </w:r>
          </w:p>
        </w:tc>
        <w:tc>
          <w:tcPr/>
          <w:p>
            <w:pPr>
              <w:pStyle w:val="Compact"/>
            </w:pPr>
            <w:r>
              <w:rPr>
                <w:sz w:val="17"/>
              </w:rPr>
              <w:t xml:space="preserve">Pilote</w:t>
            </w:r>
          </w:p>
        </w:tc>
        <w:tc>
          <w:tcPr/>
          <w:p>
            <w:pPr>
              <w:pStyle w:val="Compact"/>
            </w:pPr>
            <w:r>
              <w:rPr>
                <w:sz w:val="17"/>
              </w:rPr>
              <w:t xml:space="preserve">Ch. 45</w:t>
            </w:r>
          </w:p>
        </w:tc>
        <w:tc>
          <w:tcPr/>
          <w:p>
            <w:pPr>
              <w:pStyle w:val="Compact"/>
            </w:pPr>
            <w:r>
              <w:rPr>
                <w:sz w:val="17"/>
              </w:rPr>
              <w:t xml:space="preserve">H.24</w:t>
            </w:r>
          </w:p>
        </w:tc>
      </w:tr>
      <w:tr>
        <w:tc>
          <w:tcPr>
            <w:shd w:val="clear" w:color="auto" w:fill="F5F7FB"/>
          </w:tcPr>
          <w:p>
            <w:pPr>
              <w:pStyle w:val="Compact"/>
            </w:pPr>
            <w:r>
              <w:rPr>
                <w:sz w:val="17"/>
              </w:rPr>
              <w:t xml:space="preserve">§ 46</w:t>
            </w:r>
          </w:p>
        </w:tc>
        <w:tc>
          <w:tcPr>
            <w:shd w:val="clear" w:color="auto" w:fill="F5F7FB"/>
          </w:tcPr>
          <w:p>
            <w:pPr>
              <w:pStyle w:val="Compact"/>
            </w:pPr>
            <w:r>
              <w:rPr>
                <w:sz w:val="17"/>
              </w:rPr>
              <w:t xml:space="preserve">100 premiers jours</w:t>
            </w:r>
          </w:p>
        </w:tc>
        <w:tc>
          <w:tcPr>
            <w:shd w:val="clear" w:color="auto" w:fill="F5F7FB"/>
          </w:tcPr>
          <w:p>
            <w:pPr>
              <w:pStyle w:val="Compact"/>
            </w:pPr>
            <w:r>
              <w:rPr>
                <w:sz w:val="17"/>
              </w:rPr>
              <w:t xml:space="preserve">Ch. 46</w:t>
            </w:r>
          </w:p>
        </w:tc>
        <w:tc>
          <w:tcPr>
            <w:shd w:val="clear" w:color="auto" w:fill="F5F7FB"/>
          </w:tcPr>
          <w:p>
            <w:pPr>
              <w:pStyle w:val="Compact"/>
            </w:pPr>
            <w:r>
              <w:rPr>
                <w:sz w:val="17"/>
              </w:rPr>
              <w:t xml:space="preserve">H.25</w:t>
            </w:r>
          </w:p>
        </w:tc>
      </w:tr>
      <w:tr>
        <w:tc>
          <w:tcPr/>
          <w:p>
            <w:pPr>
              <w:pStyle w:val="Compact"/>
            </w:pPr>
            <w:r>
              <w:rPr>
                <w:sz w:val="17"/>
              </w:rPr>
              <w:t xml:space="preserve">§ 47</w:t>
            </w:r>
          </w:p>
        </w:tc>
        <w:tc>
          <w:tcPr/>
          <w:p>
            <w:pPr>
              <w:pStyle w:val="Compact"/>
            </w:pPr>
            <w:r>
              <w:rPr>
                <w:sz w:val="17"/>
              </w:rPr>
              <w:t xml:space="preserve">Décisions</w:t>
            </w:r>
          </w:p>
        </w:tc>
        <w:tc>
          <w:tcPr/>
          <w:p>
            <w:pPr>
              <w:pStyle w:val="Compact"/>
            </w:pPr>
            <w:r>
              <w:rPr>
                <w:sz w:val="17"/>
              </w:rPr>
              <w:t xml:space="preserve">Ch. 47 ; conclusion</w:t>
            </w:r>
          </w:p>
        </w:tc>
        <w:tc>
          <w:tcPr/>
          <w:p>
            <w:pPr>
              <w:pStyle w:val="Compact"/>
            </w:pPr>
            <w:r>
              <w:rPr>
                <w:sz w:val="17"/>
              </w:rPr>
              <w:t xml:space="preserve">H.26</w:t>
            </w:r>
          </w:p>
        </w:tc>
      </w:tr>
      <w:tr>
        <w:tc>
          <w:tcPr>
            <w:shd w:val="clear" w:color="auto" w:fill="F5F7FB"/>
          </w:tcPr>
          <w:p>
            <w:pPr>
              <w:pStyle w:val="Compact"/>
            </w:pPr>
            <w:r>
              <w:rPr>
                <w:sz w:val="17"/>
              </w:rPr>
              <w:t xml:space="preserve">Annexe A</w:t>
            </w:r>
          </w:p>
        </w:tc>
        <w:tc>
          <w:tcPr>
            <w:shd w:val="clear" w:color="auto" w:fill="F5F7FB"/>
          </w:tcPr>
          <w:p>
            <w:pPr>
              <w:pStyle w:val="Compact"/>
            </w:pPr>
            <w:r>
              <w:rPr>
                <w:sz w:val="17"/>
              </w:rPr>
              <w:t xml:space="preserve">Sources</w:t>
            </w:r>
          </w:p>
        </w:tc>
        <w:tc>
          <w:tcPr>
            <w:shd w:val="clear" w:color="auto" w:fill="F5F7FB"/>
          </w:tcPr>
          <w:p>
            <w:pPr>
              <w:pStyle w:val="Compact"/>
            </w:pPr>
            <w:r>
              <w:rPr>
                <w:sz w:val="17"/>
              </w:rPr>
              <w:t xml:space="preserve">Annexe A</w:t>
            </w:r>
          </w:p>
        </w:tc>
        <w:tc>
          <w:tcPr>
            <w:shd w:val="clear" w:color="auto" w:fill="F5F7FB"/>
          </w:tcPr>
          <w:p>
            <w:pPr>
              <w:pStyle w:val="Compact"/>
            </w:pPr>
            <w:r>
              <w:rPr>
                <w:sz w:val="17"/>
              </w:rPr>
              <w:t xml:space="preserve">—</w:t>
            </w:r>
          </w:p>
        </w:tc>
      </w:tr>
      <w:tr>
        <w:tc>
          <w:tcPr/>
          <w:p>
            <w:pPr>
              <w:pStyle w:val="Compact"/>
            </w:pPr>
            <w:r>
              <w:rPr>
                <w:sz w:val="17"/>
              </w:rPr>
              <w:t xml:space="preserve">Annexe B</w:t>
            </w:r>
          </w:p>
        </w:tc>
        <w:tc>
          <w:tcPr/>
          <w:p>
            <w:pPr>
              <w:pStyle w:val="Compact"/>
            </w:pPr>
            <w:r>
              <w:rPr>
                <w:sz w:val="17"/>
              </w:rPr>
              <w:t xml:space="preserve">29 points à vérifier</w:t>
            </w:r>
          </w:p>
        </w:tc>
        <w:tc>
          <w:tcPr/>
          <w:p>
            <w:pPr>
              <w:pStyle w:val="Compact"/>
            </w:pPr>
            <w:r>
              <w:rPr>
                <w:sz w:val="17"/>
              </w:rPr>
              <w:t xml:space="preserve">§ 6.13 (J1–J16)</w:t>
            </w:r>
          </w:p>
        </w:tc>
        <w:tc>
          <w:tcPr/>
          <w:p>
            <w:pPr>
              <w:pStyle w:val="Compact"/>
            </w:pPr>
            <w:r>
              <w:rPr>
                <w:sz w:val="17"/>
              </w:rPr>
              <w:t xml:space="preserve">H.3.2 (J17–J30)</w:t>
            </w:r>
          </w:p>
        </w:tc>
      </w:tr>
      <w:tr>
        <w:tc>
          <w:tcPr>
            <w:shd w:val="clear" w:color="auto" w:fill="F5F7FB"/>
          </w:tcPr>
          <w:p>
            <w:pPr>
              <w:pStyle w:val="Compact"/>
            </w:pPr>
            <w:r>
              <w:rPr>
                <w:sz w:val="17"/>
              </w:rPr>
              <w:t xml:space="preserve">Annexe C</w:t>
            </w:r>
          </w:p>
        </w:tc>
        <w:tc>
          <w:tcPr>
            <w:shd w:val="clear" w:color="auto" w:fill="F5F7FB"/>
          </w:tcPr>
          <w:p>
            <w:pPr>
              <w:pStyle w:val="Compact"/>
            </w:pPr>
            <w:r>
              <w:rPr>
                <w:sz w:val="17"/>
              </w:rPr>
              <w:t xml:space="preserve">Glossaire</w:t>
            </w:r>
          </w:p>
        </w:tc>
        <w:tc>
          <w:tcPr>
            <w:shd w:val="clear" w:color="auto" w:fill="F5F7FB"/>
          </w:tcPr>
          <w:p>
            <w:pPr>
              <w:pStyle w:val="Compact"/>
            </w:pPr>
            <w:r>
              <w:rPr>
                <w:sz w:val="17"/>
              </w:rPr>
              <w:t xml:space="preserve">Annexe C</w:t>
            </w:r>
          </w:p>
        </w:tc>
        <w:tc>
          <w:tcPr>
            <w:shd w:val="clear" w:color="auto" w:fill="F5F7FB"/>
          </w:tcPr>
          <w:p>
            <w:pPr>
              <w:pStyle w:val="Compact"/>
            </w:pPr>
            <w:r>
              <w:rPr>
                <w:sz w:val="17"/>
              </w:rPr>
              <w:t xml:space="preserve">—</w:t>
            </w:r>
          </w:p>
        </w:tc>
      </w:tr>
      <w:tr>
        <w:tc>
          <w:tcPr/>
          <w:p>
            <w:pPr>
              <w:pStyle w:val="Compact"/>
            </w:pPr>
            <w:r>
              <w:rPr>
                <w:sz w:val="17"/>
              </w:rPr>
              <w:t xml:space="preserve">Annexe D</w:t>
            </w:r>
          </w:p>
        </w:tc>
        <w:tc>
          <w:tcPr/>
          <w:p>
            <w:pPr>
              <w:pStyle w:val="Compact"/>
            </w:pPr>
            <w:r>
              <w:rPr>
                <w:sz w:val="17"/>
              </w:rPr>
              <w:t xml:space="preserve">Traçabilité</w:t>
            </w:r>
          </w:p>
        </w:tc>
        <w:tc>
          <w:tcPr/>
          <w:p>
            <w:pPr>
              <w:pStyle w:val="Compact"/>
            </w:pPr>
            <w:r>
              <w:rPr>
                <w:sz w:val="17"/>
              </w:rPr>
              <w:t xml:space="preserve">Annexe D</w:t>
            </w:r>
          </w:p>
        </w:tc>
        <w:tc>
          <w:tcPr/>
          <w:p>
            <w:pPr>
              <w:pStyle w:val="Compact"/>
            </w:pPr>
            <w:r>
              <w:rPr>
                <w:sz w:val="17"/>
              </w:rPr>
              <w:t xml:space="preserve">H.30</w:t>
            </w:r>
          </w:p>
        </w:tc>
      </w:tr>
    </w:tbl>
    <w:bookmarkEnd w:id="578"/>
    <w:bookmarkStart w:id="579" w:name="X81b690551c6927e0406985b5be0e79ebebb14d6"/>
    <w:p>
      <w:pPr>
        <w:pStyle w:val="Heading3"/>
      </w:pPr>
      <w:r>
        <w:t xml:space="preserve">H.30.2 Spécification fonctionnelle v1.2 → document maître v3.0</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Section source</w:t>
            </w:r>
          </w:p>
        </w:tc>
        <w:tc>
          <w:tcPr>
            <w:shd w:val="clear" w:color="auto" w:fill="232C6B"/>
          </w:tcPr>
          <w:p>
            <w:pPr>
              <w:pStyle w:val="Compact"/>
            </w:pPr>
            <w:r>
              <w:rPr>
                <w:b/>
                <w:color w:val="FFFFFF"/>
                <w:sz w:val="17"/>
              </w:rPr>
              <w:t xml:space="preserve">Destination v3.0</w:t>
            </w:r>
          </w:p>
        </w:tc>
        <w:tc>
          <w:tcPr>
            <w:shd w:val="clear" w:color="auto" w:fill="232C6B"/>
          </w:tcPr>
          <w:p>
            <w:pPr>
              <w:pStyle w:val="Compact"/>
            </w:pPr>
            <w:r>
              <w:rPr>
                <w:b/>
                <w:color w:val="FFFFFF"/>
                <w:sz w:val="17"/>
              </w:rPr>
              <w:t xml:space="preserve">Complément Annexe H</w:t>
            </w:r>
          </w:p>
        </w:tc>
      </w:tr>
      <w:tr>
        <w:tc>
          <w:tcPr/>
          <w:p>
            <w:pPr>
              <w:pStyle w:val="Compact"/>
            </w:pPr>
            <w:r>
              <w:rPr>
                <w:sz w:val="17"/>
              </w:rPr>
              <w:t xml:space="preserve">En-tête (81 modules, 16 verticales)</w:t>
            </w:r>
          </w:p>
        </w:tc>
        <w:tc>
          <w:tcPr/>
          <w:p>
            <w:pPr>
              <w:pStyle w:val="Compact"/>
            </w:pPr>
            <w:r>
              <w:rPr>
                <w:sz w:val="17"/>
              </w:rPr>
              <w:t xml:space="preserve">Couverture ; Annexe D</w:t>
            </w:r>
          </w:p>
        </w:tc>
        <w:tc>
          <w:tcPr/>
          <w:p>
            <w:pPr>
              <w:pStyle w:val="Compact"/>
            </w:pPr>
            <w:r>
              <w:rPr>
                <w:sz w:val="17"/>
              </w:rPr>
              <w:t xml:space="preserve">ARB-47</w:t>
            </w:r>
          </w:p>
        </w:tc>
      </w:tr>
      <w:tr>
        <w:tc>
          <w:tcPr>
            <w:shd w:val="clear" w:color="auto" w:fill="F5F7FB"/>
          </w:tcPr>
          <w:p>
            <w:pPr>
              <w:pStyle w:val="Compact"/>
            </w:pPr>
            <w:r>
              <w:rPr>
                <w:sz w:val="17"/>
              </w:rPr>
              <w:t xml:space="preserve">Partie I — principes communs</w:t>
            </w:r>
          </w:p>
        </w:tc>
        <w:tc>
          <w:tcPr>
            <w:shd w:val="clear" w:color="auto" w:fill="F5F7FB"/>
          </w:tcPr>
          <w:p>
            <w:pPr>
              <w:pStyle w:val="Compact"/>
            </w:pPr>
            <w:r>
              <w:rPr>
                <w:sz w:val="17"/>
              </w:rPr>
              <w:t xml:space="preserve">§ 3.4 (P1 à P14)</w:t>
            </w:r>
          </w:p>
        </w:tc>
        <w:tc>
          <w:tcPr>
            <w:shd w:val="clear" w:color="auto" w:fill="F5F7FB"/>
          </w:tcPr>
          <w:p>
            <w:pPr>
              <w:pStyle w:val="Compact"/>
            </w:pPr>
            <w:r>
              <w:rPr>
                <w:sz w:val="17"/>
              </w:rPr>
              <w:t xml:space="preserve">H.28 (préambule)</w:t>
            </w:r>
          </w:p>
        </w:tc>
      </w:tr>
      <w:tr>
        <w:tc>
          <w:tcPr/>
          <w:p>
            <w:pPr>
              <w:pStyle w:val="Compact"/>
            </w:pPr>
            <w:r>
              <w:rPr>
                <w:sz w:val="17"/>
              </w:rPr>
              <w:t xml:space="preserve">Partie II — synthèse modules, domaines, releases</w:t>
            </w:r>
          </w:p>
        </w:tc>
        <w:tc>
          <w:tcPr/>
          <w:p>
            <w:pPr>
              <w:pStyle w:val="Compact"/>
            </w:pPr>
            <w:r>
              <w:rPr>
                <w:sz w:val="17"/>
              </w:rPr>
              <w:t xml:space="preserve">§ 11.1–11.2 ; § 43</w:t>
            </w:r>
          </w:p>
        </w:tc>
        <w:tc>
          <w:tcPr/>
          <w:p>
            <w:pPr>
              <w:pStyle w:val="Compact"/>
            </w:pPr>
            <w:r>
              <w:rPr>
                <w:sz w:val="17"/>
              </w:rPr>
              <w:t xml:space="preserve">H.5.2, H.28 (colonne Release)</w:t>
            </w:r>
          </w:p>
        </w:tc>
      </w:tr>
      <w:tr>
        <w:tc>
          <w:tcPr>
            <w:shd w:val="clear" w:color="auto" w:fill="F5F7FB"/>
          </w:tcPr>
          <w:p>
            <w:pPr>
              <w:pStyle w:val="Compact"/>
            </w:pPr>
            <w:r>
              <w:rPr>
                <w:sz w:val="17"/>
              </w:rPr>
              <w:t xml:space="preserve">Modules 1 à 7 (identité et contribuable)</w:t>
            </w:r>
          </w:p>
        </w:tc>
        <w:tc>
          <w:tcPr>
            <w:shd w:val="clear" w:color="auto" w:fill="F5F7FB"/>
          </w:tcPr>
          <w:p>
            <w:pPr>
              <w:pStyle w:val="Compact"/>
            </w:pPr>
            <w:r>
              <w:rPr>
                <w:sz w:val="17"/>
              </w:rPr>
              <w:t xml:space="preserve">Ch. 9, 13 ; § 11.1</w:t>
            </w:r>
          </w:p>
        </w:tc>
        <w:tc>
          <w:tcPr>
            <w:shd w:val="clear" w:color="auto" w:fill="F5F7FB"/>
          </w:tcPr>
          <w:p>
            <w:pPr>
              <w:pStyle w:val="Compact"/>
            </w:pPr>
            <w:r>
              <w:rPr>
                <w:sz w:val="17"/>
              </w:rPr>
              <w:t xml:space="preserve">H.4.1, H.28</w:t>
            </w:r>
          </w:p>
        </w:tc>
      </w:tr>
      <w:tr>
        <w:tc>
          <w:tcPr/>
          <w:p>
            <w:pPr>
              <w:pStyle w:val="Compact"/>
            </w:pPr>
            <w:r>
              <w:rPr>
                <w:sz w:val="17"/>
              </w:rPr>
              <w:t xml:space="preserve">Modules 8, 9 (territoire et immobilier)</w:t>
            </w:r>
          </w:p>
        </w:tc>
        <w:tc>
          <w:tcPr/>
          <w:p>
            <w:pPr>
              <w:pStyle w:val="Compact"/>
            </w:pPr>
            <w:r>
              <w:rPr>
                <w:sz w:val="17"/>
              </w:rPr>
              <w:t xml:space="preserve">Ch. 16, 17</w:t>
            </w:r>
          </w:p>
        </w:tc>
        <w:tc>
          <w:tcPr/>
          <w:p>
            <w:pPr>
              <w:pStyle w:val="Compact"/>
            </w:pPr>
            <w:r>
              <w:rPr>
                <w:sz w:val="17"/>
              </w:rPr>
              <w:t xml:space="preserve">H.9, H.28</w:t>
            </w:r>
          </w:p>
        </w:tc>
      </w:tr>
      <w:tr>
        <w:tc>
          <w:tcPr>
            <w:shd w:val="clear" w:color="auto" w:fill="F5F7FB"/>
          </w:tcPr>
          <w:p>
            <w:pPr>
              <w:pStyle w:val="Compact"/>
            </w:pPr>
            <w:r>
              <w:rPr>
                <w:sz w:val="17"/>
              </w:rPr>
              <w:t xml:space="preserve">Modules 10 à 25 (recettes sectorielles)</w:t>
            </w:r>
          </w:p>
        </w:tc>
        <w:tc>
          <w:tcPr>
            <w:shd w:val="clear" w:color="auto" w:fill="F5F7FB"/>
          </w:tcPr>
          <w:p>
            <w:pPr>
              <w:pStyle w:val="Compact"/>
            </w:pPr>
            <w:r>
              <w:rPr>
                <w:sz w:val="17"/>
              </w:rPr>
              <w:t xml:space="preserve">Ch. 7, 8 ; § 11.1</w:t>
            </w:r>
          </w:p>
        </w:tc>
        <w:tc>
          <w:tcPr>
            <w:shd w:val="clear" w:color="auto" w:fill="F5F7FB"/>
          </w:tcPr>
          <w:p>
            <w:pPr>
              <w:pStyle w:val="Compact"/>
            </w:pPr>
            <w:r>
              <w:rPr>
                <w:sz w:val="17"/>
              </w:rPr>
              <w:t xml:space="preserve">H.27, H.28</w:t>
            </w:r>
          </w:p>
        </w:tc>
      </w:tr>
      <w:tr>
        <w:tc>
          <w:tcPr/>
          <w:p>
            <w:pPr>
              <w:pStyle w:val="Compact"/>
            </w:pPr>
            <w:r>
              <w:rPr>
                <w:sz w:val="17"/>
              </w:rPr>
              <w:t xml:space="preserve">Modules 26, 27 (droit et liquidation)</w:t>
            </w:r>
          </w:p>
        </w:tc>
        <w:tc>
          <w:tcPr/>
          <w:p>
            <w:pPr>
              <w:pStyle w:val="Compact"/>
            </w:pPr>
            <w:r>
              <w:rPr>
                <w:sz w:val="17"/>
              </w:rPr>
              <w:t xml:space="preserve">Ch. 6 ; § 6.12</w:t>
            </w:r>
          </w:p>
        </w:tc>
        <w:tc>
          <w:tcPr/>
          <w:p>
            <w:pPr>
              <w:pStyle w:val="Compact"/>
            </w:pPr>
            <w:r>
              <w:rPr>
                <w:sz w:val="17"/>
              </w:rPr>
              <w:t xml:space="preserve">H.3.1, H.28</w:t>
            </w:r>
          </w:p>
        </w:tc>
      </w:tr>
      <w:tr>
        <w:tc>
          <w:tcPr>
            <w:shd w:val="clear" w:color="auto" w:fill="F5F7FB"/>
          </w:tcPr>
          <w:p>
            <w:pPr>
              <w:pStyle w:val="Compact"/>
            </w:pPr>
            <w:r>
              <w:rPr>
                <w:sz w:val="17"/>
              </w:rPr>
              <w:t xml:space="preserve">Modules 28 à 31 (paiement et preuve)</w:t>
            </w:r>
          </w:p>
        </w:tc>
        <w:tc>
          <w:tcPr>
            <w:shd w:val="clear" w:color="auto" w:fill="F5F7FB"/>
          </w:tcPr>
          <w:p>
            <w:pPr>
              <w:pStyle w:val="Compact"/>
            </w:pPr>
            <w:r>
              <w:rPr>
                <w:sz w:val="17"/>
              </w:rPr>
              <w:t xml:space="preserve">Ch. 18 à 20</w:t>
            </w:r>
          </w:p>
        </w:tc>
        <w:tc>
          <w:tcPr>
            <w:shd w:val="clear" w:color="auto" w:fill="F5F7FB"/>
          </w:tcPr>
          <w:p>
            <w:pPr>
              <w:pStyle w:val="Compact"/>
            </w:pPr>
            <w:r>
              <w:rPr>
                <w:sz w:val="17"/>
              </w:rPr>
              <w:t xml:space="preserve">H.10, H.28</w:t>
            </w:r>
          </w:p>
        </w:tc>
      </w:tr>
      <w:tr>
        <w:tc>
          <w:tcPr/>
          <w:p>
            <w:pPr>
              <w:pStyle w:val="Compact"/>
            </w:pPr>
            <w:r>
              <w:rPr>
                <w:sz w:val="17"/>
              </w:rPr>
              <w:t xml:space="preserve">Modules 32 à 37 (recouvrement, contrôle, recours)</w:t>
            </w:r>
          </w:p>
        </w:tc>
        <w:tc>
          <w:tcPr/>
          <w:p>
            <w:pPr>
              <w:pStyle w:val="Compact"/>
            </w:pPr>
            <w:r>
              <w:rPr>
                <w:sz w:val="17"/>
              </w:rPr>
              <w:t xml:space="preserve">Ch. 21, 22</w:t>
            </w:r>
          </w:p>
        </w:tc>
        <w:tc>
          <w:tcPr/>
          <w:p>
            <w:pPr>
              <w:pStyle w:val="Compact"/>
            </w:pPr>
            <w:r>
              <w:rPr>
                <w:sz w:val="17"/>
              </w:rPr>
              <w:t xml:space="preserve">H.12, H.28</w:t>
            </w:r>
          </w:p>
        </w:tc>
      </w:tr>
      <w:tr>
        <w:tc>
          <w:tcPr>
            <w:shd w:val="clear" w:color="auto" w:fill="F5F7FB"/>
          </w:tcPr>
          <w:p>
            <w:pPr>
              <w:pStyle w:val="Compact"/>
            </w:pPr>
            <w:r>
              <w:rPr>
                <w:sz w:val="17"/>
              </w:rPr>
              <w:t xml:space="preserve">Modules 38, 39 (documents, communication)</w:t>
            </w:r>
          </w:p>
        </w:tc>
        <w:tc>
          <w:tcPr>
            <w:shd w:val="clear" w:color="auto" w:fill="F5F7FB"/>
          </w:tcPr>
          <w:p>
            <w:pPr>
              <w:pStyle w:val="Compact"/>
            </w:pPr>
            <w:r>
              <w:rPr>
                <w:sz w:val="17"/>
              </w:rPr>
              <w:t xml:space="preserve">§ 11.4</w:t>
            </w:r>
          </w:p>
        </w:tc>
        <w:tc>
          <w:tcPr>
            <w:shd w:val="clear" w:color="auto" w:fill="F5F7FB"/>
          </w:tcPr>
          <w:p>
            <w:pPr>
              <w:pStyle w:val="Compact"/>
            </w:pPr>
            <w:r>
              <w:rPr>
                <w:sz w:val="17"/>
              </w:rPr>
              <w:t xml:space="preserve">H.28</w:t>
            </w:r>
          </w:p>
        </w:tc>
      </w:tr>
      <w:tr>
        <w:tc>
          <w:tcPr/>
          <w:p>
            <w:pPr>
              <w:pStyle w:val="Compact"/>
            </w:pPr>
            <w:r>
              <w:rPr>
                <w:sz w:val="17"/>
              </w:rPr>
              <w:t xml:space="preserve">Module 40 (intégrité)</w:t>
            </w:r>
          </w:p>
        </w:tc>
        <w:tc>
          <w:tcPr/>
          <w:p>
            <w:pPr>
              <w:pStyle w:val="Compact"/>
            </w:pPr>
            <w:r>
              <w:rPr>
                <w:sz w:val="17"/>
              </w:rPr>
              <w:t xml:space="preserve">Ch. 25</w:t>
            </w:r>
          </w:p>
        </w:tc>
        <w:tc>
          <w:tcPr/>
          <w:p>
            <w:pPr>
              <w:pStyle w:val="Compact"/>
            </w:pPr>
            <w:r>
              <w:rPr>
                <w:sz w:val="17"/>
              </w:rPr>
              <w:t xml:space="preserve">H.13.3, H.28</w:t>
            </w:r>
          </w:p>
        </w:tc>
      </w:tr>
      <w:tr>
        <w:tc>
          <w:tcPr>
            <w:shd w:val="clear" w:color="auto" w:fill="F5F7FB"/>
          </w:tcPr>
          <w:p>
            <w:pPr>
              <w:pStyle w:val="Compact"/>
            </w:pPr>
            <w:r>
              <w:rPr>
                <w:sz w:val="17"/>
              </w:rPr>
              <w:t xml:space="preserve">Modules 41 à 48 (pilotage et décision)</w:t>
            </w:r>
          </w:p>
        </w:tc>
        <w:tc>
          <w:tcPr>
            <w:shd w:val="clear" w:color="auto" w:fill="F5F7FB"/>
          </w:tcPr>
          <w:p>
            <w:pPr>
              <w:pStyle w:val="Compact"/>
            </w:pPr>
            <w:r>
              <w:rPr>
                <w:sz w:val="17"/>
              </w:rPr>
              <w:t xml:space="preserve">Ch. 26, 27</w:t>
            </w:r>
          </w:p>
        </w:tc>
        <w:tc>
          <w:tcPr>
            <w:shd w:val="clear" w:color="auto" w:fill="F5F7FB"/>
          </w:tcPr>
          <w:p>
            <w:pPr>
              <w:pStyle w:val="Compact"/>
            </w:pPr>
            <w:r>
              <w:rPr>
                <w:sz w:val="17"/>
              </w:rPr>
              <w:t xml:space="preserve">H.14, H.28</w:t>
            </w:r>
          </w:p>
        </w:tc>
      </w:tr>
      <w:tr>
        <w:tc>
          <w:tcPr/>
          <w:p>
            <w:pPr>
              <w:pStyle w:val="Compact"/>
            </w:pPr>
            <w:r>
              <w:rPr>
                <w:sz w:val="17"/>
              </w:rPr>
              <w:t xml:space="preserve">Modules 49, 50 (IA, apprentissage)</w:t>
            </w:r>
          </w:p>
        </w:tc>
        <w:tc>
          <w:tcPr/>
          <w:p>
            <w:pPr>
              <w:pStyle w:val="Compact"/>
            </w:pPr>
            <w:r>
              <w:rPr>
                <w:sz w:val="17"/>
              </w:rPr>
              <w:t xml:space="preserve">Ch. 23, 24</w:t>
            </w:r>
          </w:p>
        </w:tc>
        <w:tc>
          <w:tcPr/>
          <w:p>
            <w:pPr>
              <w:pStyle w:val="Compact"/>
            </w:pPr>
            <w:r>
              <w:rPr>
                <w:sz w:val="17"/>
              </w:rPr>
              <w:t xml:space="preserve">H.13, H.28</w:t>
            </w:r>
          </w:p>
        </w:tc>
      </w:tr>
      <w:tr>
        <w:tc>
          <w:tcPr>
            <w:shd w:val="clear" w:color="auto" w:fill="F5F7FB"/>
          </w:tcPr>
          <w:p>
            <w:pPr>
              <w:pStyle w:val="Compact"/>
            </w:pPr>
            <w:r>
              <w:rPr>
                <w:sz w:val="17"/>
              </w:rPr>
              <w:t xml:space="preserve">Modules 51 à 55 (plateforme et accès)</w:t>
            </w:r>
          </w:p>
        </w:tc>
        <w:tc>
          <w:tcPr>
            <w:shd w:val="clear" w:color="auto" w:fill="F5F7FB"/>
          </w:tcPr>
          <w:p>
            <w:pPr>
              <w:pStyle w:val="Compact"/>
            </w:pPr>
            <w:r>
              <w:rPr>
                <w:sz w:val="17"/>
              </w:rPr>
              <w:t xml:space="preserve">Ch. 12, 28, 31</w:t>
            </w:r>
          </w:p>
        </w:tc>
        <w:tc>
          <w:tcPr>
            <w:shd w:val="clear" w:color="auto" w:fill="F5F7FB"/>
          </w:tcPr>
          <w:p>
            <w:pPr>
              <w:pStyle w:val="Compact"/>
            </w:pPr>
            <w:r>
              <w:rPr>
                <w:sz w:val="17"/>
              </w:rPr>
              <w:t xml:space="preserve">H.6, H.28</w:t>
            </w:r>
          </w:p>
        </w:tc>
      </w:tr>
      <w:tr>
        <w:tc>
          <w:tcPr/>
          <w:p>
            <w:pPr>
              <w:pStyle w:val="Compact"/>
            </w:pPr>
            <w:r>
              <w:rPr>
                <w:sz w:val="17"/>
              </w:rPr>
              <w:t xml:space="preserve">Modules 56, 57 (grands redevables, exonérations)</w:t>
            </w:r>
          </w:p>
        </w:tc>
        <w:tc>
          <w:tcPr/>
          <w:p>
            <w:pPr>
              <w:pStyle w:val="Compact"/>
            </w:pPr>
            <w:r>
              <w:rPr>
                <w:sz w:val="17"/>
              </w:rPr>
              <w:t xml:space="preserve">Ch. 8, 25</w:t>
            </w:r>
          </w:p>
        </w:tc>
        <w:tc>
          <w:tcPr/>
          <w:p>
            <w:pPr>
              <w:pStyle w:val="Compact"/>
            </w:pPr>
            <w:r>
              <w:rPr>
                <w:sz w:val="17"/>
              </w:rPr>
              <w:t xml:space="preserve">H.27.3, H.28</w:t>
            </w:r>
          </w:p>
        </w:tc>
      </w:tr>
      <w:tr>
        <w:tc>
          <w:tcPr>
            <w:shd w:val="clear" w:color="auto" w:fill="F5F7FB"/>
          </w:tcPr>
          <w:p>
            <w:pPr>
              <w:pStyle w:val="Compact"/>
            </w:pPr>
            <w:r>
              <w:rPr>
                <w:sz w:val="17"/>
              </w:rPr>
              <w:t xml:space="preserve">Module 58 (terrain)</w:t>
            </w:r>
          </w:p>
        </w:tc>
        <w:tc>
          <w:tcPr>
            <w:shd w:val="clear" w:color="auto" w:fill="F5F7FB"/>
          </w:tcPr>
          <w:p>
            <w:pPr>
              <w:pStyle w:val="Compact"/>
            </w:pPr>
            <w:r>
              <w:rPr>
                <w:sz w:val="17"/>
              </w:rPr>
              <w:t xml:space="preserve">Ch. 15</w:t>
            </w:r>
          </w:p>
        </w:tc>
        <w:tc>
          <w:tcPr>
            <w:shd w:val="clear" w:color="auto" w:fill="F5F7FB"/>
          </w:tcPr>
          <w:p>
            <w:pPr>
              <w:pStyle w:val="Compact"/>
            </w:pPr>
            <w:r>
              <w:rPr>
                <w:sz w:val="17"/>
              </w:rPr>
              <w:t xml:space="preserve">H.8.1, H.28</w:t>
            </w:r>
          </w:p>
        </w:tc>
      </w:tr>
      <w:tr>
        <w:tc>
          <w:tcPr/>
          <w:p>
            <w:pPr>
              <w:pStyle w:val="Compact"/>
            </w:pPr>
            <w:r>
              <w:rPr>
                <w:sz w:val="17"/>
              </w:rPr>
              <w:t xml:space="preserve">Modules 59, 60 (grand livre, coffre)</w:t>
            </w:r>
          </w:p>
        </w:tc>
        <w:tc>
          <w:tcPr/>
          <w:p>
            <w:pPr>
              <w:pStyle w:val="Compact"/>
            </w:pPr>
            <w:r>
              <w:rPr>
                <w:sz w:val="17"/>
              </w:rPr>
              <w:t xml:space="preserve">Ch. 20 ; § 12.6</w:t>
            </w:r>
          </w:p>
        </w:tc>
        <w:tc>
          <w:tcPr/>
          <w:p>
            <w:pPr>
              <w:pStyle w:val="Compact"/>
            </w:pPr>
            <w:r>
              <w:rPr>
                <w:sz w:val="17"/>
              </w:rPr>
              <w:t xml:space="preserve">H.28</w:t>
            </w:r>
          </w:p>
        </w:tc>
      </w:tr>
      <w:tr>
        <w:tc>
          <w:tcPr>
            <w:shd w:val="clear" w:color="auto" w:fill="F5F7FB"/>
          </w:tcPr>
          <w:p>
            <w:pPr>
              <w:pStyle w:val="Compact"/>
            </w:pPr>
            <w:r>
              <w:rPr>
                <w:sz w:val="17"/>
              </w:rPr>
              <w:t xml:space="preserve">Modules 61, 62 (découverte, aérien)</w:t>
            </w:r>
          </w:p>
        </w:tc>
        <w:tc>
          <w:tcPr>
            <w:shd w:val="clear" w:color="auto" w:fill="F5F7FB"/>
          </w:tcPr>
          <w:p>
            <w:pPr>
              <w:pStyle w:val="Compact"/>
            </w:pPr>
            <w:r>
              <w:rPr>
                <w:sz w:val="17"/>
              </w:rPr>
              <w:t xml:space="preserve">Ch. 8</w:t>
            </w:r>
          </w:p>
        </w:tc>
        <w:tc>
          <w:tcPr>
            <w:shd w:val="clear" w:color="auto" w:fill="F5F7FB"/>
          </w:tcPr>
          <w:p>
            <w:pPr>
              <w:pStyle w:val="Compact"/>
            </w:pPr>
            <w:r>
              <w:rPr>
                <w:sz w:val="17"/>
              </w:rPr>
              <w:t xml:space="preserve">H.27.12, H.28</w:t>
            </w:r>
          </w:p>
        </w:tc>
      </w:tr>
      <w:tr>
        <w:tc>
          <w:tcPr/>
          <w:p>
            <w:pPr>
              <w:pStyle w:val="Compact"/>
            </w:pPr>
            <w:r>
              <w:rPr>
                <w:sz w:val="17"/>
              </w:rPr>
              <w:t xml:space="preserve">Modules 63 à 69 (inclusion, paiement assisté, confiance)</w:t>
            </w:r>
          </w:p>
        </w:tc>
        <w:tc>
          <w:tcPr/>
          <w:p>
            <w:pPr>
              <w:pStyle w:val="Compact"/>
            </w:pPr>
            <w:r>
              <w:rPr>
                <w:sz w:val="17"/>
              </w:rPr>
              <w:t xml:space="preserve">§ 13.6 ; § 18.2</w:t>
            </w:r>
          </w:p>
        </w:tc>
        <w:tc>
          <w:tcPr/>
          <w:p>
            <w:pPr>
              <w:pStyle w:val="Compact"/>
            </w:pPr>
            <w:r>
              <w:rPr>
                <w:sz w:val="17"/>
              </w:rPr>
              <w:t xml:space="preserve">H.7, H.10, H.28</w:t>
            </w:r>
          </w:p>
        </w:tc>
      </w:tr>
      <w:tr>
        <w:tc>
          <w:tcPr>
            <w:shd w:val="clear" w:color="auto" w:fill="F5F7FB"/>
          </w:tcPr>
          <w:p>
            <w:pPr>
              <w:pStyle w:val="Compact"/>
            </w:pPr>
            <w:r>
              <w:rPr>
                <w:sz w:val="17"/>
              </w:rPr>
              <w:t xml:space="preserve">Modules 70 à 74 (titres, entités, répartition, accès)</w:t>
            </w:r>
          </w:p>
        </w:tc>
        <w:tc>
          <w:tcPr>
            <w:shd w:val="clear" w:color="auto" w:fill="F5F7FB"/>
          </w:tcPr>
          <w:p>
            <w:pPr>
              <w:pStyle w:val="Compact"/>
            </w:pPr>
            <w:r>
              <w:rPr>
                <w:sz w:val="17"/>
              </w:rPr>
              <w:t xml:space="preserve">§ 19.4 ; § 10.3 ; § 12.7</w:t>
            </w:r>
          </w:p>
        </w:tc>
        <w:tc>
          <w:tcPr>
            <w:shd w:val="clear" w:color="auto" w:fill="F5F7FB"/>
          </w:tcPr>
          <w:p>
            <w:pPr>
              <w:pStyle w:val="Compact"/>
            </w:pPr>
            <w:r>
              <w:rPr>
                <w:sz w:val="17"/>
              </w:rPr>
              <w:t xml:space="preserve">H.4, H.6, H.11, H.28</w:t>
            </w:r>
          </w:p>
        </w:tc>
      </w:tr>
      <w:tr>
        <w:tc>
          <w:tcPr/>
          <w:p>
            <w:pPr>
              <w:pStyle w:val="Compact"/>
            </w:pPr>
            <w:r>
              <w:rPr>
                <w:sz w:val="17"/>
              </w:rPr>
              <w:t xml:space="preserve">Modules 75 à 81 (verticales avancées)</w:t>
            </w:r>
          </w:p>
        </w:tc>
        <w:tc>
          <w:tcPr/>
          <w:p>
            <w:pPr>
              <w:pStyle w:val="Compact"/>
            </w:pPr>
            <w:r>
              <w:rPr>
                <w:sz w:val="17"/>
              </w:rPr>
              <w:t xml:space="preserve">§ 11.3</w:t>
            </w:r>
          </w:p>
        </w:tc>
        <w:tc>
          <w:tcPr/>
          <w:p>
            <w:pPr>
              <w:pStyle w:val="Compact"/>
            </w:pPr>
            <w:r>
              <w:rPr>
                <w:sz w:val="17"/>
              </w:rPr>
              <w:t xml:space="preserve">H.27, H.28</w:t>
            </w:r>
          </w:p>
        </w:tc>
      </w:tr>
      <w:tr>
        <w:tc>
          <w:tcPr>
            <w:shd w:val="clear" w:color="auto" w:fill="F5F7FB"/>
          </w:tcPr>
          <w:p>
            <w:pPr>
              <w:pStyle w:val="Compact"/>
            </w:pPr>
            <w:r>
              <w:rPr>
                <w:sz w:val="17"/>
              </w:rPr>
              <w:t xml:space="preserve">Partie V — 17 verticales</w:t>
            </w:r>
          </w:p>
        </w:tc>
        <w:tc>
          <w:tcPr>
            <w:shd w:val="clear" w:color="auto" w:fill="F5F7FB"/>
          </w:tcPr>
          <w:p>
            <w:pPr>
              <w:pStyle w:val="Compact"/>
            </w:pPr>
            <w:r>
              <w:rPr>
                <w:sz w:val="17"/>
              </w:rPr>
              <w:t xml:space="preserve">§ 11.3</w:t>
            </w:r>
          </w:p>
        </w:tc>
        <w:tc>
          <w:tcPr>
            <w:shd w:val="clear" w:color="auto" w:fill="F5F7FB"/>
          </w:tcPr>
          <w:p>
            <w:pPr>
              <w:pStyle w:val="Compact"/>
            </w:pPr>
            <w:r>
              <w:rPr>
                <w:sz w:val="17"/>
              </w:rPr>
              <w:t xml:space="preserve">H.5.3, H.27</w:t>
            </w:r>
          </w:p>
        </w:tc>
      </w:tr>
    </w:tbl>
    <w:bookmarkEnd w:id="579"/>
    <w:bookmarkStart w:id="580" w:name="X7b80c69139005180a590a6f4126df5d096cf335"/>
    <w:p>
      <w:pPr>
        <w:pStyle w:val="Heading3"/>
      </w:pPr>
      <w:r>
        <w:t xml:space="preserve">H.30.3 Dossier Gouverneur v1.0 → document maître v3.0</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Point source</w:t>
            </w:r>
          </w:p>
        </w:tc>
        <w:tc>
          <w:tcPr>
            <w:shd w:val="clear" w:color="auto" w:fill="232C6B"/>
          </w:tcPr>
          <w:p>
            <w:pPr>
              <w:pStyle w:val="Compact"/>
            </w:pPr>
            <w:r>
              <w:rPr>
                <w:b/>
                <w:color w:val="FFFFFF"/>
                <w:sz w:val="17"/>
              </w:rPr>
              <w:t xml:space="preserve">Destination v3.0</w:t>
            </w:r>
          </w:p>
        </w:tc>
        <w:tc>
          <w:tcPr>
            <w:shd w:val="clear" w:color="auto" w:fill="232C6B"/>
          </w:tcPr>
          <w:p>
            <w:pPr>
              <w:pStyle w:val="Compact"/>
            </w:pPr>
            <w:r>
              <w:rPr>
                <w:b/>
                <w:color w:val="FFFFFF"/>
                <w:sz w:val="17"/>
              </w:rPr>
              <w:t xml:space="preserve">Complément Annexe H</w:t>
            </w:r>
          </w:p>
        </w:tc>
      </w:tr>
      <w:tr>
        <w:tc>
          <w:tcPr/>
          <w:p>
            <w:pPr>
              <w:pStyle w:val="Compact"/>
            </w:pPr>
            <w:r>
              <w:rPr>
                <w:sz w:val="17"/>
              </w:rPr>
              <w:t xml:space="preserve">Sous-titre ; cinq piliers</w:t>
            </w:r>
          </w:p>
        </w:tc>
        <w:tc>
          <w:tcPr/>
          <w:p>
            <w:pPr>
              <w:pStyle w:val="Compact"/>
            </w:pPr>
            <w:r>
              <w:rPr>
                <w:sz w:val="17"/>
              </w:rPr>
              <w:t xml:space="preserve">Ch. 1, 3</w:t>
            </w:r>
          </w:p>
        </w:tc>
        <w:tc>
          <w:tcPr/>
          <w:p>
            <w:pPr>
              <w:pStyle w:val="Compact"/>
            </w:pPr>
            <w:r>
              <w:rPr>
                <w:sz w:val="17"/>
              </w:rPr>
              <w:t xml:space="preserve">H.2.1 (ARB-77)</w:t>
            </w:r>
          </w:p>
        </w:tc>
      </w:tr>
      <w:tr>
        <w:tc>
          <w:tcPr>
            <w:shd w:val="clear" w:color="auto" w:fill="F5F7FB"/>
          </w:tcPr>
          <w:p>
            <w:pPr>
              <w:pStyle w:val="Compact"/>
            </w:pPr>
            <w:r>
              <w:rPr>
                <w:sz w:val="17"/>
              </w:rPr>
              <w:t xml:space="preserve">Décision immédiate : pilote 180 jours, base de référence auditée, généralisation sur preuve</w:t>
            </w:r>
          </w:p>
        </w:tc>
        <w:tc>
          <w:tcPr>
            <w:shd w:val="clear" w:color="auto" w:fill="F5F7FB"/>
          </w:tcPr>
          <w:p>
            <w:pPr>
              <w:pStyle w:val="Compact"/>
            </w:pPr>
            <w:r>
              <w:rPr>
                <w:sz w:val="17"/>
              </w:rPr>
              <w:t xml:space="preserve">Ch. 45, 47</w:t>
            </w:r>
          </w:p>
        </w:tc>
        <w:tc>
          <w:tcPr>
            <w:shd w:val="clear" w:color="auto" w:fill="F5F7FB"/>
          </w:tcPr>
          <w:p>
            <w:pPr>
              <w:pStyle w:val="Compact"/>
            </w:pPr>
            <w:r>
              <w:rPr>
                <w:sz w:val="17"/>
              </w:rPr>
              <w:t xml:space="preserve">—</w:t>
            </w:r>
          </w:p>
        </w:tc>
      </w:tr>
      <w:tr>
        <w:tc>
          <w:tcPr/>
          <w:p>
            <w:pPr>
              <w:pStyle w:val="Compact"/>
            </w:pPr>
            <w:r>
              <w:rPr>
                <w:sz w:val="17"/>
              </w:rPr>
              <w:t xml:space="preserve">Socle KIN-RECETTES sous MOSOLO</w:t>
            </w:r>
          </w:p>
        </w:tc>
        <w:tc>
          <w:tcPr/>
          <w:p>
            <w:pPr>
              <w:pStyle w:val="Compact"/>
            </w:pPr>
            <w:r>
              <w:rPr>
                <w:sz w:val="17"/>
              </w:rPr>
              <w:t xml:space="preserve">Annexe D</w:t>
            </w:r>
          </w:p>
        </w:tc>
        <w:tc>
          <w:tcPr/>
          <w:p>
            <w:pPr>
              <w:pStyle w:val="Compact"/>
            </w:pPr>
            <w:r>
              <w:rPr>
                <w:sz w:val="17"/>
              </w:rPr>
              <w:t xml:space="preserve">H.5.1</w:t>
            </w:r>
          </w:p>
        </w:tc>
      </w:tr>
      <w:tr>
        <w:tc>
          <w:tcPr>
            <w:shd w:val="clear" w:color="auto" w:fill="F5F7FB"/>
          </w:tcPr>
          <w:p>
            <w:pPr>
              <w:pStyle w:val="Compact"/>
            </w:pPr>
            <w:r>
              <w:rPr>
                <w:sz w:val="17"/>
              </w:rPr>
              <w:t xml:space="preserve">§ 3 Registre juridique (redevable, date d’expiration, administration)</w:t>
            </w:r>
          </w:p>
        </w:tc>
        <w:tc>
          <w:tcPr>
            <w:shd w:val="clear" w:color="auto" w:fill="F5F7FB"/>
          </w:tcPr>
          <w:p>
            <w:pPr>
              <w:pStyle w:val="Compact"/>
            </w:pPr>
            <w:r>
              <w:rPr>
                <w:sz w:val="17"/>
              </w:rPr>
              <w:t xml:space="preserve">§ 6.12</w:t>
            </w:r>
          </w:p>
        </w:tc>
        <w:tc>
          <w:tcPr>
            <w:shd w:val="clear" w:color="auto" w:fill="F5F7FB"/>
          </w:tcPr>
          <w:p>
            <w:pPr>
              <w:pStyle w:val="Compact"/>
            </w:pPr>
            <w:r>
              <w:rPr>
                <w:sz w:val="17"/>
              </w:rPr>
              <w:t xml:space="preserve">—</w:t>
            </w:r>
          </w:p>
        </w:tc>
      </w:tr>
      <w:tr>
        <w:tc>
          <w:tcPr/>
          <w:p>
            <w:pPr>
              <w:pStyle w:val="Compact"/>
            </w:pPr>
            <w:r>
              <w:rPr>
                <w:sz w:val="17"/>
              </w:rPr>
              <w:t xml:space="preserve">§ 6 Modèle immobilier (étage, usage)</w:t>
            </w:r>
          </w:p>
        </w:tc>
        <w:tc>
          <w:tcPr/>
          <w:p>
            <w:pPr>
              <w:pStyle w:val="Compact"/>
            </w:pPr>
            <w:r>
              <w:rPr>
                <w:sz w:val="17"/>
              </w:rPr>
              <w:t xml:space="preserve">§ 16.1</w:t>
            </w:r>
          </w:p>
        </w:tc>
        <w:tc>
          <w:tcPr/>
          <w:p>
            <w:pPr>
              <w:pStyle w:val="Compact"/>
            </w:pPr>
            <w:r>
              <w:rPr>
                <w:sz w:val="17"/>
              </w:rPr>
              <w:t xml:space="preserve">—</w:t>
            </w:r>
          </w:p>
        </w:tc>
      </w:tr>
      <w:tr>
        <w:tc>
          <w:tcPr>
            <w:shd w:val="clear" w:color="auto" w:fill="F5F7FB"/>
          </w:tcPr>
          <w:p>
            <w:pPr>
              <w:pStyle w:val="Compact"/>
            </w:pPr>
            <w:r>
              <w:rPr>
                <w:sz w:val="17"/>
              </w:rPr>
              <w:t xml:space="preserve">§ 11 États de paiement (doublon, inversé)</w:t>
            </w:r>
          </w:p>
        </w:tc>
        <w:tc>
          <w:tcPr>
            <w:shd w:val="clear" w:color="auto" w:fill="F5F7FB"/>
          </w:tcPr>
          <w:p>
            <w:pPr>
              <w:pStyle w:val="Compact"/>
            </w:pPr>
            <w:r>
              <w:rPr>
                <w:sz w:val="17"/>
              </w:rPr>
              <w:t xml:space="preserve">§ 18.4</w:t>
            </w:r>
          </w:p>
        </w:tc>
        <w:tc>
          <w:tcPr>
            <w:shd w:val="clear" w:color="auto" w:fill="F5F7FB"/>
          </w:tcPr>
          <w:p>
            <w:pPr>
              <w:pStyle w:val="Compact"/>
            </w:pPr>
            <w:r>
              <w:rPr>
                <w:sz w:val="17"/>
              </w:rPr>
              <w:t xml:space="preserve">—</w:t>
            </w:r>
          </w:p>
        </w:tc>
      </w:tr>
      <w:tr>
        <w:tc>
          <w:tcPr/>
          <w:p>
            <w:pPr>
              <w:pStyle w:val="Compact"/>
            </w:pPr>
            <w:r>
              <w:rPr>
                <w:sz w:val="17"/>
              </w:rPr>
              <w:t xml:space="preserve">§ 16 Gouverneur « sans capacité secrète »</w:t>
            </w:r>
          </w:p>
        </w:tc>
        <w:tc>
          <w:tcPr/>
          <w:p>
            <w:pPr>
              <w:pStyle w:val="Compact"/>
            </w:pPr>
            <w:r>
              <w:rPr>
                <w:sz w:val="17"/>
              </w:rPr>
              <w:t xml:space="preserve">§ 12.4</w:t>
            </w:r>
          </w:p>
        </w:tc>
        <w:tc>
          <w:tcPr/>
          <w:p>
            <w:pPr>
              <w:pStyle w:val="Compact"/>
            </w:pPr>
            <w:r>
              <w:rPr>
                <w:sz w:val="17"/>
              </w:rPr>
              <w:t xml:space="preserve">—</w:t>
            </w:r>
          </w:p>
        </w:tc>
      </w:tr>
      <w:tr>
        <w:tc>
          <w:tcPr>
            <w:shd w:val="clear" w:color="auto" w:fill="F5F7FB"/>
          </w:tcPr>
          <w:p>
            <w:pPr>
              <w:pStyle w:val="Compact"/>
            </w:pPr>
            <w:r>
              <w:rPr>
                <w:sz w:val="17"/>
              </w:rPr>
              <w:t xml:space="preserve">§ 22 Centre de commandement ; tableaux des communes et superviseurs</w:t>
            </w:r>
          </w:p>
        </w:tc>
        <w:tc>
          <w:tcPr>
            <w:shd w:val="clear" w:color="auto" w:fill="F5F7FB"/>
          </w:tcPr>
          <w:p>
            <w:pPr>
              <w:pStyle w:val="Compact"/>
            </w:pPr>
            <w:r>
              <w:rPr>
                <w:sz w:val="17"/>
              </w:rPr>
              <w:t xml:space="preserve">Ch. 26</w:t>
            </w:r>
          </w:p>
        </w:tc>
        <w:tc>
          <w:tcPr>
            <w:shd w:val="clear" w:color="auto" w:fill="F5F7FB"/>
          </w:tcPr>
          <w:p>
            <w:pPr>
              <w:pStyle w:val="Compact"/>
            </w:pPr>
            <w:r>
              <w:rPr>
                <w:sz w:val="17"/>
              </w:rPr>
              <w:t xml:space="preserve">H.14.1, H.14.3</w:t>
            </w:r>
          </w:p>
        </w:tc>
      </w:tr>
      <w:tr>
        <w:tc>
          <w:tcPr/>
          <w:p>
            <w:pPr>
              <w:pStyle w:val="Compact"/>
            </w:pPr>
            <w:r>
              <w:rPr>
                <w:sz w:val="17"/>
              </w:rPr>
              <w:t xml:space="preserve">§ 23 Seize verticales</w:t>
            </w:r>
          </w:p>
        </w:tc>
        <w:tc>
          <w:tcPr/>
          <w:p>
            <w:pPr>
              <w:pStyle w:val="Compact"/>
            </w:pPr>
            <w:r>
              <w:rPr>
                <w:sz w:val="17"/>
              </w:rPr>
              <w:t xml:space="preserve">§ 11.3</w:t>
            </w:r>
          </w:p>
        </w:tc>
        <w:tc>
          <w:tcPr/>
          <w:p>
            <w:pPr>
              <w:pStyle w:val="Compact"/>
            </w:pPr>
            <w:r>
              <w:rPr>
                <w:sz w:val="17"/>
              </w:rPr>
              <w:t xml:space="preserve">H.5.3</w:t>
            </w:r>
          </w:p>
        </w:tc>
      </w:tr>
      <w:tr>
        <w:tc>
          <w:tcPr>
            <w:shd w:val="clear" w:color="auto" w:fill="F5F7FB"/>
          </w:tcPr>
          <w:p>
            <w:pPr>
              <w:pStyle w:val="Compact"/>
            </w:pPr>
            <w:r>
              <w:rPr>
                <w:sz w:val="17"/>
              </w:rPr>
              <w:t xml:space="preserve">§ 25 Entités cœur</w:t>
            </w:r>
          </w:p>
        </w:tc>
        <w:tc>
          <w:tcPr>
            <w:shd w:val="clear" w:color="auto" w:fill="F5F7FB"/>
          </w:tcPr>
          <w:p>
            <w:pPr>
              <w:pStyle w:val="Compact"/>
            </w:pPr>
            <w:r>
              <w:rPr>
                <w:sz w:val="17"/>
              </w:rPr>
              <w:t xml:space="preserve">§ 29.3</w:t>
            </w:r>
          </w:p>
        </w:tc>
        <w:tc>
          <w:tcPr>
            <w:shd w:val="clear" w:color="auto" w:fill="F5F7FB"/>
          </w:tcPr>
          <w:p>
            <w:pPr>
              <w:pStyle w:val="Compact"/>
            </w:pPr>
            <w:r>
              <w:rPr>
                <w:sz w:val="17"/>
              </w:rPr>
              <w:t xml:space="preserve">H.16.3</w:t>
            </w:r>
          </w:p>
        </w:tc>
      </w:tr>
      <w:tr>
        <w:tc>
          <w:tcPr/>
          <w:p>
            <w:pPr>
              <w:pStyle w:val="Compact"/>
            </w:pPr>
            <w:r>
              <w:rPr>
                <w:sz w:val="17"/>
              </w:rPr>
              <w:t xml:space="preserve">§ 27 Sécurité (zéro confiance, HSM, SIEM, SBOM…)</w:t>
            </w:r>
          </w:p>
        </w:tc>
        <w:tc>
          <w:tcPr/>
          <w:p>
            <w:pPr>
              <w:pStyle w:val="Compact"/>
            </w:pPr>
            <w:r>
              <w:rPr>
                <w:sz w:val="17"/>
              </w:rPr>
              <w:t xml:space="preserve">Ch. 31, 33</w:t>
            </w:r>
          </w:p>
        </w:tc>
        <w:tc>
          <w:tcPr/>
          <w:p>
            <w:pPr>
              <w:pStyle w:val="Compact"/>
            </w:pPr>
            <w:r>
              <w:rPr>
                <w:sz w:val="17"/>
              </w:rPr>
              <w:t xml:space="preserve">—</w:t>
            </w:r>
          </w:p>
        </w:tc>
      </w:tr>
      <w:tr>
        <w:tc>
          <w:tcPr>
            <w:shd w:val="clear" w:color="auto" w:fill="F5F7FB"/>
          </w:tcPr>
          <w:p>
            <w:pPr>
              <w:pStyle w:val="Compact"/>
            </w:pPr>
            <w:r>
              <w:rPr>
                <w:sz w:val="17"/>
              </w:rPr>
              <w:t xml:space="preserve">§ 30 Passation (plafond, durée fixe, audit)</w:t>
            </w:r>
          </w:p>
        </w:tc>
        <w:tc>
          <w:tcPr>
            <w:shd w:val="clear" w:color="auto" w:fill="F5F7FB"/>
          </w:tcPr>
          <w:p>
            <w:pPr>
              <w:pStyle w:val="Compact"/>
            </w:pPr>
            <w:r>
              <w:rPr>
                <w:sz w:val="17"/>
              </w:rPr>
              <w:t xml:space="preserve">§ 37.3</w:t>
            </w:r>
          </w:p>
        </w:tc>
        <w:tc>
          <w:tcPr>
            <w:shd w:val="clear" w:color="auto" w:fill="F5F7FB"/>
          </w:tcPr>
          <w:p>
            <w:pPr>
              <w:pStyle w:val="Compact"/>
            </w:pPr>
            <w:r>
              <w:rPr>
                <w:sz w:val="17"/>
              </w:rPr>
              <w:t xml:space="preserve">ARB-01</w:t>
            </w:r>
          </w:p>
        </w:tc>
      </w:tr>
      <w:tr>
        <w:tc>
          <w:tcPr/>
          <w:p>
            <w:pPr>
              <w:pStyle w:val="Compact"/>
            </w:pPr>
            <w:r>
              <w:rPr>
                <w:sz w:val="17"/>
              </w:rPr>
              <w:t xml:space="preserve">§ 35 Feuille de route en « phases » = lots</w:t>
            </w:r>
          </w:p>
        </w:tc>
        <w:tc>
          <w:tcPr/>
          <w:p>
            <w:pPr>
              <w:pStyle w:val="Compact"/>
            </w:pPr>
            <w:r>
              <w:rPr>
                <w:sz w:val="17"/>
              </w:rPr>
              <w:t xml:space="preserve">Ch. 34</w:t>
            </w:r>
          </w:p>
        </w:tc>
        <w:tc>
          <w:tcPr/>
          <w:p>
            <w:pPr>
              <w:pStyle w:val="Compact"/>
            </w:pPr>
            <w:r>
              <w:rPr>
                <w:sz w:val="17"/>
              </w:rPr>
              <w:t xml:space="preserve">H.17.2</w:t>
            </w:r>
          </w:p>
        </w:tc>
      </w:tr>
      <w:tr>
        <w:tc>
          <w:tcPr>
            <w:shd w:val="clear" w:color="auto" w:fill="F5F7FB"/>
          </w:tcPr>
          <w:p>
            <w:pPr>
              <w:pStyle w:val="Compact"/>
            </w:pPr>
            <w:r>
              <w:rPr>
                <w:sz w:val="17"/>
              </w:rPr>
              <w:t xml:space="preserve">§ 36 Critères d’acceptation</w:t>
            </w:r>
          </w:p>
        </w:tc>
        <w:tc>
          <w:tcPr>
            <w:shd w:val="clear" w:color="auto" w:fill="F5F7FB"/>
          </w:tcPr>
          <w:p>
            <w:pPr>
              <w:pStyle w:val="Compact"/>
            </w:pPr>
            <w:r>
              <w:rPr>
                <w:sz w:val="17"/>
              </w:rPr>
              <w:t xml:space="preserve">Ch. 41</w:t>
            </w:r>
          </w:p>
        </w:tc>
        <w:tc>
          <w:tcPr>
            <w:shd w:val="clear" w:color="auto" w:fill="F5F7FB"/>
          </w:tcPr>
          <w:p>
            <w:pPr>
              <w:pStyle w:val="Compact"/>
            </w:pPr>
            <w:r>
              <w:rPr>
                <w:sz w:val="17"/>
              </w:rPr>
              <w:t xml:space="preserve">H.21</w:t>
            </w:r>
          </w:p>
        </w:tc>
      </w:tr>
      <w:tr>
        <w:tc>
          <w:tcPr/>
          <w:p>
            <w:pPr>
              <w:pStyle w:val="Compact"/>
            </w:pPr>
            <w:r>
              <w:rPr>
                <w:sz w:val="17"/>
              </w:rPr>
              <w:t xml:space="preserve">§ 37 Dix décisions</w:t>
            </w:r>
          </w:p>
        </w:tc>
        <w:tc>
          <w:tcPr/>
          <w:p>
            <w:pPr>
              <w:pStyle w:val="Compact"/>
            </w:pPr>
            <w:r>
              <w:rPr>
                <w:sz w:val="17"/>
              </w:rPr>
              <w:t xml:space="preserve">Ch. 47</w:t>
            </w:r>
          </w:p>
        </w:tc>
        <w:tc>
          <w:tcPr/>
          <w:p>
            <w:pPr>
              <w:pStyle w:val="Compact"/>
            </w:pPr>
            <w:r>
              <w:rPr>
                <w:sz w:val="17"/>
              </w:rPr>
              <w:t xml:space="preserve">H.26</w:t>
            </w:r>
          </w:p>
        </w:tc>
      </w:tr>
      <w:tr>
        <w:tc>
          <w:tcPr>
            <w:shd w:val="clear" w:color="auto" w:fill="F5F7FB"/>
          </w:tcPr>
          <w:p>
            <w:pPr>
              <w:pStyle w:val="Compact"/>
            </w:pPr>
            <w:r>
              <w:rPr>
                <w:sz w:val="17"/>
              </w:rPr>
              <w:t xml:space="preserve">Annexe A — matrice pilote (six domaines)</w:t>
            </w:r>
          </w:p>
        </w:tc>
        <w:tc>
          <w:tcPr>
            <w:shd w:val="clear" w:color="auto" w:fill="F5F7FB"/>
          </w:tcPr>
          <w:p>
            <w:pPr>
              <w:pStyle w:val="Compact"/>
            </w:pPr>
            <w:r>
              <w:rPr>
                <w:sz w:val="17"/>
              </w:rPr>
              <w:t xml:space="preserve">Ch. 45</w:t>
            </w:r>
          </w:p>
        </w:tc>
        <w:tc>
          <w:tcPr>
            <w:shd w:val="clear" w:color="auto" w:fill="F5F7FB"/>
          </w:tcPr>
          <w:p>
            <w:pPr>
              <w:pStyle w:val="Compact"/>
            </w:pPr>
            <w:r>
              <w:rPr>
                <w:sz w:val="17"/>
              </w:rPr>
              <w:t xml:space="preserve">H.24.3</w:t>
            </w:r>
          </w:p>
        </w:tc>
      </w:tr>
      <w:tr>
        <w:tc>
          <w:tcPr/>
          <w:p>
            <w:pPr>
              <w:pStyle w:val="Compact"/>
            </w:pPr>
            <w:r>
              <w:rPr>
                <w:sz w:val="17"/>
              </w:rPr>
              <w:t xml:space="preserve">Annexe B — spécification de l’API de référence de paiement (400, 403, 409, 422)</w:t>
            </w:r>
          </w:p>
        </w:tc>
        <w:tc>
          <w:tcPr/>
          <w:p>
            <w:pPr>
              <w:pStyle w:val="Compact"/>
            </w:pPr>
            <w:r>
              <w:rPr>
                <w:sz w:val="17"/>
              </w:rPr>
              <w:t xml:space="preserve">§ 30.3</w:t>
            </w:r>
          </w:p>
        </w:tc>
        <w:tc>
          <w:tcPr/>
          <w:p>
            <w:pPr>
              <w:pStyle w:val="Compact"/>
            </w:pPr>
            <w:r>
              <w:rPr>
                <w:sz w:val="17"/>
              </w:rPr>
              <w:t xml:space="preserve">—</w:t>
            </w:r>
          </w:p>
        </w:tc>
      </w:tr>
      <w:tr>
        <w:tc>
          <w:tcPr>
            <w:shd w:val="clear" w:color="auto" w:fill="F5F7FB"/>
          </w:tcPr>
          <w:p>
            <w:pPr>
              <w:pStyle w:val="Compact"/>
            </w:pPr>
            <w:r>
              <w:rPr>
                <w:sz w:val="17"/>
              </w:rPr>
              <w:t xml:space="preserve">Annexe C — récits Given/When/Then</w:t>
            </w:r>
          </w:p>
        </w:tc>
        <w:tc>
          <w:tcPr>
            <w:shd w:val="clear" w:color="auto" w:fill="F5F7FB"/>
          </w:tcPr>
          <w:p>
            <w:pPr>
              <w:pStyle w:val="Compact"/>
            </w:pPr>
            <w:r>
              <w:rPr>
                <w:sz w:val="17"/>
              </w:rPr>
              <w:t xml:space="preserve">§ 42.2</w:t>
            </w:r>
          </w:p>
        </w:tc>
        <w:tc>
          <w:tcPr>
            <w:shd w:val="clear" w:color="auto" w:fill="F5F7FB"/>
          </w:tcPr>
          <w:p>
            <w:pPr>
              <w:pStyle w:val="Compact"/>
            </w:pPr>
            <w:r>
              <w:rPr>
                <w:sz w:val="17"/>
              </w:rPr>
              <w:t xml:space="preserve">H.22.2</w:t>
            </w:r>
          </w:p>
        </w:tc>
      </w:tr>
    </w:tbl>
    <w:bookmarkEnd w:id="580"/>
    <w:bookmarkStart w:id="581" w:name="X8dd15b3e3f372f270fe5438cf0f72487afafbdd"/>
    <w:p>
      <w:pPr>
        <w:pStyle w:val="Heading3"/>
      </w:pPr>
      <w:r>
        <w:t xml:space="preserve">H.30.4 Note exécutive au Gouverneur → document maître v3.0</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Élément</w:t>
            </w:r>
          </w:p>
        </w:tc>
        <w:tc>
          <w:tcPr>
            <w:shd w:val="clear" w:color="auto" w:fill="232C6B"/>
          </w:tcPr>
          <w:p>
            <w:pPr>
              <w:pStyle w:val="Compact"/>
            </w:pPr>
            <w:r>
              <w:rPr>
                <w:b/>
                <w:color w:val="FFFFFF"/>
                <w:sz w:val="17"/>
              </w:rPr>
              <w:t xml:space="preserve">Destination v3.0</w:t>
            </w:r>
          </w:p>
        </w:tc>
        <w:tc>
          <w:tcPr>
            <w:shd w:val="clear" w:color="auto" w:fill="232C6B"/>
          </w:tcPr>
          <w:p>
            <w:pPr>
              <w:pStyle w:val="Compact"/>
            </w:pPr>
            <w:r>
              <w:rPr>
                <w:b/>
                <w:color w:val="FFFFFF"/>
                <w:sz w:val="17"/>
              </w:rPr>
              <w:t xml:space="preserve">Complément Annexe H</w:t>
            </w:r>
          </w:p>
        </w:tc>
      </w:tr>
      <w:tr>
        <w:tc>
          <w:tcPr/>
          <w:p>
            <w:pPr>
              <w:pStyle w:val="Compact"/>
            </w:pPr>
            <w:r>
              <w:rPr>
                <w:sz w:val="17"/>
              </w:rPr>
              <w:t xml:space="preserve">Constat : assiette invisible, TADAT, contrat de performance, IF + IRL à fin janvier 2026</w:t>
            </w:r>
          </w:p>
        </w:tc>
        <w:tc>
          <w:tcPr/>
          <w:p>
            <w:pPr>
              <w:pStyle w:val="Compact"/>
            </w:pPr>
            <w:r>
              <w:rPr>
                <w:sz w:val="17"/>
              </w:rPr>
              <w:t xml:space="preserve">Ch. 1, § 2.2</w:t>
            </w:r>
          </w:p>
        </w:tc>
        <w:tc>
          <w:tcPr/>
          <w:p>
            <w:pPr>
              <w:pStyle w:val="Compact"/>
            </w:pPr>
            <w:r>
              <w:rPr>
                <w:sz w:val="17"/>
              </w:rPr>
              <w:t xml:space="preserve">—</w:t>
            </w:r>
          </w:p>
        </w:tc>
      </w:tr>
      <w:tr>
        <w:tc>
          <w:tcPr>
            <w:shd w:val="clear" w:color="auto" w:fill="F5F7FB"/>
          </w:tcPr>
          <w:p>
            <w:pPr>
              <w:pStyle w:val="Compact"/>
            </w:pPr>
            <w:r>
              <w:rPr>
                <w:sz w:val="17"/>
              </w:rPr>
              <w:t xml:space="preserve">Alerte OL 13/001 → OL 18/004</w:t>
            </w:r>
          </w:p>
        </w:tc>
        <w:tc>
          <w:tcPr>
            <w:shd w:val="clear" w:color="auto" w:fill="F5F7FB"/>
          </w:tcPr>
          <w:p>
            <w:pPr>
              <w:pStyle w:val="Compact"/>
            </w:pPr>
            <w:r>
              <w:rPr>
                <w:sz w:val="17"/>
              </w:rPr>
              <w:t xml:space="preserve">§ 6.3</w:t>
            </w:r>
          </w:p>
        </w:tc>
        <w:tc>
          <w:tcPr>
            <w:shd w:val="clear" w:color="auto" w:fill="F5F7FB"/>
          </w:tcPr>
          <w:p>
            <w:pPr>
              <w:pStyle w:val="Compact"/>
            </w:pPr>
            <w:r>
              <w:rPr>
                <w:sz w:val="17"/>
              </w:rPr>
              <w:t xml:space="preserve">ARB-49</w:t>
            </w:r>
          </w:p>
        </w:tc>
      </w:tr>
      <w:tr>
        <w:tc>
          <w:tcPr/>
          <w:p>
            <w:pPr>
              <w:pStyle w:val="Compact"/>
            </w:pPr>
            <w:r>
              <w:rPr>
                <w:sz w:val="17"/>
              </w:rPr>
              <w:t xml:space="preserve">IRL 22 % vs retenue 20 %</w:t>
            </w:r>
          </w:p>
        </w:tc>
        <w:tc>
          <w:tcPr/>
          <w:p>
            <w:pPr>
              <w:pStyle w:val="Compact"/>
            </w:pPr>
            <w:r>
              <w:rPr>
                <w:sz w:val="17"/>
              </w:rPr>
              <w:t xml:space="preserve">§ 6.4</w:t>
            </w:r>
          </w:p>
        </w:tc>
        <w:tc>
          <w:tcPr/>
          <w:p>
            <w:pPr>
              <w:pStyle w:val="Compact"/>
            </w:pPr>
            <w:r>
              <w:rPr>
                <w:sz w:val="17"/>
              </w:rPr>
              <w:t xml:space="preserve">ARB-50</w:t>
            </w:r>
          </w:p>
        </w:tc>
      </w:tr>
      <w:tr>
        <w:tc>
          <w:tcPr>
            <w:shd w:val="clear" w:color="auto" w:fill="F5F7FB"/>
          </w:tcPr>
          <w:p>
            <w:pPr>
              <w:pStyle w:val="Compact"/>
            </w:pPr>
            <w:r>
              <w:rPr>
                <w:sz w:val="17"/>
              </w:rPr>
              <w:t xml:space="preserve">Cinq apports (un compte, l’objet, aucune espèce, quitus, aucun pouvoir absolu)</w:t>
            </w:r>
          </w:p>
        </w:tc>
        <w:tc>
          <w:tcPr>
            <w:shd w:val="clear" w:color="auto" w:fill="F5F7FB"/>
          </w:tcPr>
          <w:p>
            <w:pPr>
              <w:pStyle w:val="Compact"/>
            </w:pPr>
            <w:r>
              <w:rPr>
                <w:sz w:val="17"/>
              </w:rPr>
              <w:t xml:space="preserve">Ch. 1, 3 ; § 12.6</w:t>
            </w:r>
          </w:p>
        </w:tc>
        <w:tc>
          <w:tcPr>
            <w:shd w:val="clear" w:color="auto" w:fill="F5F7FB"/>
          </w:tcPr>
          <w:p>
            <w:pPr>
              <w:pStyle w:val="Compact"/>
            </w:pPr>
            <w:r>
              <w:rPr>
                <w:sz w:val="17"/>
              </w:rPr>
              <w:t xml:space="preserve">—</w:t>
            </w:r>
          </w:p>
        </w:tc>
      </w:tr>
      <w:tr>
        <w:tc>
          <w:tcPr/>
          <w:p>
            <w:pPr>
              <w:pStyle w:val="Compact"/>
            </w:pPr>
            <w:r>
              <w:rPr>
                <w:sz w:val="17"/>
              </w:rPr>
              <w:t xml:space="preserve">Ligne « Contrat : forfait et primes, aucun pourcentage sur les recettes publiques »</w:t>
            </w:r>
          </w:p>
        </w:tc>
        <w:tc>
          <w:tcPr/>
          <w:p>
            <w:pPr>
              <w:pStyle w:val="Compact"/>
            </w:pPr>
            <w:r>
              <w:rPr>
                <w:sz w:val="17"/>
              </w:rPr>
              <w:t xml:space="preserve">§ 37 ; décision n° 9</w:t>
            </w:r>
          </w:p>
        </w:tc>
        <w:tc>
          <w:tcPr/>
          <w:p>
            <w:pPr>
              <w:pStyle w:val="Compact"/>
            </w:pPr>
            <w:r>
              <w:rPr>
                <w:sz w:val="17"/>
              </w:rPr>
              <w:t xml:space="preserve">ARB-01</w:t>
            </w:r>
          </w:p>
        </w:tc>
      </w:tr>
      <w:tr>
        <w:tc>
          <w:tcPr>
            <w:shd w:val="clear" w:color="auto" w:fill="F5F7FB"/>
          </w:tcPr>
          <w:p>
            <w:pPr>
              <w:pStyle w:val="Compact"/>
            </w:pPr>
            <w:r>
              <w:rPr>
                <w:sz w:val="17"/>
              </w:rPr>
              <w:t xml:space="preserve">Calendrier : recensement locatif avant février ; chaque mois perdu = un an de retard</w:t>
            </w:r>
          </w:p>
        </w:tc>
        <w:tc>
          <w:tcPr>
            <w:shd w:val="clear" w:color="auto" w:fill="F5F7FB"/>
          </w:tcPr>
          <w:p>
            <w:pPr>
              <w:pStyle w:val="Compact"/>
            </w:pPr>
            <w:r>
              <w:rPr>
                <w:sz w:val="17"/>
              </w:rPr>
              <w:t xml:space="preserve">§ 2.3 ; ch. 34 ; conclusion</w:t>
            </w:r>
          </w:p>
        </w:tc>
        <w:tc>
          <w:tcPr>
            <w:shd w:val="clear" w:color="auto" w:fill="F5F7FB"/>
          </w:tcPr>
          <w:p>
            <w:pPr>
              <w:pStyle w:val="Compact"/>
            </w:pPr>
            <w:r>
              <w:rPr>
                <w:sz w:val="17"/>
              </w:rPr>
              <w:t xml:space="preserve">H.17.1</w:t>
            </w:r>
          </w:p>
        </w:tc>
      </w:tr>
    </w:tbl>
    <w:bookmarkEnd w:id="581"/>
    <w:bookmarkEnd w:id="582"/>
    <w:bookmarkStart w:id="583" w:name="h.31-tenue-de-lannexe"/>
    <w:p>
      <w:pPr>
        <w:pStyle w:val="Heading2"/>
      </w:pPr>
      <w:r>
        <w:t xml:space="preserve">H.31 Tenue de l’annexe</w:t>
      </w:r>
    </w:p>
    <w:p>
      <w:pPr>
        <w:pStyle w:val="Compact"/>
        <w:numPr>
          <w:ilvl w:val="0"/>
          <w:numId w:val="1036"/>
        </w:numPr>
      </w:pPr>
      <w:r>
        <w:rPr>
          <w:b/>
          <w:bCs/>
        </w:rPr>
        <w:t xml:space="preserve">Toute nouvelle version d’un document source</w:t>
      </w:r>
      <w:r>
        <w:t xml:space="preserve"> </w:t>
      </w:r>
      <w:r>
        <w:t xml:space="preserve">est soumise à la même méthode (§ H.1.1) ; les éléments nouveaux sont classés C, I ou A et la matrice H.30 est mise à jour.</w:t>
      </w:r>
    </w:p>
    <w:p>
      <w:pPr>
        <w:pStyle w:val="Compact"/>
        <w:numPr>
          <w:ilvl w:val="0"/>
          <w:numId w:val="1036"/>
        </w:numPr>
      </w:pPr>
      <w:r>
        <w:rPr>
          <w:b/>
          <w:bCs/>
        </w:rPr>
        <w:t xml:space="preserve">Tout élément intégré ici qui est ensuite repris dans un chapitre</w:t>
      </w:r>
      <w:r>
        <w:t xml:space="preserve"> </w:t>
      </w:r>
      <w:r>
        <w:t xml:space="preserve">est retiré de l’Annexe H au profit d’un renvoi, pour éviter les doubles sources.</w:t>
      </w:r>
    </w:p>
    <w:p>
      <w:pPr>
        <w:pStyle w:val="Compact"/>
        <w:numPr>
          <w:ilvl w:val="0"/>
          <w:numId w:val="1036"/>
        </w:numPr>
      </w:pPr>
      <w:r>
        <w:rPr>
          <w:b/>
          <w:bCs/>
        </w:rPr>
        <w:t xml:space="preserve">Chaque arbitrage</w:t>
      </w:r>
      <w:r>
        <w:t xml:space="preserve"> </w:t>
      </w:r>
      <w:r>
        <w:t xml:space="preserve">peut être rouvert par le Comité de contrôle des changements (et, pour le droit, par le Comité juridique et tarifaire) ; la décision est consignée avec sa date et sa motivation.</w:t>
      </w:r>
    </w:p>
    <w:p>
      <w:pPr>
        <w:pStyle w:val="Compact"/>
        <w:numPr>
          <w:ilvl w:val="0"/>
          <w:numId w:val="1036"/>
        </w:numPr>
      </w:pPr>
      <w:r>
        <w:rPr>
          <w:b/>
          <w:bCs/>
        </w:rPr>
        <w:t xml:space="preserve">Les points J17 à J30</w:t>
      </w:r>
      <w:r>
        <w:t xml:space="preserve"> </w:t>
      </w:r>
      <w:r>
        <w:t xml:space="preserve">sont ajoutés au suivi du relevé juridique certifié (décision n° 3) et à la liste des validations juridiques critiques de la conclusion stratégique.</w:t>
      </w:r>
    </w:p>
    <w:p>
      <w:pPr>
        <w:pStyle w:val="Compact"/>
        <w:numPr>
          <w:ilvl w:val="0"/>
          <w:numId w:val="1036"/>
        </w:numPr>
      </w:pPr>
      <w:r>
        <w:rPr>
          <w:b/>
          <w:bCs/>
        </w:rPr>
        <w:t xml:space="preserve">Les critères AC-* du § H.21</w:t>
      </w:r>
      <w:r>
        <w:t xml:space="preserve"> </w:t>
      </w:r>
      <w:r>
        <w:t xml:space="preserve">sont intégrés à la suite de tests automatisés au plus tard à la release de leur module ; ceux des modules R1 conditionnent la porte G2.</w:t>
      </w:r>
    </w:p>
    <w:bookmarkEnd w:id="583"/>
    <w:bookmarkEnd w:id="584"/>
    <w:bookmarkStart w:id="609" w:name="X6bca1554d0c3f85202ca424cf6345361404e050"/>
    <w:p>
      <w:pPr>
        <w:pStyle w:val="Heading1"/>
      </w:pPr>
      <w:r>
        <w:t xml:space="preserve">Annexe G — Catalogue des événements de communication</w:t>
      </w:r>
    </w:p>
    <w:p>
      <w:pPr>
        <w:pStyle w:val="FirstParagraph"/>
      </w:pPr>
      <w:r>
        <w:t xml:space="preserve">Catalogue généré à partir de</w:t>
      </w:r>
      <w:r>
        <w:t xml:space="preserve"> </w:t>
      </w:r>
      <w:r>
        <w:rPr>
          <w:rStyle w:val="VerbatimChar"/>
        </w:rPr>
        <w:t xml:space="preserve">specs/evenements-communication.yaml</w:t>
      </w:r>
      <w:r>
        <w:t xml:space="preserve"> </w:t>
      </w:r>
      <w:r>
        <w:t xml:space="preserve">(outil</w:t>
      </w:r>
      <w:r>
        <w:t xml:space="preserve"> </w:t>
      </w:r>
      <w:r>
        <w:rPr>
          <w:rStyle w:val="VerbatimChar"/>
        </w:rPr>
        <w:t xml:space="preserve">tools/gen_evenements.py</w:t>
      </w:r>
      <w:r>
        <w:t xml:space="preserve">).</w:t>
      </w:r>
      <w:r>
        <w:t xml:space="preserve"> </w:t>
      </w:r>
      <w:r>
        <w:rPr>
          <w:b/>
          <w:bCs/>
        </w:rPr>
        <w:t xml:space="preserve">255 événements</w:t>
      </w:r>
      <w:r>
        <w:t xml:space="preserve"> </w:t>
      </w:r>
      <w:r>
        <w:t xml:space="preserve">répartis en</w:t>
      </w:r>
      <w:r>
        <w:t xml:space="preserve"> </w:t>
      </w:r>
      <w:r>
        <w:rPr>
          <w:b/>
          <w:bCs/>
        </w:rPr>
        <w:t xml:space="preserve">23 catégories</w:t>
      </w:r>
      <w:r>
        <w:t xml:space="preserve">, dont</w:t>
      </w:r>
      <w:r>
        <w:t xml:space="preserve"> </w:t>
      </w:r>
      <w:r>
        <w:rPr>
          <w:b/>
          <w:bCs/>
        </w:rPr>
        <w:t xml:space="preserve">135 avis obligatoires</w:t>
      </w:r>
      <w:r>
        <w:t xml:space="preserve"> </w:t>
      </w:r>
      <w:r>
        <w:t xml:space="preserve">qui s’appliquent même lorsque le destinataire s’est désinscrit des communications facultatives.</w:t>
      </w:r>
    </w:p>
    <w:p>
      <w:pPr>
        <w:pStyle w:val="BodyText"/>
      </w:pPr>
      <w:r>
        <w:t xml:space="preserve">Légende des canaux : E courriel · A dans l’application · S SMS · P notification push · U boîte USSD · V serveur vocal (SVI) · C courrier imprimé · W WhatsApp (sur consentement préalable, contenu non sensible uniquement). Public : C contribuable · G agent public ou interne · X partenaire externe.</w:t>
      </w:r>
      <w:r>
        <w:t xml:space="preserve"> </w:t>
      </w:r>
      <w:r>
        <w:rPr>
          <w:b/>
          <w:bCs/>
        </w:rPr>
        <w:t xml:space="preserve">M</w:t>
      </w:r>
      <w:r>
        <w:t xml:space="preserve"> </w:t>
      </w:r>
      <w:r>
        <w:t xml:space="preserve">= obligatoire.</w:t>
      </w:r>
    </w:p>
    <w:bookmarkStart w:id="585" w:name="g.1-synthèse"/>
    <w:p>
      <w:pPr>
        <w:pStyle w:val="Heading2"/>
      </w:pPr>
      <w:r>
        <w:t xml:space="preserve">G.1 Synthèse</w:t>
      </w:r>
    </w:p>
    <w:tbl>
      <w:tblPr>
        <w:tblStyle w:val="Table"/>
        <w:tblW w:type="auto" w:w="0"/>
        <w:tblBorders>
          <w:top w:val="single" w:sz="4" w:color="CFE9E4"/>
          <w:left w:val="single" w:sz="4" w:color="CFE9E4"/>
          <w:bottom w:val="single" w:sz="4" w:color="CFE9E4"/>
          <w:right w:val="single" w:sz="4" w:color="CFE9E4"/>
          <w:insideH w:val="single" w:sz="4" w:color="CFE9E4"/>
          <w:insideV w:val="single" w:sz="4" w:color="CFE9E4"/>
        </w:tblBorders>
        <w:tblLook w:firstRow="1" w:lastRow="0" w:firstColumn="0" w:lastColumn="0" w:noHBand="0" w:noVBand="0" w:val="0020"/>
      </w:tblPr>
      <w:tblGrid>
        <w:gridCol w:w="3960"/>
        <w:gridCol w:w="3960"/>
      </w:tblGrid>
      <w:tr>
        <w:trPr>
          <w:tblHeader w:val="on"/>
        </w:trPr>
        <w:tc>
          <w:tcPr>
            <w:shd w:val="clear" w:color="auto" w:fill="232C6B"/>
          </w:tcPr>
          <w:p>
            <w:pPr>
              <w:pStyle w:val="Compact"/>
            </w:pPr>
            <w:r>
              <w:rPr>
                <w:b/>
                <w:color w:val="FFFFFF"/>
                <w:sz w:val="17"/>
              </w:rPr>
              <w:t xml:space="preserve">Indicateur</w:t>
            </w:r>
          </w:p>
        </w:tc>
        <w:tc>
          <w:tcPr>
            <w:shd w:val="clear" w:color="auto" w:fill="232C6B"/>
          </w:tcPr>
          <w:p>
            <w:pPr>
              <w:pStyle w:val="Compact"/>
            </w:pPr>
            <w:r>
              <w:rPr>
                <w:b/>
                <w:color w:val="FFFFFF"/>
                <w:sz w:val="17"/>
              </w:rPr>
              <w:t xml:space="preserve">Valeur</w:t>
            </w:r>
          </w:p>
        </w:tc>
      </w:tr>
      <w:tr>
        <w:tc>
          <w:tcPr/>
          <w:p>
            <w:pPr>
              <w:pStyle w:val="Compact"/>
            </w:pPr>
            <w:r>
              <w:rPr>
                <w:sz w:val="17"/>
              </w:rPr>
              <w:t xml:space="preserve">Événements au catalogue</w:t>
            </w:r>
          </w:p>
        </w:tc>
        <w:tc>
          <w:tcPr/>
          <w:p>
            <w:pPr>
              <w:pStyle w:val="Compact"/>
            </w:pPr>
            <w:r>
              <w:rPr>
                <w:sz w:val="17"/>
              </w:rPr>
              <w:t xml:space="preserve">255</w:t>
            </w:r>
          </w:p>
        </w:tc>
      </w:tr>
      <w:tr>
        <w:tc>
          <w:tcPr>
            <w:shd w:val="clear" w:color="auto" w:fill="F5F7FB"/>
          </w:tcPr>
          <w:p>
            <w:pPr>
              <w:pStyle w:val="Compact"/>
            </w:pPr>
            <w:r>
              <w:rPr>
                <w:sz w:val="17"/>
              </w:rPr>
              <w:t xml:space="preserve">Catégories</w:t>
            </w:r>
          </w:p>
        </w:tc>
        <w:tc>
          <w:tcPr>
            <w:shd w:val="clear" w:color="auto" w:fill="F5F7FB"/>
          </w:tcPr>
          <w:p>
            <w:pPr>
              <w:pStyle w:val="Compact"/>
            </w:pPr>
            <w:r>
              <w:rPr>
                <w:sz w:val="17"/>
              </w:rPr>
              <w:t xml:space="preserve">23</w:t>
            </w:r>
          </w:p>
        </w:tc>
      </w:tr>
      <w:tr>
        <w:tc>
          <w:tcPr/>
          <w:p>
            <w:pPr>
              <w:pStyle w:val="Compact"/>
            </w:pPr>
            <w:r>
              <w:rPr>
                <w:sz w:val="17"/>
              </w:rPr>
              <w:t xml:space="preserve">Avis obligatoires</w:t>
            </w:r>
          </w:p>
        </w:tc>
        <w:tc>
          <w:tcPr/>
          <w:p>
            <w:pPr>
              <w:pStyle w:val="Compact"/>
            </w:pPr>
            <w:r>
              <w:rPr>
                <w:sz w:val="17"/>
              </w:rPr>
              <w:t xml:space="preserve">135</w:t>
            </w:r>
          </w:p>
        </w:tc>
      </w:tr>
      <w:tr>
        <w:tc>
          <w:tcPr>
            <w:shd w:val="clear" w:color="auto" w:fill="F5F7FB"/>
          </w:tcPr>
          <w:p>
            <w:pPr>
              <w:pStyle w:val="Compact"/>
            </w:pPr>
            <w:r>
              <w:rPr>
                <w:sz w:val="17"/>
              </w:rPr>
              <w:t xml:space="preserve">Événements diffusés par défaut sur « email »</w:t>
            </w:r>
          </w:p>
        </w:tc>
        <w:tc>
          <w:tcPr>
            <w:shd w:val="clear" w:color="auto" w:fill="F5F7FB"/>
          </w:tcPr>
          <w:p>
            <w:pPr>
              <w:pStyle w:val="Compact"/>
            </w:pPr>
            <w:r>
              <w:rPr>
                <w:sz w:val="17"/>
              </w:rPr>
              <w:t xml:space="preserve">206</w:t>
            </w:r>
          </w:p>
        </w:tc>
      </w:tr>
      <w:tr>
        <w:tc>
          <w:tcPr/>
          <w:p>
            <w:pPr>
              <w:pStyle w:val="Compact"/>
            </w:pPr>
            <w:r>
              <w:rPr>
                <w:sz w:val="17"/>
              </w:rPr>
              <w:t xml:space="preserve">Événements diffusés par défaut sur « in-app »</w:t>
            </w:r>
          </w:p>
        </w:tc>
        <w:tc>
          <w:tcPr/>
          <w:p>
            <w:pPr>
              <w:pStyle w:val="Compact"/>
            </w:pPr>
            <w:r>
              <w:rPr>
                <w:sz w:val="17"/>
              </w:rPr>
              <w:t xml:space="preserve">248</w:t>
            </w:r>
          </w:p>
        </w:tc>
      </w:tr>
      <w:tr>
        <w:tc>
          <w:tcPr>
            <w:shd w:val="clear" w:color="auto" w:fill="F5F7FB"/>
          </w:tcPr>
          <w:p>
            <w:pPr>
              <w:pStyle w:val="Compact"/>
            </w:pPr>
            <w:r>
              <w:rPr>
                <w:sz w:val="17"/>
              </w:rPr>
              <w:t xml:space="preserve">Événements diffusés par défaut sur « sms »</w:t>
            </w:r>
          </w:p>
        </w:tc>
        <w:tc>
          <w:tcPr>
            <w:shd w:val="clear" w:color="auto" w:fill="F5F7FB"/>
          </w:tcPr>
          <w:p>
            <w:pPr>
              <w:pStyle w:val="Compact"/>
            </w:pPr>
            <w:r>
              <w:rPr>
                <w:sz w:val="17"/>
              </w:rPr>
              <w:t xml:space="preserve">117</w:t>
            </w:r>
          </w:p>
        </w:tc>
      </w:tr>
      <w:tr>
        <w:tc>
          <w:tcPr/>
          <w:p>
            <w:pPr>
              <w:pStyle w:val="Compact"/>
            </w:pPr>
            <w:r>
              <w:rPr>
                <w:sz w:val="17"/>
              </w:rPr>
              <w:t xml:space="preserve">Événements diffusés par défaut sur « push »</w:t>
            </w:r>
          </w:p>
        </w:tc>
        <w:tc>
          <w:tcPr/>
          <w:p>
            <w:pPr>
              <w:pStyle w:val="Compact"/>
            </w:pPr>
            <w:r>
              <w:rPr>
                <w:sz w:val="17"/>
              </w:rPr>
              <w:t xml:space="preserve">43</w:t>
            </w:r>
          </w:p>
        </w:tc>
      </w:tr>
      <w:tr>
        <w:tc>
          <w:tcPr>
            <w:shd w:val="clear" w:color="auto" w:fill="F5F7FB"/>
          </w:tcPr>
          <w:p>
            <w:pPr>
              <w:pStyle w:val="Compact"/>
            </w:pPr>
            <w:r>
              <w:rPr>
                <w:sz w:val="17"/>
              </w:rPr>
              <w:t xml:space="preserve">Événements diffusés par défaut sur « whatsapp »</w:t>
            </w:r>
          </w:p>
        </w:tc>
        <w:tc>
          <w:tcPr>
            <w:shd w:val="clear" w:color="auto" w:fill="F5F7FB"/>
          </w:tcPr>
          <w:p>
            <w:pPr>
              <w:pStyle w:val="Compact"/>
            </w:pPr>
            <w:r>
              <w:rPr>
                <w:sz w:val="17"/>
              </w:rPr>
              <w:t xml:space="preserve">64</w:t>
            </w:r>
          </w:p>
        </w:tc>
      </w:tr>
      <w:tr>
        <w:tc>
          <w:tcPr/>
          <w:p>
            <w:pPr>
              <w:pStyle w:val="Compact"/>
            </w:pPr>
            <w:r>
              <w:rPr>
                <w:sz w:val="17"/>
              </w:rPr>
              <w:t xml:space="preserve">Événements diffusés par défaut sur « ussd »</w:t>
            </w:r>
          </w:p>
        </w:tc>
        <w:tc>
          <w:tcPr/>
          <w:p>
            <w:pPr>
              <w:pStyle w:val="Compact"/>
            </w:pPr>
            <w:r>
              <w:rPr>
                <w:sz w:val="17"/>
              </w:rPr>
              <w:t xml:space="preserve">31</w:t>
            </w:r>
          </w:p>
        </w:tc>
      </w:tr>
      <w:tr>
        <w:tc>
          <w:tcPr>
            <w:shd w:val="clear" w:color="auto" w:fill="F5F7FB"/>
          </w:tcPr>
          <w:p>
            <w:pPr>
              <w:pStyle w:val="Compact"/>
            </w:pPr>
            <w:r>
              <w:rPr>
                <w:sz w:val="17"/>
              </w:rPr>
              <w:t xml:space="preserve">Événements diffusés par défaut sur « svi »</w:t>
            </w:r>
          </w:p>
        </w:tc>
        <w:tc>
          <w:tcPr>
            <w:shd w:val="clear" w:color="auto" w:fill="F5F7FB"/>
          </w:tcPr>
          <w:p>
            <w:pPr>
              <w:pStyle w:val="Compact"/>
            </w:pPr>
            <w:r>
              <w:rPr>
                <w:sz w:val="17"/>
              </w:rPr>
              <w:t xml:space="preserve">11</w:t>
            </w:r>
          </w:p>
        </w:tc>
      </w:tr>
      <w:tr>
        <w:tc>
          <w:tcPr/>
          <w:p>
            <w:pPr>
              <w:pStyle w:val="Compact"/>
            </w:pPr>
            <w:r>
              <w:rPr>
                <w:sz w:val="17"/>
              </w:rPr>
              <w:t xml:space="preserve">Événements diffusés par défaut sur « courrier »</w:t>
            </w:r>
          </w:p>
        </w:tc>
        <w:tc>
          <w:tcPr/>
          <w:p>
            <w:pPr>
              <w:pStyle w:val="Compact"/>
            </w:pPr>
            <w:r>
              <w:rPr>
                <w:sz w:val="17"/>
              </w:rPr>
              <w:t xml:space="preserve">26</w:t>
            </w:r>
          </w:p>
        </w:tc>
      </w:tr>
    </w:tbl>
    <w:p/>
    <w:tbl>
      <w:tblPr>
        <w:tblStyle w:val="Table"/>
        <w:tblW w:type="auto" w:w="0"/>
        <w:tblBorders>
          <w:top w:val="single" w:sz="4" w:color="CFE9E4"/>
          <w:left w:val="single" w:sz="4" w:color="CFE9E4"/>
          <w:bottom w:val="single" w:sz="4" w:color="CFE9E4"/>
          <w:right w:val="single" w:sz="4" w:color="CFE9E4"/>
          <w:insideH w:val="single" w:sz="4" w:color="CFE9E4"/>
          <w:insideV w:val="single" w:sz="4" w:color="CFE9E4"/>
        </w:tblBorders>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Catégorie</w:t>
            </w:r>
          </w:p>
        </w:tc>
        <w:tc>
          <w:tcPr>
            <w:shd w:val="clear" w:color="auto" w:fill="232C6B"/>
          </w:tcPr>
          <w:p>
            <w:pPr>
              <w:pStyle w:val="Compact"/>
            </w:pPr>
            <w:r>
              <w:rPr>
                <w:b/>
                <w:color w:val="FFFFFF"/>
                <w:sz w:val="17"/>
              </w:rPr>
              <w:t xml:space="preserve">Événements</w:t>
            </w:r>
          </w:p>
        </w:tc>
        <w:tc>
          <w:tcPr>
            <w:shd w:val="clear" w:color="auto" w:fill="232C6B"/>
          </w:tcPr>
          <w:p>
            <w:pPr>
              <w:pStyle w:val="Compact"/>
            </w:pPr>
            <w:r>
              <w:rPr>
                <w:b/>
                <w:color w:val="FFFFFF"/>
                <w:sz w:val="17"/>
              </w:rPr>
              <w:t xml:space="preserve">Obligatoires</w:t>
            </w:r>
          </w:p>
        </w:tc>
      </w:tr>
      <w:tr>
        <w:tc>
          <w:tcPr/>
          <w:p>
            <w:pPr>
              <w:pStyle w:val="Compact"/>
            </w:pPr>
            <w:r>
              <w:rPr>
                <w:sz w:val="17"/>
              </w:rPr>
              <w:t xml:space="preserve">Identité et compte</w:t>
            </w:r>
          </w:p>
        </w:tc>
        <w:tc>
          <w:tcPr/>
          <w:p>
            <w:pPr>
              <w:pStyle w:val="Compact"/>
            </w:pPr>
            <w:r>
              <w:rPr>
                <w:sz w:val="17"/>
              </w:rPr>
              <w:t xml:space="preserve">18</w:t>
            </w:r>
          </w:p>
        </w:tc>
        <w:tc>
          <w:tcPr/>
          <w:p>
            <w:pPr>
              <w:pStyle w:val="Compact"/>
            </w:pPr>
            <w:r>
              <w:rPr>
                <w:sz w:val="17"/>
              </w:rPr>
              <w:t xml:space="preserve">6</w:t>
            </w:r>
          </w:p>
        </w:tc>
      </w:tr>
      <w:tr>
        <w:tc>
          <w:tcPr>
            <w:shd w:val="clear" w:color="auto" w:fill="F5F7FB"/>
          </w:tcPr>
          <w:p>
            <w:pPr>
              <w:pStyle w:val="Compact"/>
            </w:pPr>
            <w:r>
              <w:rPr>
                <w:sz w:val="17"/>
              </w:rPr>
              <w:t xml:space="preserve">Connexion et sécurité</w:t>
            </w:r>
          </w:p>
        </w:tc>
        <w:tc>
          <w:tcPr>
            <w:shd w:val="clear" w:color="auto" w:fill="F5F7FB"/>
          </w:tcPr>
          <w:p>
            <w:pPr>
              <w:pStyle w:val="Compact"/>
            </w:pPr>
            <w:r>
              <w:rPr>
                <w:sz w:val="17"/>
              </w:rPr>
              <w:t xml:space="preserve">17</w:t>
            </w:r>
          </w:p>
        </w:tc>
        <w:tc>
          <w:tcPr>
            <w:shd w:val="clear" w:color="auto" w:fill="F5F7FB"/>
          </w:tcPr>
          <w:p>
            <w:pPr>
              <w:pStyle w:val="Compact"/>
            </w:pPr>
            <w:r>
              <w:rPr>
                <w:sz w:val="17"/>
              </w:rPr>
              <w:t xml:space="preserve">14</w:t>
            </w:r>
          </w:p>
        </w:tc>
      </w:tr>
      <w:tr>
        <w:tc>
          <w:tcPr/>
          <w:p>
            <w:pPr>
              <w:pStyle w:val="Compact"/>
            </w:pPr>
            <w:r>
              <w:rPr>
                <w:sz w:val="17"/>
              </w:rPr>
              <w:t xml:space="preserve">Mandats et représentants</w:t>
            </w:r>
          </w:p>
        </w:tc>
        <w:tc>
          <w:tcPr/>
          <w:p>
            <w:pPr>
              <w:pStyle w:val="Compact"/>
            </w:pPr>
            <w:r>
              <w:rPr>
                <w:sz w:val="17"/>
              </w:rPr>
              <w:t xml:space="preserve">5</w:t>
            </w:r>
          </w:p>
        </w:tc>
        <w:tc>
          <w:tcPr/>
          <w:p>
            <w:pPr>
              <w:pStyle w:val="Compact"/>
            </w:pPr>
            <w:r>
              <w:rPr>
                <w:sz w:val="17"/>
              </w:rPr>
              <w:t xml:space="preserve">3</w:t>
            </w:r>
          </w:p>
        </w:tc>
      </w:tr>
      <w:tr>
        <w:tc>
          <w:tcPr>
            <w:shd w:val="clear" w:color="auto" w:fill="F5F7FB"/>
          </w:tcPr>
          <w:p>
            <w:pPr>
              <w:pStyle w:val="Compact"/>
            </w:pPr>
            <w:r>
              <w:rPr>
                <w:sz w:val="17"/>
              </w:rPr>
              <w:t xml:space="preserve">Objets fiscaux et recensement</w:t>
            </w:r>
          </w:p>
        </w:tc>
        <w:tc>
          <w:tcPr>
            <w:shd w:val="clear" w:color="auto" w:fill="F5F7FB"/>
          </w:tcPr>
          <w:p>
            <w:pPr>
              <w:pStyle w:val="Compact"/>
            </w:pPr>
            <w:r>
              <w:rPr>
                <w:sz w:val="17"/>
              </w:rPr>
              <w:t xml:space="preserve">10</w:t>
            </w:r>
          </w:p>
        </w:tc>
        <w:tc>
          <w:tcPr>
            <w:shd w:val="clear" w:color="auto" w:fill="F5F7FB"/>
          </w:tcPr>
          <w:p>
            <w:pPr>
              <w:pStyle w:val="Compact"/>
            </w:pPr>
            <w:r>
              <w:rPr>
                <w:sz w:val="17"/>
              </w:rPr>
              <w:t xml:space="preserve">5</w:t>
            </w:r>
          </w:p>
        </w:tc>
      </w:tr>
      <w:tr>
        <w:tc>
          <w:tcPr/>
          <w:p>
            <w:pPr>
              <w:pStyle w:val="Compact"/>
            </w:pPr>
            <w:r>
              <w:rPr>
                <w:sz w:val="17"/>
              </w:rPr>
              <w:t xml:space="preserve">Foncier et locatif</w:t>
            </w:r>
          </w:p>
        </w:tc>
        <w:tc>
          <w:tcPr/>
          <w:p>
            <w:pPr>
              <w:pStyle w:val="Compact"/>
            </w:pPr>
            <w:r>
              <w:rPr>
                <w:sz w:val="17"/>
              </w:rPr>
              <w:t xml:space="preserve">9</w:t>
            </w:r>
          </w:p>
        </w:tc>
        <w:tc>
          <w:tcPr/>
          <w:p>
            <w:pPr>
              <w:pStyle w:val="Compact"/>
            </w:pPr>
            <w:r>
              <w:rPr>
                <w:sz w:val="17"/>
              </w:rPr>
              <w:t xml:space="preserve">4</w:t>
            </w:r>
          </w:p>
        </w:tc>
      </w:tr>
      <w:tr>
        <w:tc>
          <w:tcPr>
            <w:shd w:val="clear" w:color="auto" w:fill="F5F7FB"/>
          </w:tcPr>
          <w:p>
            <w:pPr>
              <w:pStyle w:val="Compact"/>
            </w:pPr>
            <w:r>
              <w:rPr>
                <w:sz w:val="17"/>
              </w:rPr>
              <w:t xml:space="preserve">Déclarations et liquidation</w:t>
            </w:r>
          </w:p>
        </w:tc>
        <w:tc>
          <w:tcPr>
            <w:shd w:val="clear" w:color="auto" w:fill="F5F7FB"/>
          </w:tcPr>
          <w:p>
            <w:pPr>
              <w:pStyle w:val="Compact"/>
            </w:pPr>
            <w:r>
              <w:rPr>
                <w:sz w:val="17"/>
              </w:rPr>
              <w:t xml:space="preserve">19</w:t>
            </w:r>
          </w:p>
        </w:tc>
        <w:tc>
          <w:tcPr>
            <w:shd w:val="clear" w:color="auto" w:fill="F5F7FB"/>
          </w:tcPr>
          <w:p>
            <w:pPr>
              <w:pStyle w:val="Compact"/>
            </w:pPr>
            <w:r>
              <w:rPr>
                <w:sz w:val="17"/>
              </w:rPr>
              <w:t xml:space="preserve">10</w:t>
            </w:r>
          </w:p>
        </w:tc>
      </w:tr>
      <w:tr>
        <w:tc>
          <w:tcPr/>
          <w:p>
            <w:pPr>
              <w:pStyle w:val="Compact"/>
            </w:pPr>
            <w:r>
              <w:rPr>
                <w:sz w:val="17"/>
              </w:rPr>
              <w:t xml:space="preserve">Paiements</w:t>
            </w:r>
          </w:p>
        </w:tc>
        <w:tc>
          <w:tcPr/>
          <w:p>
            <w:pPr>
              <w:pStyle w:val="Compact"/>
            </w:pPr>
            <w:r>
              <w:rPr>
                <w:sz w:val="17"/>
              </w:rPr>
              <w:t xml:space="preserve">14</w:t>
            </w:r>
          </w:p>
        </w:tc>
        <w:tc>
          <w:tcPr/>
          <w:p>
            <w:pPr>
              <w:pStyle w:val="Compact"/>
            </w:pPr>
            <w:r>
              <w:rPr>
                <w:sz w:val="17"/>
              </w:rPr>
              <w:t xml:space="preserve">8</w:t>
            </w:r>
          </w:p>
        </w:tc>
      </w:tr>
      <w:tr>
        <w:tc>
          <w:tcPr>
            <w:shd w:val="clear" w:color="auto" w:fill="F5F7FB"/>
          </w:tcPr>
          <w:p>
            <w:pPr>
              <w:pStyle w:val="Compact"/>
            </w:pPr>
            <w:r>
              <w:rPr>
                <w:sz w:val="17"/>
              </w:rPr>
              <w:t xml:space="preserve">Quittances et quitus</w:t>
            </w:r>
          </w:p>
        </w:tc>
        <w:tc>
          <w:tcPr>
            <w:shd w:val="clear" w:color="auto" w:fill="F5F7FB"/>
          </w:tcPr>
          <w:p>
            <w:pPr>
              <w:pStyle w:val="Compact"/>
            </w:pPr>
            <w:r>
              <w:rPr>
                <w:sz w:val="17"/>
              </w:rPr>
              <w:t xml:space="preserve">12</w:t>
            </w:r>
          </w:p>
        </w:tc>
        <w:tc>
          <w:tcPr>
            <w:shd w:val="clear" w:color="auto" w:fill="F5F7FB"/>
          </w:tcPr>
          <w:p>
            <w:pPr>
              <w:pStyle w:val="Compact"/>
            </w:pPr>
            <w:r>
              <w:rPr>
                <w:sz w:val="17"/>
              </w:rPr>
              <w:t xml:space="preserve">8</w:t>
            </w:r>
          </w:p>
        </w:tc>
      </w:tr>
      <w:tr>
        <w:tc>
          <w:tcPr/>
          <w:p>
            <w:pPr>
              <w:pStyle w:val="Compact"/>
            </w:pPr>
            <w:r>
              <w:rPr>
                <w:sz w:val="17"/>
              </w:rPr>
              <w:t xml:space="preserve">Titres, autorisations et droits d’accès</w:t>
            </w:r>
          </w:p>
        </w:tc>
        <w:tc>
          <w:tcPr/>
          <w:p>
            <w:pPr>
              <w:pStyle w:val="Compact"/>
            </w:pPr>
            <w:r>
              <w:rPr>
                <w:sz w:val="17"/>
              </w:rPr>
              <w:t xml:space="preserve">14</w:t>
            </w:r>
          </w:p>
        </w:tc>
        <w:tc>
          <w:tcPr/>
          <w:p>
            <w:pPr>
              <w:pStyle w:val="Compact"/>
            </w:pPr>
            <w:r>
              <w:rPr>
                <w:sz w:val="17"/>
              </w:rPr>
              <w:t xml:space="preserve">7</w:t>
            </w:r>
          </w:p>
        </w:tc>
      </w:tr>
      <w:tr>
        <w:tc>
          <w:tcPr>
            <w:shd w:val="clear" w:color="auto" w:fill="F5F7FB"/>
          </w:tcPr>
          <w:p>
            <w:pPr>
              <w:pStyle w:val="Compact"/>
            </w:pPr>
            <w:r>
              <w:rPr>
                <w:sz w:val="17"/>
              </w:rPr>
              <w:t xml:space="preserve">Recouvrement et arriérés</w:t>
            </w:r>
          </w:p>
        </w:tc>
        <w:tc>
          <w:tcPr>
            <w:shd w:val="clear" w:color="auto" w:fill="F5F7FB"/>
          </w:tcPr>
          <w:p>
            <w:pPr>
              <w:pStyle w:val="Compact"/>
            </w:pPr>
            <w:r>
              <w:rPr>
                <w:sz w:val="17"/>
              </w:rPr>
              <w:t xml:space="preserve">9</w:t>
            </w:r>
          </w:p>
        </w:tc>
        <w:tc>
          <w:tcPr>
            <w:shd w:val="clear" w:color="auto" w:fill="F5F7FB"/>
          </w:tcPr>
          <w:p>
            <w:pPr>
              <w:pStyle w:val="Compact"/>
            </w:pPr>
            <w:r>
              <w:rPr>
                <w:sz w:val="17"/>
              </w:rPr>
              <w:t xml:space="preserve">6</w:t>
            </w:r>
          </w:p>
        </w:tc>
      </w:tr>
      <w:tr>
        <w:tc>
          <w:tcPr/>
          <w:p>
            <w:pPr>
              <w:pStyle w:val="Compact"/>
            </w:pPr>
            <w:r>
              <w:rPr>
                <w:sz w:val="17"/>
              </w:rPr>
              <w:t xml:space="preserve">Missions et contrôle terrain</w:t>
            </w:r>
          </w:p>
        </w:tc>
        <w:tc>
          <w:tcPr/>
          <w:p>
            <w:pPr>
              <w:pStyle w:val="Compact"/>
            </w:pPr>
            <w:r>
              <w:rPr>
                <w:sz w:val="17"/>
              </w:rPr>
              <w:t xml:space="preserve">9</w:t>
            </w:r>
          </w:p>
        </w:tc>
        <w:tc>
          <w:tcPr/>
          <w:p>
            <w:pPr>
              <w:pStyle w:val="Compact"/>
            </w:pPr>
            <w:r>
              <w:rPr>
                <w:sz w:val="17"/>
              </w:rPr>
              <w:t xml:space="preserve">4</w:t>
            </w:r>
          </w:p>
        </w:tc>
      </w:tr>
      <w:tr>
        <w:tc>
          <w:tcPr>
            <w:shd w:val="clear" w:color="auto" w:fill="F5F7FB"/>
          </w:tcPr>
          <w:p>
            <w:pPr>
              <w:pStyle w:val="Compact"/>
            </w:pPr>
            <w:r>
              <w:rPr>
                <w:sz w:val="17"/>
              </w:rPr>
              <w:t xml:space="preserve">Réclamations et recours</w:t>
            </w:r>
          </w:p>
        </w:tc>
        <w:tc>
          <w:tcPr>
            <w:shd w:val="clear" w:color="auto" w:fill="F5F7FB"/>
          </w:tcPr>
          <w:p>
            <w:pPr>
              <w:pStyle w:val="Compact"/>
            </w:pPr>
            <w:r>
              <w:rPr>
                <w:sz w:val="17"/>
              </w:rPr>
              <w:t xml:space="preserve">6</w:t>
            </w:r>
          </w:p>
        </w:tc>
        <w:tc>
          <w:tcPr>
            <w:shd w:val="clear" w:color="auto" w:fill="F5F7FB"/>
          </w:tcPr>
          <w:p>
            <w:pPr>
              <w:pStyle w:val="Compact"/>
            </w:pPr>
            <w:r>
              <w:rPr>
                <w:sz w:val="17"/>
              </w:rPr>
              <w:t xml:space="preserve">5</w:t>
            </w:r>
          </w:p>
        </w:tc>
      </w:tr>
      <w:tr>
        <w:tc>
          <w:tcPr/>
          <w:p>
            <w:pPr>
              <w:pStyle w:val="Compact"/>
            </w:pPr>
            <w:r>
              <w:rPr>
                <w:sz w:val="17"/>
              </w:rPr>
              <w:t xml:space="preserve">Approbations et workflows (maker-checker)</w:t>
            </w:r>
          </w:p>
        </w:tc>
        <w:tc>
          <w:tcPr/>
          <w:p>
            <w:pPr>
              <w:pStyle w:val="Compact"/>
            </w:pPr>
            <w:r>
              <w:rPr>
                <w:sz w:val="17"/>
              </w:rPr>
              <w:t xml:space="preserve">12</w:t>
            </w:r>
          </w:p>
        </w:tc>
        <w:tc>
          <w:tcPr/>
          <w:p>
            <w:pPr>
              <w:pStyle w:val="Compact"/>
            </w:pPr>
            <w:r>
              <w:rPr>
                <w:sz w:val="17"/>
              </w:rPr>
              <w:t xml:space="preserve">6</w:t>
            </w:r>
          </w:p>
        </w:tc>
      </w:tr>
      <w:tr>
        <w:tc>
          <w:tcPr>
            <w:shd w:val="clear" w:color="auto" w:fill="F5F7FB"/>
          </w:tcPr>
          <w:p>
            <w:pPr>
              <w:pStyle w:val="Compact"/>
            </w:pPr>
            <w:r>
              <w:rPr>
                <w:sz w:val="17"/>
              </w:rPr>
              <w:t xml:space="preserve">Registre juridique et règles</w:t>
            </w:r>
          </w:p>
        </w:tc>
        <w:tc>
          <w:tcPr>
            <w:shd w:val="clear" w:color="auto" w:fill="F5F7FB"/>
          </w:tcPr>
          <w:p>
            <w:pPr>
              <w:pStyle w:val="Compact"/>
            </w:pPr>
            <w:r>
              <w:rPr>
                <w:sz w:val="17"/>
              </w:rPr>
              <w:t xml:space="preserve">11</w:t>
            </w:r>
          </w:p>
        </w:tc>
        <w:tc>
          <w:tcPr>
            <w:shd w:val="clear" w:color="auto" w:fill="F5F7FB"/>
          </w:tcPr>
          <w:p>
            <w:pPr>
              <w:pStyle w:val="Compact"/>
            </w:pPr>
            <w:r>
              <w:rPr>
                <w:sz w:val="17"/>
              </w:rPr>
              <w:t xml:space="preserve">5</w:t>
            </w:r>
          </w:p>
        </w:tc>
      </w:tr>
      <w:tr>
        <w:tc>
          <w:tcPr/>
          <w:p>
            <w:pPr>
              <w:pStyle w:val="Compact"/>
            </w:pPr>
            <w:r>
              <w:rPr>
                <w:sz w:val="17"/>
              </w:rPr>
              <w:t xml:space="preserve">Trésor, règlement et rapprochement</w:t>
            </w:r>
          </w:p>
        </w:tc>
        <w:tc>
          <w:tcPr/>
          <w:p>
            <w:pPr>
              <w:pStyle w:val="Compact"/>
            </w:pPr>
            <w:r>
              <w:rPr>
                <w:sz w:val="17"/>
              </w:rPr>
              <w:t xml:space="preserve">11</w:t>
            </w:r>
          </w:p>
        </w:tc>
        <w:tc>
          <w:tcPr/>
          <w:p>
            <w:pPr>
              <w:pStyle w:val="Compact"/>
            </w:pPr>
            <w:r>
              <w:rPr>
                <w:sz w:val="17"/>
              </w:rPr>
              <w:t xml:space="preserve">4</w:t>
            </w:r>
          </w:p>
        </w:tc>
      </w:tr>
      <w:tr>
        <w:tc>
          <w:tcPr>
            <w:shd w:val="clear" w:color="auto" w:fill="F5F7FB"/>
          </w:tcPr>
          <w:p>
            <w:pPr>
              <w:pStyle w:val="Compact"/>
            </w:pPr>
            <w:r>
              <w:rPr>
                <w:sz w:val="17"/>
              </w:rPr>
              <w:t xml:space="preserve">Anti-fraude et audit</w:t>
            </w:r>
          </w:p>
        </w:tc>
        <w:tc>
          <w:tcPr>
            <w:shd w:val="clear" w:color="auto" w:fill="F5F7FB"/>
          </w:tcPr>
          <w:p>
            <w:pPr>
              <w:pStyle w:val="Compact"/>
            </w:pPr>
            <w:r>
              <w:rPr>
                <w:sz w:val="17"/>
              </w:rPr>
              <w:t xml:space="preserve">13</w:t>
            </w:r>
          </w:p>
        </w:tc>
        <w:tc>
          <w:tcPr>
            <w:shd w:val="clear" w:color="auto" w:fill="F5F7FB"/>
          </w:tcPr>
          <w:p>
            <w:pPr>
              <w:pStyle w:val="Compact"/>
            </w:pPr>
            <w:r>
              <w:rPr>
                <w:sz w:val="17"/>
              </w:rPr>
              <w:t xml:space="preserve">12</w:t>
            </w:r>
          </w:p>
        </w:tc>
      </w:tr>
      <w:tr>
        <w:tc>
          <w:tcPr/>
          <w:p>
            <w:pPr>
              <w:pStyle w:val="Compact"/>
            </w:pPr>
            <w:r>
              <w:rPr>
                <w:sz w:val="17"/>
              </w:rPr>
              <w:t xml:space="preserve">Agents d’intelligence artificielle</w:t>
            </w:r>
          </w:p>
        </w:tc>
        <w:tc>
          <w:tcPr/>
          <w:p>
            <w:pPr>
              <w:pStyle w:val="Compact"/>
            </w:pPr>
            <w:r>
              <w:rPr>
                <w:sz w:val="17"/>
              </w:rPr>
              <w:t xml:space="preserve">9</w:t>
            </w:r>
          </w:p>
        </w:tc>
        <w:tc>
          <w:tcPr/>
          <w:p>
            <w:pPr>
              <w:pStyle w:val="Compact"/>
            </w:pPr>
            <w:r>
              <w:rPr>
                <w:sz w:val="17"/>
              </w:rPr>
              <w:t xml:space="preserve">3</w:t>
            </w:r>
          </w:p>
        </w:tc>
      </w:tr>
      <w:tr>
        <w:tc>
          <w:tcPr>
            <w:shd w:val="clear" w:color="auto" w:fill="F5F7FB"/>
          </w:tcPr>
          <w:p>
            <w:pPr>
              <w:pStyle w:val="Compact"/>
            </w:pPr>
            <w:r>
              <w:rPr>
                <w:sz w:val="17"/>
              </w:rPr>
              <w:t xml:space="preserve">Pilotage et tableaux de bord</w:t>
            </w:r>
          </w:p>
        </w:tc>
        <w:tc>
          <w:tcPr>
            <w:shd w:val="clear" w:color="auto" w:fill="F5F7FB"/>
          </w:tcPr>
          <w:p>
            <w:pPr>
              <w:pStyle w:val="Compact"/>
            </w:pPr>
            <w:r>
              <w:rPr>
                <w:sz w:val="17"/>
              </w:rPr>
              <w:t xml:space="preserve">8</w:t>
            </w:r>
          </w:p>
        </w:tc>
        <w:tc>
          <w:tcPr>
            <w:shd w:val="clear" w:color="auto" w:fill="F5F7FB"/>
          </w:tcPr>
          <w:p>
            <w:pPr>
              <w:pStyle w:val="Compact"/>
            </w:pPr>
            <w:r>
              <w:rPr>
                <w:sz w:val="17"/>
              </w:rPr>
              <w:t xml:space="preserve">1</w:t>
            </w:r>
          </w:p>
        </w:tc>
      </w:tr>
      <w:tr>
        <w:tc>
          <w:tcPr/>
          <w:p>
            <w:pPr>
              <w:pStyle w:val="Compact"/>
            </w:pPr>
            <w:r>
              <w:rPr>
                <w:sz w:val="17"/>
              </w:rPr>
              <w:t xml:space="preserve">Invitations et accès des agents publics</w:t>
            </w:r>
          </w:p>
        </w:tc>
        <w:tc>
          <w:tcPr/>
          <w:p>
            <w:pPr>
              <w:pStyle w:val="Compact"/>
            </w:pPr>
            <w:r>
              <w:rPr>
                <w:sz w:val="17"/>
              </w:rPr>
              <w:t xml:space="preserve">14</w:t>
            </w:r>
          </w:p>
        </w:tc>
        <w:tc>
          <w:tcPr/>
          <w:p>
            <w:pPr>
              <w:pStyle w:val="Compact"/>
            </w:pPr>
            <w:r>
              <w:rPr>
                <w:sz w:val="17"/>
              </w:rPr>
              <w:t xml:space="preserve">5</w:t>
            </w:r>
          </w:p>
        </w:tc>
      </w:tr>
      <w:tr>
        <w:tc>
          <w:tcPr>
            <w:shd w:val="clear" w:color="auto" w:fill="F5F7FB"/>
          </w:tcPr>
          <w:p>
            <w:pPr>
              <w:pStyle w:val="Compact"/>
            </w:pPr>
            <w:r>
              <w:rPr>
                <w:sz w:val="17"/>
              </w:rPr>
              <w:t xml:space="preserve">Apprentissage et certification</w:t>
            </w:r>
          </w:p>
        </w:tc>
        <w:tc>
          <w:tcPr>
            <w:shd w:val="clear" w:color="auto" w:fill="F5F7FB"/>
          </w:tcPr>
          <w:p>
            <w:pPr>
              <w:pStyle w:val="Compact"/>
            </w:pPr>
            <w:r>
              <w:rPr>
                <w:sz w:val="17"/>
              </w:rPr>
              <w:t xml:space="preserve">7</w:t>
            </w:r>
          </w:p>
        </w:tc>
        <w:tc>
          <w:tcPr>
            <w:shd w:val="clear" w:color="auto" w:fill="F5F7FB"/>
          </w:tcPr>
          <w:p>
            <w:pPr>
              <w:pStyle w:val="Compact"/>
            </w:pPr>
            <w:r>
              <w:rPr>
                <w:sz w:val="17"/>
              </w:rPr>
              <w:t xml:space="preserve">2</w:t>
            </w:r>
          </w:p>
        </w:tc>
      </w:tr>
      <w:tr>
        <w:tc>
          <w:tcPr/>
          <w:p>
            <w:pPr>
              <w:pStyle w:val="Compact"/>
            </w:pPr>
            <w:r>
              <w:rPr>
                <w:sz w:val="17"/>
              </w:rPr>
              <w:t xml:space="preserve">Plateforme et continuité</w:t>
            </w:r>
          </w:p>
        </w:tc>
        <w:tc>
          <w:tcPr/>
          <w:p>
            <w:pPr>
              <w:pStyle w:val="Compact"/>
            </w:pPr>
            <w:r>
              <w:rPr>
                <w:sz w:val="17"/>
              </w:rPr>
              <w:t xml:space="preserve">8</w:t>
            </w:r>
          </w:p>
        </w:tc>
        <w:tc>
          <w:tcPr/>
          <w:p>
            <w:pPr>
              <w:pStyle w:val="Compact"/>
            </w:pPr>
            <w:r>
              <w:rPr>
                <w:sz w:val="17"/>
              </w:rPr>
              <w:t xml:space="preserve">4</w:t>
            </w:r>
          </w:p>
        </w:tc>
      </w:tr>
      <w:tr>
        <w:tc>
          <w:tcPr>
            <w:shd w:val="clear" w:color="auto" w:fill="F5F7FB"/>
          </w:tcPr>
          <w:p>
            <w:pPr>
              <w:pStyle w:val="Compact"/>
            </w:pPr>
            <w:r>
              <w:rPr>
                <w:sz w:val="17"/>
              </w:rPr>
              <w:t xml:space="preserve">Données personnelles et consentement</w:t>
            </w:r>
          </w:p>
        </w:tc>
        <w:tc>
          <w:tcPr>
            <w:shd w:val="clear" w:color="auto" w:fill="F5F7FB"/>
          </w:tcPr>
          <w:p>
            <w:pPr>
              <w:pStyle w:val="Compact"/>
            </w:pPr>
            <w:r>
              <w:rPr>
                <w:sz w:val="17"/>
              </w:rPr>
              <w:t xml:space="preserve">8</w:t>
            </w:r>
          </w:p>
        </w:tc>
        <w:tc>
          <w:tcPr>
            <w:shd w:val="clear" w:color="auto" w:fill="F5F7FB"/>
          </w:tcPr>
          <w:p>
            <w:pPr>
              <w:pStyle w:val="Compact"/>
            </w:pPr>
            <w:r>
              <w:rPr>
                <w:sz w:val="17"/>
              </w:rPr>
              <w:t xml:space="preserve">6</w:t>
            </w:r>
          </w:p>
        </w:tc>
      </w:tr>
      <w:tr>
        <w:tc>
          <w:tcPr/>
          <w:p>
            <w:pPr>
              <w:pStyle w:val="Compact"/>
            </w:pPr>
            <w:r>
              <w:rPr>
                <w:sz w:val="17"/>
              </w:rPr>
              <w:t xml:space="preserve">Partenaires, contrats et points de paiement</w:t>
            </w:r>
          </w:p>
        </w:tc>
        <w:tc>
          <w:tcPr/>
          <w:p>
            <w:pPr>
              <w:pStyle w:val="Compact"/>
            </w:pPr>
            <w:r>
              <w:rPr>
                <w:sz w:val="17"/>
              </w:rPr>
              <w:t xml:space="preserve">12</w:t>
            </w:r>
          </w:p>
        </w:tc>
        <w:tc>
          <w:tcPr/>
          <w:p>
            <w:pPr>
              <w:pStyle w:val="Compact"/>
            </w:pPr>
            <w:r>
              <w:rPr>
                <w:sz w:val="17"/>
              </w:rPr>
              <w:t xml:space="preserve">7</w:t>
            </w:r>
          </w:p>
        </w:tc>
      </w:tr>
    </w:tbl>
    <w:bookmarkEnd w:id="585"/>
    <w:bookmarkStart w:id="586" w:name="g.2-identité-et-compte"/>
    <w:p>
      <w:pPr>
        <w:pStyle w:val="Heading2"/>
      </w:pPr>
      <w:r>
        <w:t xml:space="preserve">G.2 Identité et compte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shd w:val="clear" w:color="auto" w:fill="232C6B"/>
          </w:tcPr>
          <w:p>
            <w:pPr>
              <w:pStyle w:val="Compact"/>
            </w:pPr>
            <w:r>
              <w:rPr>
                <w:b/>
                <w:color w:val="FFFFFF"/>
                <w:sz w:val="17"/>
              </w:rPr>
              <w:t xml:space="preserve">Code</w:t>
            </w:r>
          </w:p>
        </w:tc>
        <w:tc>
          <w:tcPr>
            <w:shd w:val="clear" w:color="auto" w:fill="232C6B"/>
          </w:tcPr>
          <w:p>
            <w:pPr>
              <w:pStyle w:val="Compact"/>
            </w:pPr>
            <w:r>
              <w:rPr>
                <w:b/>
                <w:color w:val="FFFFFF"/>
                <w:sz w:val="17"/>
              </w:rPr>
              <w:t xml:space="preserve">Événement</w:t>
            </w:r>
          </w:p>
        </w:tc>
        <w:tc>
          <w:tcPr>
            <w:shd w:val="clear" w:color="auto" w:fill="232C6B"/>
          </w:tcPr>
          <w:p>
            <w:pPr>
              <w:pStyle w:val="Compact"/>
            </w:pPr>
            <w:r>
              <w:rPr>
                <w:b/>
                <w:color w:val="FFFFFF"/>
                <w:sz w:val="17"/>
              </w:rPr>
              <w:t xml:space="preserve">Objet du message (fr)</w:t>
            </w:r>
          </w:p>
        </w:tc>
        <w:tc>
          <w:tcPr>
            <w:shd w:val="clear" w:color="auto" w:fill="232C6B"/>
          </w:tcPr>
          <w:p>
            <w:pPr>
              <w:pStyle w:val="Compact"/>
            </w:pPr>
            <w:r>
              <w:rPr>
                <w:b/>
                <w:color w:val="FFFFFF"/>
                <w:sz w:val="17"/>
              </w:rPr>
              <w:t xml:space="preserve">Gravité</w:t>
            </w:r>
          </w:p>
        </w:tc>
        <w:tc>
          <w:tcPr>
            <w:shd w:val="clear" w:color="auto" w:fill="232C6B"/>
          </w:tcPr>
          <w:p>
            <w:pPr>
              <w:pStyle w:val="Compact"/>
            </w:pPr>
            <w:r>
              <w:rPr>
                <w:b/>
                <w:color w:val="FFFFFF"/>
                <w:sz w:val="17"/>
              </w:rPr>
              <w:t xml:space="preserve">Canaux</w:t>
            </w:r>
          </w:p>
        </w:tc>
        <w:tc>
          <w:tcPr>
            <w:shd w:val="clear" w:color="auto" w:fill="232C6B"/>
          </w:tcPr>
          <w:p>
            <w:pPr>
              <w:pStyle w:val="Compact"/>
            </w:pPr>
            <w:r>
              <w:rPr>
                <w:b/>
                <w:color w:val="FFFFFF"/>
                <w:sz w:val="17"/>
              </w:rPr>
              <w:t xml:space="preserve">M</w:t>
            </w:r>
          </w:p>
        </w:tc>
        <w:tc>
          <w:tcPr>
            <w:shd w:val="clear" w:color="auto" w:fill="232C6B"/>
          </w:tcPr>
          <w:p>
            <w:pPr>
              <w:pStyle w:val="Compact"/>
            </w:pPr>
            <w:r>
              <w:rPr>
                <w:b/>
                <w:color w:val="FFFFFF"/>
                <w:sz w:val="17"/>
              </w:rPr>
              <w:t xml:space="preserve">Public</w:t>
            </w:r>
          </w:p>
        </w:tc>
      </w:tr>
      <w:tr>
        <w:tc>
          <w:tcPr/>
          <w:p>
            <w:pPr>
              <w:pStyle w:val="Compact"/>
            </w:pPr>
            <w:r>
              <w:rPr>
                <w:rStyle w:val="VerbatimChar"/>
                <w:sz w:val="17"/>
              </w:rPr>
              <w:t xml:space="preserve">account.registration.requested</w:t>
            </w:r>
          </w:p>
        </w:tc>
        <w:tc>
          <w:tcPr/>
          <w:p>
            <w:pPr>
              <w:pStyle w:val="Compact"/>
            </w:pPr>
            <w:r>
              <w:rPr>
                <w:sz w:val="17"/>
              </w:rPr>
              <w:t xml:space="preserve">Inscription demandée</w:t>
            </w:r>
          </w:p>
        </w:tc>
        <w:tc>
          <w:tcPr/>
          <w:p>
            <w:pPr>
              <w:pStyle w:val="Compact"/>
            </w:pPr>
            <w:r>
              <w:rPr>
                <w:sz w:val="17"/>
              </w:rPr>
              <w:t xml:space="preserve">Bienvenue sur KINSHASA MOSOLO — confirmez votre compte</w:t>
            </w:r>
          </w:p>
        </w:tc>
        <w:tc>
          <w:tcPr/>
          <w:p>
            <w:pPr>
              <w:pStyle w:val="Compact"/>
            </w:pPr>
            <w:r>
              <w:rPr>
                <w:sz w:val="17"/>
              </w:rPr>
              <w:t xml:space="preserve">info</w:t>
            </w:r>
          </w:p>
        </w:tc>
        <w:tc>
          <w:tcPr/>
          <w:p>
            <w:pPr>
              <w:pStyle w:val="Compact"/>
            </w:pPr>
            <w:r>
              <w:rPr>
                <w:sz w:val="17"/>
              </w:rPr>
              <w:t xml:space="preserve">EAS+W</w:t>
            </w:r>
          </w:p>
        </w:tc>
        <w:tc>
          <w:tcPr/>
          <w:p>
            <w:pPr>
              <w:pStyle w:val="Compact"/>
            </w:pPr>
          </w:p>
        </w:tc>
        <w:tc>
          <w:tcPr/>
          <w:p>
            <w:pPr>
              <w:pStyle w:val="Compact"/>
            </w:pPr>
            <w:r>
              <w:rPr>
                <w:sz w:val="17"/>
              </w:rPr>
              <w:t xml:space="preserve">C</w:t>
            </w:r>
          </w:p>
        </w:tc>
      </w:tr>
      <w:tr>
        <w:tc>
          <w:tcPr>
            <w:shd w:val="clear" w:color="auto" w:fill="F5F7FB"/>
          </w:tcPr>
          <w:p>
            <w:pPr>
              <w:pStyle w:val="Compact"/>
            </w:pPr>
            <w:r>
              <w:rPr>
                <w:rStyle w:val="VerbatimChar"/>
                <w:sz w:val="17"/>
              </w:rPr>
              <w:t xml:space="preserve">account.registration.received</w:t>
            </w:r>
          </w:p>
        </w:tc>
        <w:tc>
          <w:tcPr>
            <w:shd w:val="clear" w:color="auto" w:fill="F5F7FB"/>
          </w:tcPr>
          <w:p>
            <w:pPr>
              <w:pStyle w:val="Compact"/>
            </w:pPr>
            <w:r>
              <w:rPr>
                <w:sz w:val="17"/>
              </w:rPr>
              <w:t xml:space="preserve">Inscription reçue</w:t>
            </w:r>
          </w:p>
        </w:tc>
        <w:tc>
          <w:tcPr>
            <w:shd w:val="clear" w:color="auto" w:fill="F5F7FB"/>
          </w:tcPr>
          <w:p>
            <w:pPr>
              <w:pStyle w:val="Compact"/>
            </w:pPr>
            <w:r>
              <w:rPr>
                <w:sz w:val="17"/>
              </w:rPr>
              <w:t xml:space="preserve">Nous avons bien reçu votre inscription</w:t>
            </w:r>
          </w:p>
        </w:tc>
        <w:tc>
          <w:tcPr>
            <w:shd w:val="clear" w:color="auto" w:fill="F5F7FB"/>
          </w:tcPr>
          <w:p>
            <w:pPr>
              <w:pStyle w:val="Compact"/>
            </w:pPr>
            <w:r>
              <w:rPr>
                <w:sz w:val="17"/>
              </w:rPr>
              <w:t xml:space="preserve">info</w:t>
            </w:r>
          </w:p>
        </w:tc>
        <w:tc>
          <w:tcPr>
            <w:shd w:val="clear" w:color="auto" w:fill="F5F7FB"/>
          </w:tcPr>
          <w:p>
            <w:pPr>
              <w:pStyle w:val="Compact"/>
            </w:pPr>
            <w:r>
              <w:rPr>
                <w:sz w:val="17"/>
              </w:rPr>
              <w:t xml:space="preserve">EA+W</w:t>
            </w:r>
          </w:p>
        </w:tc>
        <w:tc>
          <w:tcPr>
            <w:shd w:val="clear" w:color="auto" w:fill="F5F7FB"/>
          </w:tcPr>
          <w:p>
            <w:pPr>
              <w:pStyle w:val="Compact"/>
            </w:pPr>
          </w:p>
        </w:tc>
        <w:tc>
          <w:tcPr>
            <w:shd w:val="clear" w:color="auto" w:fill="F5F7FB"/>
          </w:tcPr>
          <w:p>
            <w:pPr>
              <w:pStyle w:val="Compact"/>
            </w:pPr>
            <w:r>
              <w:rPr>
                <w:sz w:val="17"/>
              </w:rPr>
              <w:t xml:space="preserve">C</w:t>
            </w:r>
          </w:p>
        </w:tc>
      </w:tr>
      <w:tr>
        <w:tc>
          <w:tcPr/>
          <w:p>
            <w:pPr>
              <w:pStyle w:val="Compact"/>
            </w:pPr>
            <w:r>
              <w:rPr>
                <w:rStyle w:val="VerbatimChar"/>
                <w:sz w:val="17"/>
              </w:rPr>
              <w:t xml:space="preserve">account.phone_verification_required</w:t>
            </w:r>
          </w:p>
        </w:tc>
        <w:tc>
          <w:tcPr/>
          <w:p>
            <w:pPr>
              <w:pStyle w:val="Compact"/>
            </w:pPr>
            <w:r>
              <w:rPr>
                <w:sz w:val="17"/>
              </w:rPr>
              <w:t xml:space="preserve">Vérification du téléphone requise</w:t>
            </w:r>
          </w:p>
        </w:tc>
        <w:tc>
          <w:tcPr/>
          <w:p>
            <w:pPr>
              <w:pStyle w:val="Compact"/>
            </w:pPr>
            <w:r>
              <w:rPr>
                <w:sz w:val="17"/>
              </w:rPr>
              <w:t xml:space="preserve">Votre code de vérification MOSOLO</w:t>
            </w:r>
          </w:p>
        </w:tc>
        <w:tc>
          <w:tcPr/>
          <w:p>
            <w:pPr>
              <w:pStyle w:val="Compact"/>
            </w:pPr>
            <w:r>
              <w:rPr>
                <w:sz w:val="17"/>
              </w:rPr>
              <w:t xml:space="preserve">warning</w:t>
            </w:r>
          </w:p>
        </w:tc>
        <w:tc>
          <w:tcPr/>
          <w:p>
            <w:pPr>
              <w:pStyle w:val="Compact"/>
            </w:pPr>
            <w:r>
              <w:rPr>
                <w:sz w:val="17"/>
              </w:rPr>
              <w:t xml:space="preserve">SA+W</w:t>
            </w:r>
          </w:p>
        </w:tc>
        <w:tc>
          <w:tcPr/>
          <w:p>
            <w:pPr>
              <w:pStyle w:val="Compact"/>
            </w:pPr>
          </w:p>
        </w:tc>
        <w:tc>
          <w:tcPr/>
          <w:p>
            <w:pPr>
              <w:pStyle w:val="Compact"/>
            </w:pPr>
            <w:r>
              <w:rPr>
                <w:sz w:val="17"/>
              </w:rPr>
              <w:t xml:space="preserve">C</w:t>
            </w:r>
          </w:p>
        </w:tc>
      </w:tr>
      <w:tr>
        <w:tc>
          <w:tcPr>
            <w:shd w:val="clear" w:color="auto" w:fill="F5F7FB"/>
          </w:tcPr>
          <w:p>
            <w:pPr>
              <w:pStyle w:val="Compact"/>
            </w:pPr>
            <w:r>
              <w:rPr>
                <w:rStyle w:val="VerbatimChar"/>
                <w:sz w:val="17"/>
              </w:rPr>
              <w:t xml:space="preserve">account.email_verification_required</w:t>
            </w:r>
          </w:p>
        </w:tc>
        <w:tc>
          <w:tcPr>
            <w:shd w:val="clear" w:color="auto" w:fill="F5F7FB"/>
          </w:tcPr>
          <w:p>
            <w:pPr>
              <w:pStyle w:val="Compact"/>
            </w:pPr>
            <w:r>
              <w:rPr>
                <w:sz w:val="17"/>
              </w:rPr>
              <w:t xml:space="preserve">Vérification du courriel requise</w:t>
            </w:r>
          </w:p>
        </w:tc>
        <w:tc>
          <w:tcPr>
            <w:shd w:val="clear" w:color="auto" w:fill="F5F7FB"/>
          </w:tcPr>
          <w:p>
            <w:pPr>
              <w:pStyle w:val="Compact"/>
            </w:pPr>
            <w:r>
              <w:rPr>
                <w:sz w:val="17"/>
              </w:rPr>
              <w:t xml:space="preserve">Confirmez votre adresse électronique</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EA+W</w:t>
            </w:r>
          </w:p>
        </w:tc>
        <w:tc>
          <w:tcPr>
            <w:shd w:val="clear" w:color="auto" w:fill="F5F7FB"/>
          </w:tcPr>
          <w:p>
            <w:pPr>
              <w:pStyle w:val="Compact"/>
            </w:pPr>
          </w:p>
        </w:tc>
        <w:tc>
          <w:tcPr>
            <w:shd w:val="clear" w:color="auto" w:fill="F5F7FB"/>
          </w:tcPr>
          <w:p>
            <w:pPr>
              <w:pStyle w:val="Compact"/>
            </w:pPr>
            <w:r>
              <w:rPr>
                <w:sz w:val="17"/>
              </w:rPr>
              <w:t xml:space="preserve">C</w:t>
            </w:r>
          </w:p>
        </w:tc>
      </w:tr>
      <w:tr>
        <w:tc>
          <w:tcPr/>
          <w:p>
            <w:pPr>
              <w:pStyle w:val="Compact"/>
            </w:pPr>
            <w:r>
              <w:rPr>
                <w:rStyle w:val="VerbatimChar"/>
                <w:sz w:val="17"/>
              </w:rPr>
              <w:t xml:space="preserve">account.verification.level_upgraded</w:t>
            </w:r>
          </w:p>
        </w:tc>
        <w:tc>
          <w:tcPr/>
          <w:p>
            <w:pPr>
              <w:pStyle w:val="Compact"/>
            </w:pPr>
            <w:r>
              <w:rPr>
                <w:sz w:val="17"/>
              </w:rPr>
              <w:t xml:space="preserve">Niveau de vérification relevé</w:t>
            </w:r>
          </w:p>
        </w:tc>
        <w:tc>
          <w:tcPr/>
          <w:p>
            <w:pPr>
              <w:pStyle w:val="Compact"/>
            </w:pPr>
            <w:r>
              <w:rPr>
                <w:sz w:val="17"/>
              </w:rPr>
              <w:t xml:space="preserve">Votre compte est désormais au niveau {{niveau}}</w:t>
            </w:r>
          </w:p>
        </w:tc>
        <w:tc>
          <w:tcPr/>
          <w:p>
            <w:pPr>
              <w:pStyle w:val="Compact"/>
            </w:pPr>
            <w:r>
              <w:rPr>
                <w:sz w:val="17"/>
              </w:rPr>
              <w:t xml:space="preserve">success</w:t>
            </w:r>
          </w:p>
        </w:tc>
        <w:tc>
          <w:tcPr/>
          <w:p>
            <w:pPr>
              <w:pStyle w:val="Compact"/>
            </w:pPr>
            <w:r>
              <w:rPr>
                <w:sz w:val="17"/>
              </w:rPr>
              <w:t xml:space="preserve">EAS+W</w:t>
            </w:r>
          </w:p>
        </w:tc>
        <w:tc>
          <w:tcPr/>
          <w:p>
            <w:pPr>
              <w:pStyle w:val="Compact"/>
            </w:pPr>
          </w:p>
        </w:tc>
        <w:tc>
          <w:tcPr/>
          <w:p>
            <w:pPr>
              <w:pStyle w:val="Compact"/>
            </w:pPr>
            <w:r>
              <w:rPr>
                <w:sz w:val="17"/>
              </w:rPr>
              <w:t xml:space="preserve">C</w:t>
            </w:r>
          </w:p>
        </w:tc>
      </w:tr>
      <w:tr>
        <w:tc>
          <w:tcPr>
            <w:shd w:val="clear" w:color="auto" w:fill="F5F7FB"/>
          </w:tcPr>
          <w:p>
            <w:pPr>
              <w:pStyle w:val="Compact"/>
            </w:pPr>
            <w:r>
              <w:rPr>
                <w:rStyle w:val="VerbatimChar"/>
                <w:sz w:val="17"/>
              </w:rPr>
              <w:t xml:space="preserve">account.verification.failed</w:t>
            </w:r>
          </w:p>
        </w:tc>
        <w:tc>
          <w:tcPr>
            <w:shd w:val="clear" w:color="auto" w:fill="F5F7FB"/>
          </w:tcPr>
          <w:p>
            <w:pPr>
              <w:pStyle w:val="Compact"/>
            </w:pPr>
            <w:r>
              <w:rPr>
                <w:sz w:val="17"/>
              </w:rPr>
              <w:t xml:space="preserve">Vérification non aboutie</w:t>
            </w:r>
          </w:p>
        </w:tc>
        <w:tc>
          <w:tcPr>
            <w:shd w:val="clear" w:color="auto" w:fill="F5F7FB"/>
          </w:tcPr>
          <w:p>
            <w:pPr>
              <w:pStyle w:val="Compact"/>
            </w:pPr>
            <w:r>
              <w:rPr>
                <w:sz w:val="17"/>
              </w:rPr>
              <w:t xml:space="preserve">La vérification de votre identité n’a pas abouti</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EAS+W</w:t>
            </w:r>
          </w:p>
        </w:tc>
        <w:tc>
          <w:tcPr>
            <w:shd w:val="clear" w:color="auto" w:fill="F5F7FB"/>
          </w:tcPr>
          <w:p>
            <w:pPr>
              <w:pStyle w:val="Compact"/>
            </w:pPr>
          </w:p>
        </w:tc>
        <w:tc>
          <w:tcPr>
            <w:shd w:val="clear" w:color="auto" w:fill="F5F7FB"/>
          </w:tcPr>
          <w:p>
            <w:pPr>
              <w:pStyle w:val="Compact"/>
            </w:pPr>
            <w:r>
              <w:rPr>
                <w:sz w:val="17"/>
              </w:rPr>
              <w:t xml:space="preserve">C</w:t>
            </w:r>
          </w:p>
        </w:tc>
      </w:tr>
      <w:tr>
        <w:tc>
          <w:tcPr/>
          <w:p>
            <w:pPr>
              <w:pStyle w:val="Compact"/>
            </w:pPr>
            <w:r>
              <w:rPr>
                <w:rStyle w:val="VerbatimChar"/>
                <w:sz w:val="17"/>
              </w:rPr>
              <w:t xml:space="preserve">account.verification.documents_requested</w:t>
            </w:r>
          </w:p>
        </w:tc>
        <w:tc>
          <w:tcPr/>
          <w:p>
            <w:pPr>
              <w:pStyle w:val="Compact"/>
            </w:pPr>
            <w:r>
              <w:rPr>
                <w:sz w:val="17"/>
              </w:rPr>
              <w:t xml:space="preserve">Pièces demandées</w:t>
            </w:r>
          </w:p>
        </w:tc>
        <w:tc>
          <w:tcPr/>
          <w:p>
            <w:pPr>
              <w:pStyle w:val="Compact"/>
            </w:pPr>
            <w:r>
              <w:rPr>
                <w:sz w:val="17"/>
              </w:rPr>
              <w:t xml:space="preserve">Pièces nécessaires pour vérifier votre compte</w:t>
            </w:r>
          </w:p>
        </w:tc>
        <w:tc>
          <w:tcPr/>
          <w:p>
            <w:pPr>
              <w:pStyle w:val="Compact"/>
            </w:pPr>
            <w:r>
              <w:rPr>
                <w:sz w:val="17"/>
              </w:rPr>
              <w:t xml:space="preserve">warning</w:t>
            </w:r>
          </w:p>
        </w:tc>
        <w:tc>
          <w:tcPr/>
          <w:p>
            <w:pPr>
              <w:pStyle w:val="Compact"/>
            </w:pPr>
            <w:r>
              <w:rPr>
                <w:sz w:val="17"/>
              </w:rPr>
              <w:t xml:space="preserve">EASU+W</w:t>
            </w:r>
          </w:p>
        </w:tc>
        <w:tc>
          <w:tcPr/>
          <w:p>
            <w:pPr>
              <w:pStyle w:val="Compact"/>
            </w:pPr>
          </w:p>
        </w:tc>
        <w:tc>
          <w:tcPr/>
          <w:p>
            <w:pPr>
              <w:pStyle w:val="Compact"/>
            </w:pPr>
            <w:r>
              <w:rPr>
                <w:sz w:val="17"/>
              </w:rPr>
              <w:t xml:space="preserve">C</w:t>
            </w:r>
          </w:p>
        </w:tc>
      </w:tr>
      <w:tr>
        <w:tc>
          <w:tcPr>
            <w:shd w:val="clear" w:color="auto" w:fill="F5F7FB"/>
          </w:tcPr>
          <w:p>
            <w:pPr>
              <w:pStyle w:val="Compact"/>
            </w:pPr>
            <w:r>
              <w:rPr>
                <w:rStyle w:val="VerbatimChar"/>
                <w:sz w:val="17"/>
              </w:rPr>
              <w:t xml:space="preserve">account.verification.expired</w:t>
            </w:r>
          </w:p>
        </w:tc>
        <w:tc>
          <w:tcPr>
            <w:shd w:val="clear" w:color="auto" w:fill="F5F7FB"/>
          </w:tcPr>
          <w:p>
            <w:pPr>
              <w:pStyle w:val="Compact"/>
            </w:pPr>
            <w:r>
              <w:rPr>
                <w:sz w:val="17"/>
              </w:rPr>
              <w:t xml:space="preserve">Vérification expirée</w:t>
            </w:r>
          </w:p>
        </w:tc>
        <w:tc>
          <w:tcPr>
            <w:shd w:val="clear" w:color="auto" w:fill="F5F7FB"/>
          </w:tcPr>
          <w:p>
            <w:pPr>
              <w:pStyle w:val="Compact"/>
            </w:pPr>
            <w:r>
              <w:rPr>
                <w:sz w:val="17"/>
              </w:rPr>
              <w:t xml:space="preserve">Votre lien de vérification a expiré</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EA+W</w:t>
            </w:r>
          </w:p>
        </w:tc>
        <w:tc>
          <w:tcPr>
            <w:shd w:val="clear" w:color="auto" w:fill="F5F7FB"/>
          </w:tcPr>
          <w:p>
            <w:pPr>
              <w:pStyle w:val="Compact"/>
            </w:pPr>
          </w:p>
        </w:tc>
        <w:tc>
          <w:tcPr>
            <w:shd w:val="clear" w:color="auto" w:fill="F5F7FB"/>
          </w:tcPr>
          <w:p>
            <w:pPr>
              <w:pStyle w:val="Compact"/>
            </w:pPr>
            <w:r>
              <w:rPr>
                <w:sz w:val="17"/>
              </w:rPr>
              <w:t xml:space="preserve">C</w:t>
            </w:r>
          </w:p>
        </w:tc>
      </w:tr>
      <w:tr>
        <w:tc>
          <w:tcPr/>
          <w:p>
            <w:pPr>
              <w:pStyle w:val="Compact"/>
            </w:pPr>
            <w:r>
              <w:rPr>
                <w:rStyle w:val="VerbatimChar"/>
                <w:sz w:val="17"/>
              </w:rPr>
              <w:t xml:space="preserve">account.registration.abandoned</w:t>
            </w:r>
          </w:p>
        </w:tc>
        <w:tc>
          <w:tcPr/>
          <w:p>
            <w:pPr>
              <w:pStyle w:val="Compact"/>
            </w:pPr>
            <w:r>
              <w:rPr>
                <w:sz w:val="17"/>
              </w:rPr>
              <w:t xml:space="preserve">Inscription inachevée</w:t>
            </w:r>
          </w:p>
        </w:tc>
        <w:tc>
          <w:tcPr/>
          <w:p>
            <w:pPr>
              <w:pStyle w:val="Compact"/>
            </w:pPr>
            <w:r>
              <w:rPr>
                <w:sz w:val="17"/>
              </w:rPr>
              <w:t xml:space="preserve">Terminez votre inscription MOSOLO</w:t>
            </w:r>
          </w:p>
        </w:tc>
        <w:tc>
          <w:tcPr/>
          <w:p>
            <w:pPr>
              <w:pStyle w:val="Compact"/>
            </w:pPr>
            <w:r>
              <w:rPr>
                <w:sz w:val="17"/>
              </w:rPr>
              <w:t xml:space="preserve">info</w:t>
            </w:r>
          </w:p>
        </w:tc>
        <w:tc>
          <w:tcPr/>
          <w:p>
            <w:pPr>
              <w:pStyle w:val="Compact"/>
            </w:pPr>
            <w:r>
              <w:rPr>
                <w:sz w:val="17"/>
              </w:rPr>
              <w:t xml:space="preserve">EAS+W</w:t>
            </w:r>
          </w:p>
        </w:tc>
        <w:tc>
          <w:tcPr/>
          <w:p>
            <w:pPr>
              <w:pStyle w:val="Compact"/>
            </w:pPr>
          </w:p>
        </w:tc>
        <w:tc>
          <w:tcPr/>
          <w:p>
            <w:pPr>
              <w:pStyle w:val="Compact"/>
            </w:pPr>
            <w:r>
              <w:rPr>
                <w:sz w:val="17"/>
              </w:rPr>
              <w:t xml:space="preserve">C</w:t>
            </w:r>
          </w:p>
        </w:tc>
      </w:tr>
      <w:tr>
        <w:tc>
          <w:tcPr>
            <w:shd w:val="clear" w:color="auto" w:fill="F5F7FB"/>
          </w:tcPr>
          <w:p>
            <w:pPr>
              <w:pStyle w:val="Compact"/>
            </w:pPr>
            <w:r>
              <w:rPr>
                <w:rStyle w:val="VerbatimChar"/>
                <w:sz w:val="17"/>
              </w:rPr>
              <w:t xml:space="preserve">account.duplicate_suspected</w:t>
            </w:r>
          </w:p>
        </w:tc>
        <w:tc>
          <w:tcPr>
            <w:shd w:val="clear" w:color="auto" w:fill="F5F7FB"/>
          </w:tcPr>
          <w:p>
            <w:pPr>
              <w:pStyle w:val="Compact"/>
            </w:pPr>
            <w:r>
              <w:rPr>
                <w:sz w:val="17"/>
              </w:rPr>
              <w:t xml:space="preserve">Doublon possible détecté</w:t>
            </w:r>
          </w:p>
        </w:tc>
        <w:tc>
          <w:tcPr>
            <w:shd w:val="clear" w:color="auto" w:fill="F5F7FB"/>
          </w:tcPr>
          <w:p>
            <w:pPr>
              <w:pStyle w:val="Compact"/>
            </w:pPr>
            <w:r>
              <w:rPr>
                <w:sz w:val="17"/>
              </w:rPr>
              <w:t xml:space="preserve">Un compte similaire existe peut-être</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EA+W</w:t>
            </w:r>
          </w:p>
        </w:tc>
        <w:tc>
          <w:tcPr>
            <w:shd w:val="clear" w:color="auto" w:fill="F5F7FB"/>
          </w:tcPr>
          <w:p>
            <w:pPr>
              <w:pStyle w:val="Compact"/>
            </w:pPr>
          </w:p>
        </w:tc>
        <w:tc>
          <w:tcPr>
            <w:shd w:val="clear" w:color="auto" w:fill="F5F7FB"/>
          </w:tcPr>
          <w:p>
            <w:pPr>
              <w:pStyle w:val="Compact"/>
            </w:pPr>
            <w:r>
              <w:rPr>
                <w:sz w:val="17"/>
              </w:rPr>
              <w:t xml:space="preserve">C</w:t>
            </w:r>
          </w:p>
        </w:tc>
      </w:tr>
      <w:tr>
        <w:tc>
          <w:tcPr/>
          <w:p>
            <w:pPr>
              <w:pStyle w:val="Compact"/>
            </w:pPr>
            <w:r>
              <w:rPr>
                <w:rStyle w:val="VerbatimChar"/>
                <w:sz w:val="17"/>
              </w:rPr>
              <w:t xml:space="preserve">account.merge.proposed</w:t>
            </w:r>
          </w:p>
        </w:tc>
        <w:tc>
          <w:tcPr/>
          <w:p>
            <w:pPr>
              <w:pStyle w:val="Compact"/>
            </w:pPr>
            <w:r>
              <w:rPr>
                <w:sz w:val="17"/>
              </w:rPr>
              <w:t xml:space="preserve">Rapprochement de comptes proposé</w:t>
            </w:r>
          </w:p>
        </w:tc>
        <w:tc>
          <w:tcPr/>
          <w:p>
            <w:pPr>
              <w:pStyle w:val="Compact"/>
            </w:pPr>
            <w:r>
              <w:rPr>
                <w:sz w:val="17"/>
              </w:rPr>
              <w:t xml:space="preserve">Rapprochement de comptes à confirmer</w:t>
            </w:r>
          </w:p>
        </w:tc>
        <w:tc>
          <w:tcPr/>
          <w:p>
            <w:pPr>
              <w:pStyle w:val="Compact"/>
            </w:pPr>
            <w:r>
              <w:rPr>
                <w:sz w:val="17"/>
              </w:rPr>
              <w:t xml:space="preserve">warning</w:t>
            </w:r>
          </w:p>
        </w:tc>
        <w:tc>
          <w:tcPr/>
          <w:p>
            <w:pPr>
              <w:pStyle w:val="Compact"/>
            </w:pPr>
            <w:r>
              <w:rPr>
                <w:sz w:val="17"/>
              </w:rPr>
              <w:t xml:space="preserve">EAS</w:t>
            </w:r>
          </w:p>
        </w:tc>
        <w:tc>
          <w:tcPr/>
          <w:p>
            <w:pPr>
              <w:pStyle w:val="Compact"/>
            </w:pPr>
            <w:r>
              <w:rPr>
                <w:sz w:val="17"/>
              </w:rPr>
              <w:t xml:space="preserve">M</w:t>
            </w:r>
          </w:p>
        </w:tc>
        <w:tc>
          <w:tcPr/>
          <w:p>
            <w:pPr>
              <w:pStyle w:val="Compact"/>
            </w:pPr>
            <w:r>
              <w:rPr>
                <w:sz w:val="17"/>
              </w:rPr>
              <w:t xml:space="preserve">C</w:t>
            </w:r>
          </w:p>
        </w:tc>
      </w:tr>
      <w:tr>
        <w:tc>
          <w:tcPr>
            <w:shd w:val="clear" w:color="auto" w:fill="F5F7FB"/>
          </w:tcPr>
          <w:p>
            <w:pPr>
              <w:pStyle w:val="Compact"/>
            </w:pPr>
            <w:r>
              <w:rPr>
                <w:rStyle w:val="VerbatimChar"/>
                <w:sz w:val="17"/>
              </w:rPr>
              <w:t xml:space="preserve">account.merge.completed</w:t>
            </w:r>
          </w:p>
        </w:tc>
        <w:tc>
          <w:tcPr>
            <w:shd w:val="clear" w:color="auto" w:fill="F5F7FB"/>
          </w:tcPr>
          <w:p>
            <w:pPr>
              <w:pStyle w:val="Compact"/>
            </w:pPr>
            <w:r>
              <w:rPr>
                <w:sz w:val="17"/>
              </w:rPr>
              <w:t xml:space="preserve">Comptes rapprochés</w:t>
            </w:r>
          </w:p>
        </w:tc>
        <w:tc>
          <w:tcPr>
            <w:shd w:val="clear" w:color="auto" w:fill="F5F7FB"/>
          </w:tcPr>
          <w:p>
            <w:pPr>
              <w:pStyle w:val="Compact"/>
            </w:pPr>
            <w:r>
              <w:rPr>
                <w:sz w:val="17"/>
              </w:rPr>
              <w:t xml:space="preserve">Vos comptes ont été rapprochés</w:t>
            </w:r>
          </w:p>
        </w:tc>
        <w:tc>
          <w:tcPr>
            <w:shd w:val="clear" w:color="auto" w:fill="F5F7FB"/>
          </w:tcPr>
          <w:p>
            <w:pPr>
              <w:pStyle w:val="Compact"/>
            </w:pPr>
            <w:r>
              <w:rPr>
                <w:sz w:val="17"/>
              </w:rPr>
              <w:t xml:space="preserve">info</w:t>
            </w:r>
          </w:p>
        </w:tc>
        <w:tc>
          <w:tcPr>
            <w:shd w:val="clear" w:color="auto" w:fill="F5F7FB"/>
          </w:tcPr>
          <w:p>
            <w:pPr>
              <w:pStyle w:val="Compact"/>
            </w:pPr>
            <w:r>
              <w:rPr>
                <w:sz w:val="17"/>
              </w:rPr>
              <w:t xml:space="preserve">EAS</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C</w:t>
            </w:r>
          </w:p>
        </w:tc>
      </w:tr>
      <w:tr>
        <w:tc>
          <w:tcPr/>
          <w:p>
            <w:pPr>
              <w:pStyle w:val="Compact"/>
            </w:pPr>
            <w:r>
              <w:rPr>
                <w:rStyle w:val="VerbatimChar"/>
                <w:sz w:val="17"/>
              </w:rPr>
              <w:t xml:space="preserve">account.contact.changed</w:t>
            </w:r>
          </w:p>
        </w:tc>
        <w:tc>
          <w:tcPr/>
          <w:p>
            <w:pPr>
              <w:pStyle w:val="Compact"/>
            </w:pPr>
            <w:r>
              <w:rPr>
                <w:sz w:val="17"/>
              </w:rPr>
              <w:t xml:space="preserve">Coordonnées modifiées</w:t>
            </w:r>
          </w:p>
        </w:tc>
        <w:tc>
          <w:tcPr/>
          <w:p>
            <w:pPr>
              <w:pStyle w:val="Compact"/>
            </w:pPr>
            <w:r>
              <w:rPr>
                <w:sz w:val="17"/>
              </w:rPr>
              <w:t xml:space="preserve">Vos coordonnées ont été modifiées</w:t>
            </w:r>
          </w:p>
        </w:tc>
        <w:tc>
          <w:tcPr/>
          <w:p>
            <w:pPr>
              <w:pStyle w:val="Compact"/>
            </w:pPr>
            <w:r>
              <w:rPr>
                <w:sz w:val="17"/>
              </w:rPr>
              <w:t xml:space="preserve">warning</w:t>
            </w:r>
          </w:p>
        </w:tc>
        <w:tc>
          <w:tcPr/>
          <w:p>
            <w:pPr>
              <w:pStyle w:val="Compact"/>
            </w:pPr>
            <w:r>
              <w:rPr>
                <w:sz w:val="17"/>
              </w:rPr>
              <w:t xml:space="preserve">EAS</w:t>
            </w:r>
          </w:p>
        </w:tc>
        <w:tc>
          <w:tcPr/>
          <w:p>
            <w:pPr>
              <w:pStyle w:val="Compact"/>
            </w:pPr>
            <w:r>
              <w:rPr>
                <w:sz w:val="17"/>
              </w:rPr>
              <w:t xml:space="preserve">M</w:t>
            </w:r>
          </w:p>
        </w:tc>
        <w:tc>
          <w:tcPr/>
          <w:p>
            <w:pPr>
              <w:pStyle w:val="Compact"/>
            </w:pPr>
            <w:r>
              <w:rPr>
                <w:sz w:val="17"/>
              </w:rPr>
              <w:t xml:space="preserve">C</w:t>
            </w:r>
          </w:p>
        </w:tc>
      </w:tr>
      <w:tr>
        <w:tc>
          <w:tcPr>
            <w:shd w:val="clear" w:color="auto" w:fill="F5F7FB"/>
          </w:tcPr>
          <w:p>
            <w:pPr>
              <w:pStyle w:val="Compact"/>
            </w:pPr>
            <w:r>
              <w:rPr>
                <w:rStyle w:val="VerbatimChar"/>
                <w:sz w:val="17"/>
              </w:rPr>
              <w:t xml:space="preserve">account.mosolo_card.issued</w:t>
            </w:r>
          </w:p>
        </w:tc>
        <w:tc>
          <w:tcPr>
            <w:shd w:val="clear" w:color="auto" w:fill="F5F7FB"/>
          </w:tcPr>
          <w:p>
            <w:pPr>
              <w:pStyle w:val="Compact"/>
            </w:pPr>
            <w:r>
              <w:rPr>
                <w:sz w:val="17"/>
              </w:rPr>
              <w:t xml:space="preserve">Carte MOSOLO délivrée</w:t>
            </w:r>
          </w:p>
        </w:tc>
        <w:tc>
          <w:tcPr>
            <w:shd w:val="clear" w:color="auto" w:fill="F5F7FB"/>
          </w:tcPr>
          <w:p>
            <w:pPr>
              <w:pStyle w:val="Compact"/>
            </w:pPr>
            <w:r>
              <w:rPr>
                <w:sz w:val="17"/>
              </w:rPr>
              <w:t xml:space="preserve">Votre carte MOSOLO est prête</w:t>
            </w:r>
          </w:p>
        </w:tc>
        <w:tc>
          <w:tcPr>
            <w:shd w:val="clear" w:color="auto" w:fill="F5F7FB"/>
          </w:tcPr>
          <w:p>
            <w:pPr>
              <w:pStyle w:val="Compact"/>
            </w:pPr>
            <w:r>
              <w:rPr>
                <w:sz w:val="17"/>
              </w:rPr>
              <w:t xml:space="preserve">success</w:t>
            </w:r>
          </w:p>
        </w:tc>
        <w:tc>
          <w:tcPr>
            <w:shd w:val="clear" w:color="auto" w:fill="F5F7FB"/>
          </w:tcPr>
          <w:p>
            <w:pPr>
              <w:pStyle w:val="Compact"/>
            </w:pPr>
            <w:r>
              <w:rPr>
                <w:sz w:val="17"/>
              </w:rPr>
              <w:t xml:space="preserve">ASV+W</w:t>
            </w:r>
          </w:p>
        </w:tc>
        <w:tc>
          <w:tcPr>
            <w:shd w:val="clear" w:color="auto" w:fill="F5F7FB"/>
          </w:tcPr>
          <w:p>
            <w:pPr>
              <w:pStyle w:val="Compact"/>
            </w:pPr>
          </w:p>
        </w:tc>
        <w:tc>
          <w:tcPr>
            <w:shd w:val="clear" w:color="auto" w:fill="F5F7FB"/>
          </w:tcPr>
          <w:p>
            <w:pPr>
              <w:pStyle w:val="Compact"/>
            </w:pPr>
            <w:r>
              <w:rPr>
                <w:sz w:val="17"/>
              </w:rPr>
              <w:t xml:space="preserve">C</w:t>
            </w:r>
          </w:p>
        </w:tc>
      </w:tr>
      <w:tr>
        <w:tc>
          <w:tcPr/>
          <w:p>
            <w:pPr>
              <w:pStyle w:val="Compact"/>
            </w:pPr>
            <w:r>
              <w:rPr>
                <w:rStyle w:val="VerbatimChar"/>
                <w:sz w:val="17"/>
              </w:rPr>
              <w:t xml:space="preserve">account.mosolo_card.revoked</w:t>
            </w:r>
          </w:p>
        </w:tc>
        <w:tc>
          <w:tcPr/>
          <w:p>
            <w:pPr>
              <w:pStyle w:val="Compact"/>
            </w:pPr>
            <w:r>
              <w:rPr>
                <w:sz w:val="17"/>
              </w:rPr>
              <w:t xml:space="preserve">Carte MOSOLO révoquée</w:t>
            </w:r>
          </w:p>
        </w:tc>
        <w:tc>
          <w:tcPr/>
          <w:p>
            <w:pPr>
              <w:pStyle w:val="Compact"/>
            </w:pPr>
            <w:r>
              <w:rPr>
                <w:sz w:val="17"/>
              </w:rPr>
              <w:t xml:space="preserve">Votre carte MOSOLO a été révoquée</w:t>
            </w:r>
          </w:p>
        </w:tc>
        <w:tc>
          <w:tcPr/>
          <w:p>
            <w:pPr>
              <w:pStyle w:val="Compact"/>
            </w:pPr>
            <w:r>
              <w:rPr>
                <w:sz w:val="17"/>
              </w:rPr>
              <w:t xml:space="preserve">warning</w:t>
            </w:r>
          </w:p>
        </w:tc>
        <w:tc>
          <w:tcPr/>
          <w:p>
            <w:pPr>
              <w:pStyle w:val="Compact"/>
            </w:pPr>
            <w:r>
              <w:rPr>
                <w:sz w:val="17"/>
              </w:rPr>
              <w:t xml:space="preserve">ASV</w:t>
            </w:r>
          </w:p>
        </w:tc>
        <w:tc>
          <w:tcPr/>
          <w:p>
            <w:pPr>
              <w:pStyle w:val="Compact"/>
            </w:pPr>
            <w:r>
              <w:rPr>
                <w:sz w:val="17"/>
              </w:rPr>
              <w:t xml:space="preserve">M</w:t>
            </w:r>
          </w:p>
        </w:tc>
        <w:tc>
          <w:tcPr/>
          <w:p>
            <w:pPr>
              <w:pStyle w:val="Compact"/>
            </w:pPr>
            <w:r>
              <w:rPr>
                <w:sz w:val="17"/>
              </w:rPr>
              <w:t xml:space="preserve">C</w:t>
            </w:r>
          </w:p>
        </w:tc>
      </w:tr>
      <w:tr>
        <w:tc>
          <w:tcPr>
            <w:shd w:val="clear" w:color="auto" w:fill="F5F7FB"/>
          </w:tcPr>
          <w:p>
            <w:pPr>
              <w:pStyle w:val="Compact"/>
            </w:pPr>
            <w:r>
              <w:rPr>
                <w:rStyle w:val="VerbatimChar"/>
                <w:sz w:val="17"/>
              </w:rPr>
              <w:t xml:space="preserve">account.suspended</w:t>
            </w:r>
          </w:p>
        </w:tc>
        <w:tc>
          <w:tcPr>
            <w:shd w:val="clear" w:color="auto" w:fill="F5F7FB"/>
          </w:tcPr>
          <w:p>
            <w:pPr>
              <w:pStyle w:val="Compact"/>
            </w:pPr>
            <w:r>
              <w:rPr>
                <w:sz w:val="17"/>
              </w:rPr>
              <w:t xml:space="preserve">Compte suspendu</w:t>
            </w:r>
          </w:p>
        </w:tc>
        <w:tc>
          <w:tcPr>
            <w:shd w:val="clear" w:color="auto" w:fill="F5F7FB"/>
          </w:tcPr>
          <w:p>
            <w:pPr>
              <w:pStyle w:val="Compact"/>
            </w:pPr>
            <w:r>
              <w:rPr>
                <w:sz w:val="17"/>
              </w:rPr>
              <w:t xml:space="preserve">Votre compte a été suspendu — motif et recours</w:t>
            </w:r>
          </w:p>
        </w:tc>
        <w:tc>
          <w:tcPr>
            <w:shd w:val="clear" w:color="auto" w:fill="F5F7FB"/>
          </w:tcPr>
          <w:p>
            <w:pPr>
              <w:pStyle w:val="Compact"/>
            </w:pPr>
            <w:r>
              <w:rPr>
                <w:sz w:val="17"/>
              </w:rPr>
              <w:t xml:space="preserve">critical</w:t>
            </w:r>
          </w:p>
        </w:tc>
        <w:tc>
          <w:tcPr>
            <w:shd w:val="clear" w:color="auto" w:fill="F5F7FB"/>
          </w:tcPr>
          <w:p>
            <w:pPr>
              <w:pStyle w:val="Compact"/>
            </w:pPr>
            <w:r>
              <w:rPr>
                <w:sz w:val="17"/>
              </w:rPr>
              <w:t xml:space="preserve">EASC</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C</w:t>
            </w:r>
          </w:p>
        </w:tc>
      </w:tr>
      <w:tr>
        <w:tc>
          <w:tcPr/>
          <w:p>
            <w:pPr>
              <w:pStyle w:val="Compact"/>
            </w:pPr>
            <w:r>
              <w:rPr>
                <w:rStyle w:val="VerbatimChar"/>
                <w:sz w:val="17"/>
              </w:rPr>
              <w:t xml:space="preserve">account.reactivated</w:t>
            </w:r>
          </w:p>
        </w:tc>
        <w:tc>
          <w:tcPr/>
          <w:p>
            <w:pPr>
              <w:pStyle w:val="Compact"/>
            </w:pPr>
            <w:r>
              <w:rPr>
                <w:sz w:val="17"/>
              </w:rPr>
              <w:t xml:space="preserve">Compte réactivé</w:t>
            </w:r>
          </w:p>
        </w:tc>
        <w:tc>
          <w:tcPr/>
          <w:p>
            <w:pPr>
              <w:pStyle w:val="Compact"/>
            </w:pPr>
            <w:r>
              <w:rPr>
                <w:sz w:val="17"/>
              </w:rPr>
              <w:t xml:space="preserve">Votre compte est réactivé</w:t>
            </w:r>
          </w:p>
        </w:tc>
        <w:tc>
          <w:tcPr/>
          <w:p>
            <w:pPr>
              <w:pStyle w:val="Compact"/>
            </w:pPr>
            <w:r>
              <w:rPr>
                <w:sz w:val="17"/>
              </w:rPr>
              <w:t xml:space="preserve">success</w:t>
            </w:r>
          </w:p>
        </w:tc>
        <w:tc>
          <w:tcPr/>
          <w:p>
            <w:pPr>
              <w:pStyle w:val="Compact"/>
            </w:pPr>
            <w:r>
              <w:rPr>
                <w:sz w:val="17"/>
              </w:rPr>
              <w:t xml:space="preserve">EAS+W</w:t>
            </w:r>
          </w:p>
        </w:tc>
        <w:tc>
          <w:tcPr/>
          <w:p>
            <w:pPr>
              <w:pStyle w:val="Compact"/>
            </w:pPr>
          </w:p>
        </w:tc>
        <w:tc>
          <w:tcPr/>
          <w:p>
            <w:pPr>
              <w:pStyle w:val="Compact"/>
            </w:pPr>
            <w:r>
              <w:rPr>
                <w:sz w:val="17"/>
              </w:rPr>
              <w:t xml:space="preserve">C</w:t>
            </w:r>
          </w:p>
        </w:tc>
      </w:tr>
      <w:tr>
        <w:tc>
          <w:tcPr>
            <w:shd w:val="clear" w:color="auto" w:fill="F5F7FB"/>
          </w:tcPr>
          <w:p>
            <w:pPr>
              <w:pStyle w:val="Compact"/>
            </w:pPr>
            <w:r>
              <w:rPr>
                <w:rStyle w:val="VerbatimChar"/>
                <w:sz w:val="17"/>
              </w:rPr>
              <w:t xml:space="preserve">account.closed</w:t>
            </w:r>
          </w:p>
        </w:tc>
        <w:tc>
          <w:tcPr>
            <w:shd w:val="clear" w:color="auto" w:fill="F5F7FB"/>
          </w:tcPr>
          <w:p>
            <w:pPr>
              <w:pStyle w:val="Compact"/>
            </w:pPr>
            <w:r>
              <w:rPr>
                <w:sz w:val="17"/>
              </w:rPr>
              <w:t xml:space="preserve">Compte clôturé</w:t>
            </w:r>
          </w:p>
        </w:tc>
        <w:tc>
          <w:tcPr>
            <w:shd w:val="clear" w:color="auto" w:fill="F5F7FB"/>
          </w:tcPr>
          <w:p>
            <w:pPr>
              <w:pStyle w:val="Compact"/>
            </w:pPr>
            <w:r>
              <w:rPr>
                <w:sz w:val="17"/>
              </w:rPr>
              <w:t xml:space="preserve">Votre compte a été clôturé</w:t>
            </w:r>
          </w:p>
        </w:tc>
        <w:tc>
          <w:tcPr>
            <w:shd w:val="clear" w:color="auto" w:fill="F5F7FB"/>
          </w:tcPr>
          <w:p>
            <w:pPr>
              <w:pStyle w:val="Compact"/>
            </w:pPr>
            <w:r>
              <w:rPr>
                <w:sz w:val="17"/>
              </w:rPr>
              <w:t xml:space="preserve">info</w:t>
            </w:r>
          </w:p>
        </w:tc>
        <w:tc>
          <w:tcPr>
            <w:shd w:val="clear" w:color="auto" w:fill="F5F7FB"/>
          </w:tcPr>
          <w:p>
            <w:pPr>
              <w:pStyle w:val="Compact"/>
            </w:pPr>
            <w:r>
              <w:rPr>
                <w:sz w:val="17"/>
              </w:rPr>
              <w:t xml:space="preserve">EAC</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C</w:t>
            </w:r>
          </w:p>
        </w:tc>
      </w:tr>
    </w:tbl>
    <w:bookmarkEnd w:id="586"/>
    <w:bookmarkStart w:id="587" w:name="g.3-connexion-et-sécurité"/>
    <w:p>
      <w:pPr>
        <w:pStyle w:val="Heading2"/>
      </w:pPr>
      <w:r>
        <w:t xml:space="preserve">G.3 Connexion et sécurité</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shd w:val="clear" w:color="auto" w:fill="232C6B"/>
          </w:tcPr>
          <w:p>
            <w:pPr>
              <w:pStyle w:val="Compact"/>
            </w:pPr>
            <w:r>
              <w:rPr>
                <w:b/>
                <w:color w:val="FFFFFF"/>
                <w:sz w:val="17"/>
              </w:rPr>
              <w:t xml:space="preserve">Code</w:t>
            </w:r>
          </w:p>
        </w:tc>
        <w:tc>
          <w:tcPr>
            <w:shd w:val="clear" w:color="auto" w:fill="232C6B"/>
          </w:tcPr>
          <w:p>
            <w:pPr>
              <w:pStyle w:val="Compact"/>
            </w:pPr>
            <w:r>
              <w:rPr>
                <w:b/>
                <w:color w:val="FFFFFF"/>
                <w:sz w:val="17"/>
              </w:rPr>
              <w:t xml:space="preserve">Événement</w:t>
            </w:r>
          </w:p>
        </w:tc>
        <w:tc>
          <w:tcPr>
            <w:shd w:val="clear" w:color="auto" w:fill="232C6B"/>
          </w:tcPr>
          <w:p>
            <w:pPr>
              <w:pStyle w:val="Compact"/>
            </w:pPr>
            <w:r>
              <w:rPr>
                <w:b/>
                <w:color w:val="FFFFFF"/>
                <w:sz w:val="17"/>
              </w:rPr>
              <w:t xml:space="preserve">Objet du message (fr)</w:t>
            </w:r>
          </w:p>
        </w:tc>
        <w:tc>
          <w:tcPr>
            <w:shd w:val="clear" w:color="auto" w:fill="232C6B"/>
          </w:tcPr>
          <w:p>
            <w:pPr>
              <w:pStyle w:val="Compact"/>
            </w:pPr>
            <w:r>
              <w:rPr>
                <w:b/>
                <w:color w:val="FFFFFF"/>
                <w:sz w:val="17"/>
              </w:rPr>
              <w:t xml:space="preserve">Gravité</w:t>
            </w:r>
          </w:p>
        </w:tc>
        <w:tc>
          <w:tcPr>
            <w:shd w:val="clear" w:color="auto" w:fill="232C6B"/>
          </w:tcPr>
          <w:p>
            <w:pPr>
              <w:pStyle w:val="Compact"/>
            </w:pPr>
            <w:r>
              <w:rPr>
                <w:b/>
                <w:color w:val="FFFFFF"/>
                <w:sz w:val="17"/>
              </w:rPr>
              <w:t xml:space="preserve">Canaux</w:t>
            </w:r>
          </w:p>
        </w:tc>
        <w:tc>
          <w:tcPr>
            <w:shd w:val="clear" w:color="auto" w:fill="232C6B"/>
          </w:tcPr>
          <w:p>
            <w:pPr>
              <w:pStyle w:val="Compact"/>
            </w:pPr>
            <w:r>
              <w:rPr>
                <w:b/>
                <w:color w:val="FFFFFF"/>
                <w:sz w:val="17"/>
              </w:rPr>
              <w:t xml:space="preserve">M</w:t>
            </w:r>
          </w:p>
        </w:tc>
        <w:tc>
          <w:tcPr>
            <w:shd w:val="clear" w:color="auto" w:fill="232C6B"/>
          </w:tcPr>
          <w:p>
            <w:pPr>
              <w:pStyle w:val="Compact"/>
            </w:pPr>
            <w:r>
              <w:rPr>
                <w:b/>
                <w:color w:val="FFFFFF"/>
                <w:sz w:val="17"/>
              </w:rPr>
              <w:t xml:space="preserve">Public</w:t>
            </w:r>
          </w:p>
        </w:tc>
      </w:tr>
      <w:tr>
        <w:tc>
          <w:tcPr/>
          <w:p>
            <w:pPr>
              <w:pStyle w:val="Compact"/>
            </w:pPr>
            <w:r>
              <w:rPr>
                <w:rStyle w:val="VerbatimChar"/>
                <w:sz w:val="17"/>
              </w:rPr>
              <w:t xml:space="preserve">auth.login.success</w:t>
            </w:r>
          </w:p>
        </w:tc>
        <w:tc>
          <w:tcPr/>
          <w:p>
            <w:pPr>
              <w:pStyle w:val="Compact"/>
            </w:pPr>
            <w:r>
              <w:rPr>
                <w:sz w:val="17"/>
              </w:rPr>
              <w:t xml:space="preserve">Connexion réussie</w:t>
            </w:r>
          </w:p>
        </w:tc>
        <w:tc>
          <w:tcPr/>
          <w:p>
            <w:pPr>
              <w:pStyle w:val="Compact"/>
            </w:pPr>
            <w:r>
              <w:rPr>
                <w:sz w:val="17"/>
              </w:rPr>
              <w:t xml:space="preserve">Nouvelle connexion à votre compte</w:t>
            </w:r>
          </w:p>
        </w:tc>
        <w:tc>
          <w:tcPr/>
          <w:p>
            <w:pPr>
              <w:pStyle w:val="Compact"/>
            </w:pPr>
            <w:r>
              <w:rPr>
                <w:sz w:val="17"/>
              </w:rPr>
              <w:t xml:space="preserve">info</w:t>
            </w:r>
          </w:p>
        </w:tc>
        <w:tc>
          <w:tcPr/>
          <w:p>
            <w:pPr>
              <w:pStyle w:val="Compact"/>
            </w:pPr>
            <w:r>
              <w:rPr>
                <w:sz w:val="17"/>
              </w:rPr>
              <w:t xml:space="preserve">A+W</w:t>
            </w:r>
          </w:p>
        </w:tc>
        <w:tc>
          <w:tcPr/>
          <w:p>
            <w:pPr>
              <w:pStyle w:val="Compact"/>
            </w:pPr>
          </w:p>
        </w:tc>
        <w:tc>
          <w:tcPr/>
          <w:p>
            <w:pPr>
              <w:pStyle w:val="Compact"/>
            </w:pPr>
            <w:r>
              <w:rPr>
                <w:sz w:val="17"/>
              </w:rPr>
              <w:t xml:space="preserve">CG</w:t>
            </w:r>
          </w:p>
        </w:tc>
      </w:tr>
      <w:tr>
        <w:tc>
          <w:tcPr>
            <w:shd w:val="clear" w:color="auto" w:fill="F5F7FB"/>
          </w:tcPr>
          <w:p>
            <w:pPr>
              <w:pStyle w:val="Compact"/>
            </w:pPr>
            <w:r>
              <w:rPr>
                <w:rStyle w:val="VerbatimChar"/>
                <w:sz w:val="17"/>
              </w:rPr>
              <w:t xml:space="preserve">auth.login.failed</w:t>
            </w:r>
          </w:p>
        </w:tc>
        <w:tc>
          <w:tcPr>
            <w:shd w:val="clear" w:color="auto" w:fill="F5F7FB"/>
          </w:tcPr>
          <w:p>
            <w:pPr>
              <w:pStyle w:val="Compact"/>
            </w:pPr>
            <w:r>
              <w:rPr>
                <w:sz w:val="17"/>
              </w:rPr>
              <w:t xml:space="preserve">Échec de connexion</w:t>
            </w:r>
          </w:p>
        </w:tc>
        <w:tc>
          <w:tcPr>
            <w:shd w:val="clear" w:color="auto" w:fill="F5F7FB"/>
          </w:tcPr>
          <w:p>
            <w:pPr>
              <w:pStyle w:val="Compact"/>
            </w:pPr>
            <w:r>
              <w:rPr>
                <w:sz w:val="17"/>
              </w:rPr>
              <w:t xml:space="preserve">Tentative de connexion échouée</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A+W</w:t>
            </w:r>
          </w:p>
        </w:tc>
        <w:tc>
          <w:tcPr>
            <w:shd w:val="clear" w:color="auto" w:fill="F5F7FB"/>
          </w:tcPr>
          <w:p>
            <w:pPr>
              <w:pStyle w:val="Compact"/>
            </w:pPr>
          </w:p>
        </w:tc>
        <w:tc>
          <w:tcPr>
            <w:shd w:val="clear" w:color="auto" w:fill="F5F7FB"/>
          </w:tcPr>
          <w:p>
            <w:pPr>
              <w:pStyle w:val="Compact"/>
            </w:pPr>
            <w:r>
              <w:rPr>
                <w:sz w:val="17"/>
              </w:rPr>
              <w:t xml:space="preserve">CG</w:t>
            </w:r>
          </w:p>
        </w:tc>
      </w:tr>
      <w:tr>
        <w:tc>
          <w:tcPr/>
          <w:p>
            <w:pPr>
              <w:pStyle w:val="Compact"/>
            </w:pPr>
            <w:r>
              <w:rPr>
                <w:rStyle w:val="VerbatimChar"/>
                <w:sz w:val="17"/>
              </w:rPr>
              <w:t xml:space="preserve">auth.login.suspicious</w:t>
            </w:r>
          </w:p>
        </w:tc>
        <w:tc>
          <w:tcPr/>
          <w:p>
            <w:pPr>
              <w:pStyle w:val="Compact"/>
            </w:pPr>
            <w:r>
              <w:rPr>
                <w:sz w:val="17"/>
              </w:rPr>
              <w:t xml:space="preserve">Connexion suspecte</w:t>
            </w:r>
          </w:p>
        </w:tc>
        <w:tc>
          <w:tcPr/>
          <w:p>
            <w:pPr>
              <w:pStyle w:val="Compact"/>
            </w:pPr>
            <w:r>
              <w:rPr>
                <w:sz w:val="17"/>
              </w:rPr>
              <w:t xml:space="preserve">Connexion inhabituelle détectée</w:t>
            </w:r>
          </w:p>
        </w:tc>
        <w:tc>
          <w:tcPr/>
          <w:p>
            <w:pPr>
              <w:pStyle w:val="Compact"/>
            </w:pPr>
            <w:r>
              <w:rPr>
                <w:sz w:val="17"/>
              </w:rPr>
              <w:t xml:space="preserve">critical</w:t>
            </w:r>
          </w:p>
        </w:tc>
        <w:tc>
          <w:tcPr/>
          <w:p>
            <w:pPr>
              <w:pStyle w:val="Compact"/>
            </w:pPr>
            <w:r>
              <w:rPr>
                <w:sz w:val="17"/>
              </w:rPr>
              <w:t xml:space="preserve">EAS</w:t>
            </w:r>
          </w:p>
        </w:tc>
        <w:tc>
          <w:tcPr/>
          <w:p>
            <w:pPr>
              <w:pStyle w:val="Compact"/>
            </w:pPr>
            <w:r>
              <w:rPr>
                <w:sz w:val="17"/>
              </w:rPr>
              <w:t xml:space="preserve">M</w:t>
            </w:r>
          </w:p>
        </w:tc>
        <w:tc>
          <w:tcPr/>
          <w:p>
            <w:pPr>
              <w:pStyle w:val="Compact"/>
            </w:pPr>
            <w:r>
              <w:rPr>
                <w:sz w:val="17"/>
              </w:rPr>
              <w:t xml:space="preserve">CG</w:t>
            </w:r>
          </w:p>
        </w:tc>
      </w:tr>
      <w:tr>
        <w:tc>
          <w:tcPr>
            <w:shd w:val="clear" w:color="auto" w:fill="F5F7FB"/>
          </w:tcPr>
          <w:p>
            <w:pPr>
              <w:pStyle w:val="Compact"/>
            </w:pPr>
            <w:r>
              <w:rPr>
                <w:rStyle w:val="VerbatimChar"/>
                <w:sz w:val="17"/>
              </w:rPr>
              <w:t xml:space="preserve">auth.device.new</w:t>
            </w:r>
          </w:p>
        </w:tc>
        <w:tc>
          <w:tcPr>
            <w:shd w:val="clear" w:color="auto" w:fill="F5F7FB"/>
          </w:tcPr>
          <w:p>
            <w:pPr>
              <w:pStyle w:val="Compact"/>
            </w:pPr>
            <w:r>
              <w:rPr>
                <w:sz w:val="17"/>
              </w:rPr>
              <w:t xml:space="preserve">Nouvel appareil</w:t>
            </w:r>
          </w:p>
        </w:tc>
        <w:tc>
          <w:tcPr>
            <w:shd w:val="clear" w:color="auto" w:fill="F5F7FB"/>
          </w:tcPr>
          <w:p>
            <w:pPr>
              <w:pStyle w:val="Compact"/>
            </w:pPr>
            <w:r>
              <w:rPr>
                <w:sz w:val="17"/>
              </w:rPr>
              <w:t xml:space="preserve">Un nouvel appareil s’est connecté</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EAS</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CG</w:t>
            </w:r>
          </w:p>
        </w:tc>
      </w:tr>
      <w:tr>
        <w:tc>
          <w:tcPr/>
          <w:p>
            <w:pPr>
              <w:pStyle w:val="Compact"/>
            </w:pPr>
            <w:r>
              <w:rPr>
                <w:rStyle w:val="VerbatimChar"/>
                <w:sz w:val="17"/>
              </w:rPr>
              <w:t xml:space="preserve">auth.device.revoked</w:t>
            </w:r>
          </w:p>
        </w:tc>
        <w:tc>
          <w:tcPr/>
          <w:p>
            <w:pPr>
              <w:pStyle w:val="Compact"/>
            </w:pPr>
            <w:r>
              <w:rPr>
                <w:sz w:val="17"/>
              </w:rPr>
              <w:t xml:space="preserve">Appareil révoqué</w:t>
            </w:r>
          </w:p>
        </w:tc>
        <w:tc>
          <w:tcPr/>
          <w:p>
            <w:pPr>
              <w:pStyle w:val="Compact"/>
            </w:pPr>
            <w:r>
              <w:rPr>
                <w:sz w:val="17"/>
              </w:rPr>
              <w:t xml:space="preserve">Un appareil a été révoqué</w:t>
            </w:r>
          </w:p>
        </w:tc>
        <w:tc>
          <w:tcPr/>
          <w:p>
            <w:pPr>
              <w:pStyle w:val="Compact"/>
            </w:pPr>
            <w:r>
              <w:rPr>
                <w:sz w:val="17"/>
              </w:rPr>
              <w:t xml:space="preserve">warning</w:t>
            </w:r>
          </w:p>
        </w:tc>
        <w:tc>
          <w:tcPr/>
          <w:p>
            <w:pPr>
              <w:pStyle w:val="Compact"/>
            </w:pPr>
            <w:r>
              <w:rPr>
                <w:sz w:val="17"/>
              </w:rPr>
              <w:t xml:space="preserve">EA</w:t>
            </w:r>
          </w:p>
        </w:tc>
        <w:tc>
          <w:tcPr/>
          <w:p>
            <w:pPr>
              <w:pStyle w:val="Compact"/>
            </w:pPr>
            <w:r>
              <w:rPr>
                <w:sz w:val="17"/>
              </w:rPr>
              <w:t xml:space="preserve">M</w:t>
            </w:r>
          </w:p>
        </w:tc>
        <w:tc>
          <w:tcPr/>
          <w:p>
            <w:pPr>
              <w:pStyle w:val="Compact"/>
            </w:pPr>
            <w:r>
              <w:rPr>
                <w:sz w:val="17"/>
              </w:rPr>
              <w:t xml:space="preserve">CG</w:t>
            </w:r>
          </w:p>
        </w:tc>
      </w:tr>
      <w:tr>
        <w:tc>
          <w:tcPr>
            <w:shd w:val="clear" w:color="auto" w:fill="F5F7FB"/>
          </w:tcPr>
          <w:p>
            <w:pPr>
              <w:pStyle w:val="Compact"/>
            </w:pPr>
            <w:r>
              <w:rPr>
                <w:rStyle w:val="VerbatimChar"/>
                <w:sz w:val="17"/>
              </w:rPr>
              <w:t xml:space="preserve">auth.otp_code</w:t>
            </w:r>
          </w:p>
        </w:tc>
        <w:tc>
          <w:tcPr>
            <w:shd w:val="clear" w:color="auto" w:fill="F5F7FB"/>
          </w:tcPr>
          <w:p>
            <w:pPr>
              <w:pStyle w:val="Compact"/>
            </w:pPr>
            <w:r>
              <w:rPr>
                <w:sz w:val="17"/>
              </w:rPr>
              <w:t xml:space="preserve">Code à usage unique</w:t>
            </w:r>
          </w:p>
        </w:tc>
        <w:tc>
          <w:tcPr>
            <w:shd w:val="clear" w:color="auto" w:fill="F5F7FB"/>
          </w:tcPr>
          <w:p>
            <w:pPr>
              <w:pStyle w:val="Compact"/>
            </w:pPr>
            <w:r>
              <w:rPr>
                <w:sz w:val="17"/>
              </w:rPr>
              <w:t xml:space="preserve">Votre code MOSOLO : {{code}}</w:t>
            </w:r>
          </w:p>
        </w:tc>
        <w:tc>
          <w:tcPr>
            <w:shd w:val="clear" w:color="auto" w:fill="F5F7FB"/>
          </w:tcPr>
          <w:p>
            <w:pPr>
              <w:pStyle w:val="Compact"/>
            </w:pPr>
            <w:r>
              <w:rPr>
                <w:sz w:val="17"/>
              </w:rPr>
              <w:t xml:space="preserve">info</w:t>
            </w:r>
          </w:p>
        </w:tc>
        <w:tc>
          <w:tcPr>
            <w:shd w:val="clear" w:color="auto" w:fill="F5F7FB"/>
          </w:tcPr>
          <w:p>
            <w:pPr>
              <w:pStyle w:val="Compact"/>
            </w:pPr>
            <w:r>
              <w:rPr>
                <w:sz w:val="17"/>
              </w:rPr>
              <w:t xml:space="preserve">SV</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CG</w:t>
            </w:r>
          </w:p>
        </w:tc>
      </w:tr>
      <w:tr>
        <w:tc>
          <w:tcPr/>
          <w:p>
            <w:pPr>
              <w:pStyle w:val="Compact"/>
            </w:pPr>
            <w:r>
              <w:rPr>
                <w:rStyle w:val="VerbatimChar"/>
                <w:sz w:val="17"/>
              </w:rPr>
              <w:t xml:space="preserve">auth.recovery.requested</w:t>
            </w:r>
          </w:p>
        </w:tc>
        <w:tc>
          <w:tcPr/>
          <w:p>
            <w:pPr>
              <w:pStyle w:val="Compact"/>
            </w:pPr>
            <w:r>
              <w:rPr>
                <w:sz w:val="17"/>
              </w:rPr>
              <w:t xml:space="preserve">Récupération de compte demandée</w:t>
            </w:r>
          </w:p>
        </w:tc>
        <w:tc>
          <w:tcPr/>
          <w:p>
            <w:pPr>
              <w:pStyle w:val="Compact"/>
            </w:pPr>
            <w:r>
              <w:rPr>
                <w:sz w:val="17"/>
              </w:rPr>
              <w:t xml:space="preserve">Demande de récupération de votre compte</w:t>
            </w:r>
          </w:p>
        </w:tc>
        <w:tc>
          <w:tcPr/>
          <w:p>
            <w:pPr>
              <w:pStyle w:val="Compact"/>
            </w:pPr>
            <w:r>
              <w:rPr>
                <w:sz w:val="17"/>
              </w:rPr>
              <w:t xml:space="preserve">warning</w:t>
            </w:r>
          </w:p>
        </w:tc>
        <w:tc>
          <w:tcPr/>
          <w:p>
            <w:pPr>
              <w:pStyle w:val="Compact"/>
            </w:pPr>
            <w:r>
              <w:rPr>
                <w:sz w:val="17"/>
              </w:rPr>
              <w:t xml:space="preserve">EAS</w:t>
            </w:r>
          </w:p>
        </w:tc>
        <w:tc>
          <w:tcPr/>
          <w:p>
            <w:pPr>
              <w:pStyle w:val="Compact"/>
            </w:pPr>
            <w:r>
              <w:rPr>
                <w:sz w:val="17"/>
              </w:rPr>
              <w:t xml:space="preserve">M</w:t>
            </w:r>
          </w:p>
        </w:tc>
        <w:tc>
          <w:tcPr/>
          <w:p>
            <w:pPr>
              <w:pStyle w:val="Compact"/>
            </w:pPr>
            <w:r>
              <w:rPr>
                <w:sz w:val="17"/>
              </w:rPr>
              <w:t xml:space="preserve">C</w:t>
            </w:r>
          </w:p>
        </w:tc>
      </w:tr>
      <w:tr>
        <w:tc>
          <w:tcPr>
            <w:shd w:val="clear" w:color="auto" w:fill="F5F7FB"/>
          </w:tcPr>
          <w:p>
            <w:pPr>
              <w:pStyle w:val="Compact"/>
            </w:pPr>
            <w:r>
              <w:rPr>
                <w:rStyle w:val="VerbatimChar"/>
                <w:sz w:val="17"/>
              </w:rPr>
              <w:t xml:space="preserve">auth.recovery.completed</w:t>
            </w:r>
          </w:p>
        </w:tc>
        <w:tc>
          <w:tcPr>
            <w:shd w:val="clear" w:color="auto" w:fill="F5F7FB"/>
          </w:tcPr>
          <w:p>
            <w:pPr>
              <w:pStyle w:val="Compact"/>
            </w:pPr>
            <w:r>
              <w:rPr>
                <w:sz w:val="17"/>
              </w:rPr>
              <w:t xml:space="preserve">Récupération effectuée</w:t>
            </w:r>
          </w:p>
        </w:tc>
        <w:tc>
          <w:tcPr>
            <w:shd w:val="clear" w:color="auto" w:fill="F5F7FB"/>
          </w:tcPr>
          <w:p>
            <w:pPr>
              <w:pStyle w:val="Compact"/>
            </w:pPr>
            <w:r>
              <w:rPr>
                <w:sz w:val="17"/>
              </w:rPr>
              <w:t xml:space="preserve">Votre accès a été rétabli</w:t>
            </w:r>
          </w:p>
        </w:tc>
        <w:tc>
          <w:tcPr>
            <w:shd w:val="clear" w:color="auto" w:fill="F5F7FB"/>
          </w:tcPr>
          <w:p>
            <w:pPr>
              <w:pStyle w:val="Compact"/>
            </w:pPr>
            <w:r>
              <w:rPr>
                <w:sz w:val="17"/>
              </w:rPr>
              <w:t xml:space="preserve">success</w:t>
            </w:r>
          </w:p>
        </w:tc>
        <w:tc>
          <w:tcPr>
            <w:shd w:val="clear" w:color="auto" w:fill="F5F7FB"/>
          </w:tcPr>
          <w:p>
            <w:pPr>
              <w:pStyle w:val="Compact"/>
            </w:pPr>
            <w:r>
              <w:rPr>
                <w:sz w:val="17"/>
              </w:rPr>
              <w:t xml:space="preserve">EAS</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C</w:t>
            </w:r>
          </w:p>
        </w:tc>
      </w:tr>
      <w:tr>
        <w:tc>
          <w:tcPr/>
          <w:p>
            <w:pPr>
              <w:pStyle w:val="Compact"/>
            </w:pPr>
            <w:r>
              <w:rPr>
                <w:rStyle w:val="VerbatimChar"/>
                <w:sz w:val="17"/>
              </w:rPr>
              <w:t xml:space="preserve">auth.password.changed</w:t>
            </w:r>
          </w:p>
        </w:tc>
        <w:tc>
          <w:tcPr/>
          <w:p>
            <w:pPr>
              <w:pStyle w:val="Compact"/>
            </w:pPr>
            <w:r>
              <w:rPr>
                <w:sz w:val="17"/>
              </w:rPr>
              <w:t xml:space="preserve">Mot de passe modifié</w:t>
            </w:r>
          </w:p>
        </w:tc>
        <w:tc>
          <w:tcPr/>
          <w:p>
            <w:pPr>
              <w:pStyle w:val="Compact"/>
            </w:pPr>
            <w:r>
              <w:rPr>
                <w:sz w:val="17"/>
              </w:rPr>
              <w:t xml:space="preserve">Votre mot de passe a été modifié</w:t>
            </w:r>
          </w:p>
        </w:tc>
        <w:tc>
          <w:tcPr/>
          <w:p>
            <w:pPr>
              <w:pStyle w:val="Compact"/>
            </w:pPr>
            <w:r>
              <w:rPr>
                <w:sz w:val="17"/>
              </w:rPr>
              <w:t xml:space="preserve">success</w:t>
            </w:r>
          </w:p>
        </w:tc>
        <w:tc>
          <w:tcPr/>
          <w:p>
            <w:pPr>
              <w:pStyle w:val="Compact"/>
            </w:pPr>
            <w:r>
              <w:rPr>
                <w:sz w:val="17"/>
              </w:rPr>
              <w:t xml:space="preserve">EAS</w:t>
            </w:r>
          </w:p>
        </w:tc>
        <w:tc>
          <w:tcPr/>
          <w:p>
            <w:pPr>
              <w:pStyle w:val="Compact"/>
            </w:pPr>
            <w:r>
              <w:rPr>
                <w:sz w:val="17"/>
              </w:rPr>
              <w:t xml:space="preserve">M</w:t>
            </w:r>
          </w:p>
        </w:tc>
        <w:tc>
          <w:tcPr/>
          <w:p>
            <w:pPr>
              <w:pStyle w:val="Compact"/>
            </w:pPr>
            <w:r>
              <w:rPr>
                <w:sz w:val="17"/>
              </w:rPr>
              <w:t xml:space="preserve">CG</w:t>
            </w:r>
          </w:p>
        </w:tc>
      </w:tr>
      <w:tr>
        <w:tc>
          <w:tcPr>
            <w:shd w:val="clear" w:color="auto" w:fill="F5F7FB"/>
          </w:tcPr>
          <w:p>
            <w:pPr>
              <w:pStyle w:val="Compact"/>
            </w:pPr>
            <w:r>
              <w:rPr>
                <w:rStyle w:val="VerbatimChar"/>
                <w:sz w:val="17"/>
              </w:rPr>
              <w:t xml:space="preserve">auth.mfa.enabled</w:t>
            </w:r>
          </w:p>
        </w:tc>
        <w:tc>
          <w:tcPr>
            <w:shd w:val="clear" w:color="auto" w:fill="F5F7FB"/>
          </w:tcPr>
          <w:p>
            <w:pPr>
              <w:pStyle w:val="Compact"/>
            </w:pPr>
            <w:r>
              <w:rPr>
                <w:sz w:val="17"/>
              </w:rPr>
              <w:t xml:space="preserve">Double authentification activée</w:t>
            </w:r>
          </w:p>
        </w:tc>
        <w:tc>
          <w:tcPr>
            <w:shd w:val="clear" w:color="auto" w:fill="F5F7FB"/>
          </w:tcPr>
          <w:p>
            <w:pPr>
              <w:pStyle w:val="Compact"/>
            </w:pPr>
            <w:r>
              <w:rPr>
                <w:sz w:val="17"/>
              </w:rPr>
              <w:t xml:space="preserve">Double authentification activée</w:t>
            </w:r>
          </w:p>
        </w:tc>
        <w:tc>
          <w:tcPr>
            <w:shd w:val="clear" w:color="auto" w:fill="F5F7FB"/>
          </w:tcPr>
          <w:p>
            <w:pPr>
              <w:pStyle w:val="Compact"/>
            </w:pPr>
            <w:r>
              <w:rPr>
                <w:sz w:val="17"/>
              </w:rPr>
              <w:t xml:space="preserve">success</w:t>
            </w:r>
          </w:p>
        </w:tc>
        <w:tc>
          <w:tcPr>
            <w:shd w:val="clear" w:color="auto" w:fill="F5F7FB"/>
          </w:tcPr>
          <w:p>
            <w:pPr>
              <w:pStyle w:val="Compact"/>
            </w:pPr>
            <w:r>
              <w:rPr>
                <w:sz w:val="17"/>
              </w:rPr>
              <w:t xml:space="preserve">EA</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CG</w:t>
            </w:r>
          </w:p>
        </w:tc>
      </w:tr>
      <w:tr>
        <w:tc>
          <w:tcPr/>
          <w:p>
            <w:pPr>
              <w:pStyle w:val="Compact"/>
            </w:pPr>
            <w:r>
              <w:rPr>
                <w:rStyle w:val="VerbatimChar"/>
                <w:sz w:val="17"/>
              </w:rPr>
              <w:t xml:space="preserve">auth.mfa.disabled</w:t>
            </w:r>
          </w:p>
        </w:tc>
        <w:tc>
          <w:tcPr/>
          <w:p>
            <w:pPr>
              <w:pStyle w:val="Compact"/>
            </w:pPr>
            <w:r>
              <w:rPr>
                <w:sz w:val="17"/>
              </w:rPr>
              <w:t xml:space="preserve">Double authentification désactivée</w:t>
            </w:r>
          </w:p>
        </w:tc>
        <w:tc>
          <w:tcPr/>
          <w:p>
            <w:pPr>
              <w:pStyle w:val="Compact"/>
            </w:pPr>
            <w:r>
              <w:rPr>
                <w:sz w:val="17"/>
              </w:rPr>
              <w:t xml:space="preserve">Double authentification désactivée</w:t>
            </w:r>
          </w:p>
        </w:tc>
        <w:tc>
          <w:tcPr/>
          <w:p>
            <w:pPr>
              <w:pStyle w:val="Compact"/>
            </w:pPr>
            <w:r>
              <w:rPr>
                <w:sz w:val="17"/>
              </w:rPr>
              <w:t xml:space="preserve">warning</w:t>
            </w:r>
          </w:p>
        </w:tc>
        <w:tc>
          <w:tcPr/>
          <w:p>
            <w:pPr>
              <w:pStyle w:val="Compact"/>
            </w:pPr>
            <w:r>
              <w:rPr>
                <w:sz w:val="17"/>
              </w:rPr>
              <w:t xml:space="preserve">EAS</w:t>
            </w:r>
          </w:p>
        </w:tc>
        <w:tc>
          <w:tcPr/>
          <w:p>
            <w:pPr>
              <w:pStyle w:val="Compact"/>
            </w:pPr>
            <w:r>
              <w:rPr>
                <w:sz w:val="17"/>
              </w:rPr>
              <w:t xml:space="preserve">M</w:t>
            </w:r>
          </w:p>
        </w:tc>
        <w:tc>
          <w:tcPr/>
          <w:p>
            <w:pPr>
              <w:pStyle w:val="Compact"/>
            </w:pPr>
            <w:r>
              <w:rPr>
                <w:sz w:val="17"/>
              </w:rPr>
              <w:t xml:space="preserve">CG</w:t>
            </w:r>
          </w:p>
        </w:tc>
      </w:tr>
      <w:tr>
        <w:tc>
          <w:tcPr>
            <w:shd w:val="clear" w:color="auto" w:fill="F5F7FB"/>
          </w:tcPr>
          <w:p>
            <w:pPr>
              <w:pStyle w:val="Compact"/>
            </w:pPr>
            <w:r>
              <w:rPr>
                <w:rStyle w:val="VerbatimChar"/>
                <w:sz w:val="17"/>
              </w:rPr>
              <w:t xml:space="preserve">auth.passkey.registered</w:t>
            </w:r>
          </w:p>
        </w:tc>
        <w:tc>
          <w:tcPr>
            <w:shd w:val="clear" w:color="auto" w:fill="F5F7FB"/>
          </w:tcPr>
          <w:p>
            <w:pPr>
              <w:pStyle w:val="Compact"/>
            </w:pPr>
            <w:r>
              <w:rPr>
                <w:sz w:val="17"/>
              </w:rPr>
              <w:t xml:space="preserve">Clé d’accès enregistrée</w:t>
            </w:r>
          </w:p>
        </w:tc>
        <w:tc>
          <w:tcPr>
            <w:shd w:val="clear" w:color="auto" w:fill="F5F7FB"/>
          </w:tcPr>
          <w:p>
            <w:pPr>
              <w:pStyle w:val="Compact"/>
            </w:pPr>
            <w:r>
              <w:rPr>
                <w:sz w:val="17"/>
              </w:rPr>
              <w:t xml:space="preserve">Nouvelle clé d’accès enregistrée</w:t>
            </w:r>
          </w:p>
        </w:tc>
        <w:tc>
          <w:tcPr>
            <w:shd w:val="clear" w:color="auto" w:fill="F5F7FB"/>
          </w:tcPr>
          <w:p>
            <w:pPr>
              <w:pStyle w:val="Compact"/>
            </w:pPr>
            <w:r>
              <w:rPr>
                <w:sz w:val="17"/>
              </w:rPr>
              <w:t xml:space="preserve">info</w:t>
            </w:r>
          </w:p>
        </w:tc>
        <w:tc>
          <w:tcPr>
            <w:shd w:val="clear" w:color="auto" w:fill="F5F7FB"/>
          </w:tcPr>
          <w:p>
            <w:pPr>
              <w:pStyle w:val="Compact"/>
            </w:pPr>
            <w:r>
              <w:rPr>
                <w:sz w:val="17"/>
              </w:rPr>
              <w:t xml:space="preserve">EA</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G</w:t>
            </w:r>
          </w:p>
        </w:tc>
      </w:tr>
      <w:tr>
        <w:tc>
          <w:tcPr/>
          <w:p>
            <w:pPr>
              <w:pStyle w:val="Compact"/>
            </w:pPr>
            <w:r>
              <w:rPr>
                <w:rStyle w:val="VerbatimChar"/>
                <w:sz w:val="17"/>
              </w:rPr>
              <w:t xml:space="preserve">auth.account.locked</w:t>
            </w:r>
          </w:p>
        </w:tc>
        <w:tc>
          <w:tcPr/>
          <w:p>
            <w:pPr>
              <w:pStyle w:val="Compact"/>
            </w:pPr>
            <w:r>
              <w:rPr>
                <w:sz w:val="17"/>
              </w:rPr>
              <w:t xml:space="preserve">Compte verrouillé</w:t>
            </w:r>
          </w:p>
        </w:tc>
        <w:tc>
          <w:tcPr/>
          <w:p>
            <w:pPr>
              <w:pStyle w:val="Compact"/>
            </w:pPr>
            <w:r>
              <w:rPr>
                <w:sz w:val="17"/>
              </w:rPr>
              <w:t xml:space="preserve">Votre compte a été verrouillé</w:t>
            </w:r>
          </w:p>
        </w:tc>
        <w:tc>
          <w:tcPr/>
          <w:p>
            <w:pPr>
              <w:pStyle w:val="Compact"/>
            </w:pPr>
            <w:r>
              <w:rPr>
                <w:sz w:val="17"/>
              </w:rPr>
              <w:t xml:space="preserve">critical</w:t>
            </w:r>
          </w:p>
        </w:tc>
        <w:tc>
          <w:tcPr/>
          <w:p>
            <w:pPr>
              <w:pStyle w:val="Compact"/>
            </w:pPr>
            <w:r>
              <w:rPr>
                <w:sz w:val="17"/>
              </w:rPr>
              <w:t xml:space="preserve">EAS</w:t>
            </w:r>
          </w:p>
        </w:tc>
        <w:tc>
          <w:tcPr/>
          <w:p>
            <w:pPr>
              <w:pStyle w:val="Compact"/>
            </w:pPr>
            <w:r>
              <w:rPr>
                <w:sz w:val="17"/>
              </w:rPr>
              <w:t xml:space="preserve">M</w:t>
            </w:r>
          </w:p>
        </w:tc>
        <w:tc>
          <w:tcPr/>
          <w:p>
            <w:pPr>
              <w:pStyle w:val="Compact"/>
            </w:pPr>
            <w:r>
              <w:rPr>
                <w:sz w:val="17"/>
              </w:rPr>
              <w:t xml:space="preserve">CG</w:t>
            </w:r>
          </w:p>
        </w:tc>
      </w:tr>
      <w:tr>
        <w:tc>
          <w:tcPr>
            <w:shd w:val="clear" w:color="auto" w:fill="F5F7FB"/>
          </w:tcPr>
          <w:p>
            <w:pPr>
              <w:pStyle w:val="Compact"/>
            </w:pPr>
            <w:r>
              <w:rPr>
                <w:rStyle w:val="VerbatimChar"/>
                <w:sz w:val="17"/>
              </w:rPr>
              <w:t xml:space="preserve">auth.session.revoked</w:t>
            </w:r>
          </w:p>
        </w:tc>
        <w:tc>
          <w:tcPr>
            <w:shd w:val="clear" w:color="auto" w:fill="F5F7FB"/>
          </w:tcPr>
          <w:p>
            <w:pPr>
              <w:pStyle w:val="Compact"/>
            </w:pPr>
            <w:r>
              <w:rPr>
                <w:sz w:val="17"/>
              </w:rPr>
              <w:t xml:space="preserve">Session fermée</w:t>
            </w:r>
          </w:p>
        </w:tc>
        <w:tc>
          <w:tcPr>
            <w:shd w:val="clear" w:color="auto" w:fill="F5F7FB"/>
          </w:tcPr>
          <w:p>
            <w:pPr>
              <w:pStyle w:val="Compact"/>
            </w:pPr>
            <w:r>
              <w:rPr>
                <w:sz w:val="17"/>
              </w:rPr>
              <w:t xml:space="preserve">Une session a été fermée</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EA</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CG</w:t>
            </w:r>
          </w:p>
        </w:tc>
      </w:tr>
      <w:tr>
        <w:tc>
          <w:tcPr/>
          <w:p>
            <w:pPr>
              <w:pStyle w:val="Compact"/>
            </w:pPr>
            <w:r>
              <w:rPr>
                <w:rStyle w:val="VerbatimChar"/>
                <w:sz w:val="17"/>
              </w:rPr>
              <w:t xml:space="preserve">auth.privileged_access.granted</w:t>
            </w:r>
          </w:p>
        </w:tc>
        <w:tc>
          <w:tcPr/>
          <w:p>
            <w:pPr>
              <w:pStyle w:val="Compact"/>
            </w:pPr>
            <w:r>
              <w:rPr>
                <w:sz w:val="17"/>
              </w:rPr>
              <w:t xml:space="preserve">Accès privilégié accordé</w:t>
            </w:r>
          </w:p>
        </w:tc>
        <w:tc>
          <w:tcPr/>
          <w:p>
            <w:pPr>
              <w:pStyle w:val="Compact"/>
            </w:pPr>
            <w:r>
              <w:rPr>
                <w:sz w:val="17"/>
              </w:rPr>
              <w:t xml:space="preserve">Accès privilégié temporaire accordé jusqu’à {{fin}}</w:t>
            </w:r>
          </w:p>
        </w:tc>
        <w:tc>
          <w:tcPr/>
          <w:p>
            <w:pPr>
              <w:pStyle w:val="Compact"/>
            </w:pPr>
            <w:r>
              <w:rPr>
                <w:sz w:val="17"/>
              </w:rPr>
              <w:t xml:space="preserve">warning</w:t>
            </w:r>
          </w:p>
        </w:tc>
        <w:tc>
          <w:tcPr/>
          <w:p>
            <w:pPr>
              <w:pStyle w:val="Compact"/>
            </w:pPr>
            <w:r>
              <w:rPr>
                <w:sz w:val="17"/>
              </w:rPr>
              <w:t xml:space="preserve">EAP</w:t>
            </w:r>
          </w:p>
        </w:tc>
        <w:tc>
          <w:tcPr/>
          <w:p>
            <w:pPr>
              <w:pStyle w:val="Compact"/>
            </w:pPr>
            <w:r>
              <w:rPr>
                <w:sz w:val="17"/>
              </w:rPr>
              <w:t xml:space="preserve">M</w:t>
            </w:r>
          </w:p>
        </w:tc>
        <w:tc>
          <w:tcPr/>
          <w:p>
            <w:pPr>
              <w:pStyle w:val="Compact"/>
            </w:pPr>
            <w:r>
              <w:rPr>
                <w:sz w:val="17"/>
              </w:rPr>
              <w:t xml:space="preserve">G</w:t>
            </w:r>
          </w:p>
        </w:tc>
      </w:tr>
      <w:tr>
        <w:tc>
          <w:tcPr>
            <w:shd w:val="clear" w:color="auto" w:fill="F5F7FB"/>
          </w:tcPr>
          <w:p>
            <w:pPr>
              <w:pStyle w:val="Compact"/>
            </w:pPr>
            <w:r>
              <w:rPr>
                <w:rStyle w:val="VerbatimChar"/>
                <w:sz w:val="17"/>
              </w:rPr>
              <w:t xml:space="preserve">auth.privileged_access.expired</w:t>
            </w:r>
          </w:p>
        </w:tc>
        <w:tc>
          <w:tcPr>
            <w:shd w:val="clear" w:color="auto" w:fill="F5F7FB"/>
          </w:tcPr>
          <w:p>
            <w:pPr>
              <w:pStyle w:val="Compact"/>
            </w:pPr>
            <w:r>
              <w:rPr>
                <w:sz w:val="17"/>
              </w:rPr>
              <w:t xml:space="preserve">Accès privilégié expiré</w:t>
            </w:r>
          </w:p>
        </w:tc>
        <w:tc>
          <w:tcPr>
            <w:shd w:val="clear" w:color="auto" w:fill="F5F7FB"/>
          </w:tcPr>
          <w:p>
            <w:pPr>
              <w:pStyle w:val="Compact"/>
            </w:pPr>
            <w:r>
              <w:rPr>
                <w:sz w:val="17"/>
              </w:rPr>
              <w:t xml:space="preserve">Votre accès privilégié a expiré</w:t>
            </w:r>
          </w:p>
        </w:tc>
        <w:tc>
          <w:tcPr>
            <w:shd w:val="clear" w:color="auto" w:fill="F5F7FB"/>
          </w:tcPr>
          <w:p>
            <w:pPr>
              <w:pStyle w:val="Compact"/>
            </w:pPr>
            <w:r>
              <w:rPr>
                <w:sz w:val="17"/>
              </w:rPr>
              <w:t xml:space="preserve">info</w:t>
            </w:r>
          </w:p>
        </w:tc>
        <w:tc>
          <w:tcPr>
            <w:shd w:val="clear" w:color="auto" w:fill="F5F7FB"/>
          </w:tcPr>
          <w:p>
            <w:pPr>
              <w:pStyle w:val="Compact"/>
            </w:pPr>
            <w:r>
              <w:rPr>
                <w:sz w:val="17"/>
              </w:rPr>
              <w:t xml:space="preserve">A</w:t>
            </w:r>
          </w:p>
        </w:tc>
        <w:tc>
          <w:tcPr>
            <w:shd w:val="clear" w:color="auto" w:fill="F5F7FB"/>
          </w:tcPr>
          <w:p>
            <w:pPr>
              <w:pStyle w:val="Compact"/>
            </w:pPr>
          </w:p>
        </w:tc>
        <w:tc>
          <w:tcPr>
            <w:shd w:val="clear" w:color="auto" w:fill="F5F7FB"/>
          </w:tcPr>
          <w:p>
            <w:pPr>
              <w:pStyle w:val="Compact"/>
            </w:pPr>
            <w:r>
              <w:rPr>
                <w:sz w:val="17"/>
              </w:rPr>
              <w:t xml:space="preserve">G</w:t>
            </w:r>
          </w:p>
        </w:tc>
      </w:tr>
      <w:tr>
        <w:tc>
          <w:tcPr/>
          <w:p>
            <w:pPr>
              <w:pStyle w:val="Compact"/>
            </w:pPr>
            <w:r>
              <w:rPr>
                <w:rStyle w:val="VerbatimChar"/>
                <w:sz w:val="17"/>
              </w:rPr>
              <w:t xml:space="preserve">auth.break_glass.used</w:t>
            </w:r>
          </w:p>
        </w:tc>
        <w:tc>
          <w:tcPr/>
          <w:p>
            <w:pPr>
              <w:pStyle w:val="Compact"/>
            </w:pPr>
            <w:r>
              <w:rPr>
                <w:sz w:val="17"/>
              </w:rPr>
              <w:t xml:space="preserve">Accès d’urgence utilisé</w:t>
            </w:r>
          </w:p>
        </w:tc>
        <w:tc>
          <w:tcPr/>
          <w:p>
            <w:pPr>
              <w:pStyle w:val="Compact"/>
            </w:pPr>
            <w:r>
              <w:rPr>
                <w:sz w:val="17"/>
              </w:rPr>
              <w:t xml:space="preserve">Accès « bris de glace » utilisé — revue requise</w:t>
            </w:r>
          </w:p>
        </w:tc>
        <w:tc>
          <w:tcPr/>
          <w:p>
            <w:pPr>
              <w:pStyle w:val="Compact"/>
            </w:pPr>
            <w:r>
              <w:rPr>
                <w:sz w:val="17"/>
              </w:rPr>
              <w:t xml:space="preserve">critical</w:t>
            </w:r>
          </w:p>
        </w:tc>
        <w:tc>
          <w:tcPr/>
          <w:p>
            <w:pPr>
              <w:pStyle w:val="Compact"/>
            </w:pPr>
            <w:r>
              <w:rPr>
                <w:sz w:val="17"/>
              </w:rPr>
              <w:t xml:space="preserve">EAS</w:t>
            </w:r>
          </w:p>
        </w:tc>
        <w:tc>
          <w:tcPr/>
          <w:p>
            <w:pPr>
              <w:pStyle w:val="Compact"/>
            </w:pPr>
            <w:r>
              <w:rPr>
                <w:sz w:val="17"/>
              </w:rPr>
              <w:t xml:space="preserve">M</w:t>
            </w:r>
          </w:p>
        </w:tc>
        <w:tc>
          <w:tcPr/>
          <w:p>
            <w:pPr>
              <w:pStyle w:val="Compact"/>
            </w:pPr>
            <w:r>
              <w:rPr>
                <w:sz w:val="17"/>
              </w:rPr>
              <w:t xml:space="preserve">G</w:t>
            </w:r>
          </w:p>
        </w:tc>
      </w:tr>
    </w:tbl>
    <w:bookmarkEnd w:id="587"/>
    <w:bookmarkStart w:id="588" w:name="g.4-mandats-et-représentants"/>
    <w:p>
      <w:pPr>
        <w:pStyle w:val="Heading2"/>
      </w:pPr>
      <w:r>
        <w:t xml:space="preserve">G.4 Mandats et représentants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shd w:val="clear" w:color="auto" w:fill="232C6B"/>
          </w:tcPr>
          <w:p>
            <w:pPr>
              <w:pStyle w:val="Compact"/>
            </w:pPr>
            <w:r>
              <w:rPr>
                <w:b/>
                <w:color w:val="FFFFFF"/>
                <w:sz w:val="17"/>
              </w:rPr>
              <w:t xml:space="preserve">Code</w:t>
            </w:r>
          </w:p>
        </w:tc>
        <w:tc>
          <w:tcPr>
            <w:shd w:val="clear" w:color="auto" w:fill="232C6B"/>
          </w:tcPr>
          <w:p>
            <w:pPr>
              <w:pStyle w:val="Compact"/>
            </w:pPr>
            <w:r>
              <w:rPr>
                <w:b/>
                <w:color w:val="FFFFFF"/>
                <w:sz w:val="17"/>
              </w:rPr>
              <w:t xml:space="preserve">Événement</w:t>
            </w:r>
          </w:p>
        </w:tc>
        <w:tc>
          <w:tcPr>
            <w:shd w:val="clear" w:color="auto" w:fill="232C6B"/>
          </w:tcPr>
          <w:p>
            <w:pPr>
              <w:pStyle w:val="Compact"/>
            </w:pPr>
            <w:r>
              <w:rPr>
                <w:b/>
                <w:color w:val="FFFFFF"/>
                <w:sz w:val="17"/>
              </w:rPr>
              <w:t xml:space="preserve">Objet du message (fr)</w:t>
            </w:r>
          </w:p>
        </w:tc>
        <w:tc>
          <w:tcPr>
            <w:shd w:val="clear" w:color="auto" w:fill="232C6B"/>
          </w:tcPr>
          <w:p>
            <w:pPr>
              <w:pStyle w:val="Compact"/>
            </w:pPr>
            <w:r>
              <w:rPr>
                <w:b/>
                <w:color w:val="FFFFFF"/>
                <w:sz w:val="17"/>
              </w:rPr>
              <w:t xml:space="preserve">Gravité</w:t>
            </w:r>
          </w:p>
        </w:tc>
        <w:tc>
          <w:tcPr>
            <w:shd w:val="clear" w:color="auto" w:fill="232C6B"/>
          </w:tcPr>
          <w:p>
            <w:pPr>
              <w:pStyle w:val="Compact"/>
            </w:pPr>
            <w:r>
              <w:rPr>
                <w:b/>
                <w:color w:val="FFFFFF"/>
                <w:sz w:val="17"/>
              </w:rPr>
              <w:t xml:space="preserve">Canaux</w:t>
            </w:r>
          </w:p>
        </w:tc>
        <w:tc>
          <w:tcPr>
            <w:shd w:val="clear" w:color="auto" w:fill="232C6B"/>
          </w:tcPr>
          <w:p>
            <w:pPr>
              <w:pStyle w:val="Compact"/>
            </w:pPr>
            <w:r>
              <w:rPr>
                <w:b/>
                <w:color w:val="FFFFFF"/>
                <w:sz w:val="17"/>
              </w:rPr>
              <w:t xml:space="preserve">M</w:t>
            </w:r>
          </w:p>
        </w:tc>
        <w:tc>
          <w:tcPr>
            <w:shd w:val="clear" w:color="auto" w:fill="232C6B"/>
          </w:tcPr>
          <w:p>
            <w:pPr>
              <w:pStyle w:val="Compact"/>
            </w:pPr>
            <w:r>
              <w:rPr>
                <w:b/>
                <w:color w:val="FFFFFF"/>
                <w:sz w:val="17"/>
              </w:rPr>
              <w:t xml:space="preserve">Public</w:t>
            </w:r>
          </w:p>
        </w:tc>
      </w:tr>
      <w:tr>
        <w:tc>
          <w:tcPr/>
          <w:p>
            <w:pPr>
              <w:pStyle w:val="Compact"/>
            </w:pPr>
            <w:r>
              <w:rPr>
                <w:rStyle w:val="VerbatimChar"/>
                <w:sz w:val="17"/>
              </w:rPr>
              <w:t xml:space="preserve">mandate.requested</w:t>
            </w:r>
          </w:p>
        </w:tc>
        <w:tc>
          <w:tcPr/>
          <w:p>
            <w:pPr>
              <w:pStyle w:val="Compact"/>
            </w:pPr>
            <w:r>
              <w:rPr>
                <w:sz w:val="17"/>
              </w:rPr>
              <w:t xml:space="preserve">Mandat demandé</w:t>
            </w:r>
          </w:p>
        </w:tc>
        <w:tc>
          <w:tcPr/>
          <w:p>
            <w:pPr>
              <w:pStyle w:val="Compact"/>
            </w:pPr>
            <w:r>
              <w:rPr>
                <w:sz w:val="17"/>
              </w:rPr>
              <w:t xml:space="preserve">{{mandataire}} demande à vous représenter</w:t>
            </w:r>
          </w:p>
        </w:tc>
        <w:tc>
          <w:tcPr/>
          <w:p>
            <w:pPr>
              <w:pStyle w:val="Compact"/>
            </w:pPr>
            <w:r>
              <w:rPr>
                <w:sz w:val="17"/>
              </w:rPr>
              <w:t xml:space="preserve">warning</w:t>
            </w:r>
          </w:p>
        </w:tc>
        <w:tc>
          <w:tcPr/>
          <w:p>
            <w:pPr>
              <w:pStyle w:val="Compact"/>
            </w:pPr>
            <w:r>
              <w:rPr>
                <w:sz w:val="17"/>
              </w:rPr>
              <w:t xml:space="preserve">EAS</w:t>
            </w:r>
          </w:p>
        </w:tc>
        <w:tc>
          <w:tcPr/>
          <w:p>
            <w:pPr>
              <w:pStyle w:val="Compact"/>
            </w:pPr>
            <w:r>
              <w:rPr>
                <w:sz w:val="17"/>
              </w:rPr>
              <w:t xml:space="preserve">M</w:t>
            </w:r>
          </w:p>
        </w:tc>
        <w:tc>
          <w:tcPr/>
          <w:p>
            <w:pPr>
              <w:pStyle w:val="Compact"/>
            </w:pPr>
            <w:r>
              <w:rPr>
                <w:sz w:val="17"/>
              </w:rPr>
              <w:t xml:space="preserve">C</w:t>
            </w:r>
          </w:p>
        </w:tc>
      </w:tr>
      <w:tr>
        <w:tc>
          <w:tcPr>
            <w:shd w:val="clear" w:color="auto" w:fill="F5F7FB"/>
          </w:tcPr>
          <w:p>
            <w:pPr>
              <w:pStyle w:val="Compact"/>
            </w:pPr>
            <w:r>
              <w:rPr>
                <w:rStyle w:val="VerbatimChar"/>
                <w:sz w:val="17"/>
              </w:rPr>
              <w:t xml:space="preserve">mandate.granted</w:t>
            </w:r>
          </w:p>
        </w:tc>
        <w:tc>
          <w:tcPr>
            <w:shd w:val="clear" w:color="auto" w:fill="F5F7FB"/>
          </w:tcPr>
          <w:p>
            <w:pPr>
              <w:pStyle w:val="Compact"/>
            </w:pPr>
            <w:r>
              <w:rPr>
                <w:sz w:val="17"/>
              </w:rPr>
              <w:t xml:space="preserve">Mandat accordé</w:t>
            </w:r>
          </w:p>
        </w:tc>
        <w:tc>
          <w:tcPr>
            <w:shd w:val="clear" w:color="auto" w:fill="F5F7FB"/>
          </w:tcPr>
          <w:p>
            <w:pPr>
              <w:pStyle w:val="Compact"/>
            </w:pPr>
            <w:r>
              <w:rPr>
                <w:sz w:val="17"/>
              </w:rPr>
              <w:t xml:space="preserve">Mandat accordé à {{mandataire}}</w:t>
            </w:r>
          </w:p>
        </w:tc>
        <w:tc>
          <w:tcPr>
            <w:shd w:val="clear" w:color="auto" w:fill="F5F7FB"/>
          </w:tcPr>
          <w:p>
            <w:pPr>
              <w:pStyle w:val="Compact"/>
            </w:pPr>
            <w:r>
              <w:rPr>
                <w:sz w:val="17"/>
              </w:rPr>
              <w:t xml:space="preserve">success</w:t>
            </w:r>
          </w:p>
        </w:tc>
        <w:tc>
          <w:tcPr>
            <w:shd w:val="clear" w:color="auto" w:fill="F5F7FB"/>
          </w:tcPr>
          <w:p>
            <w:pPr>
              <w:pStyle w:val="Compact"/>
            </w:pPr>
            <w:r>
              <w:rPr>
                <w:sz w:val="17"/>
              </w:rPr>
              <w:t xml:space="preserve">EAS</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C</w:t>
            </w:r>
          </w:p>
        </w:tc>
      </w:tr>
      <w:tr>
        <w:tc>
          <w:tcPr/>
          <w:p>
            <w:pPr>
              <w:pStyle w:val="Compact"/>
            </w:pPr>
            <w:r>
              <w:rPr>
                <w:rStyle w:val="VerbatimChar"/>
                <w:sz w:val="17"/>
              </w:rPr>
              <w:t xml:space="preserve">mandate.revoked</w:t>
            </w:r>
          </w:p>
        </w:tc>
        <w:tc>
          <w:tcPr/>
          <w:p>
            <w:pPr>
              <w:pStyle w:val="Compact"/>
            </w:pPr>
            <w:r>
              <w:rPr>
                <w:sz w:val="17"/>
              </w:rPr>
              <w:t xml:space="preserve">Mandat révoqué</w:t>
            </w:r>
          </w:p>
        </w:tc>
        <w:tc>
          <w:tcPr/>
          <w:p>
            <w:pPr>
              <w:pStyle w:val="Compact"/>
            </w:pPr>
            <w:r>
              <w:rPr>
                <w:sz w:val="17"/>
              </w:rPr>
              <w:t xml:space="preserve">Mandat révoqué</w:t>
            </w:r>
          </w:p>
        </w:tc>
        <w:tc>
          <w:tcPr/>
          <w:p>
            <w:pPr>
              <w:pStyle w:val="Compact"/>
            </w:pPr>
            <w:r>
              <w:rPr>
                <w:sz w:val="17"/>
              </w:rPr>
              <w:t xml:space="preserve">info</w:t>
            </w:r>
          </w:p>
        </w:tc>
        <w:tc>
          <w:tcPr/>
          <w:p>
            <w:pPr>
              <w:pStyle w:val="Compact"/>
            </w:pPr>
            <w:r>
              <w:rPr>
                <w:sz w:val="17"/>
              </w:rPr>
              <w:t xml:space="preserve">EAS</w:t>
            </w:r>
          </w:p>
        </w:tc>
        <w:tc>
          <w:tcPr/>
          <w:p>
            <w:pPr>
              <w:pStyle w:val="Compact"/>
            </w:pPr>
            <w:r>
              <w:rPr>
                <w:sz w:val="17"/>
              </w:rPr>
              <w:t xml:space="preserve">M</w:t>
            </w:r>
          </w:p>
        </w:tc>
        <w:tc>
          <w:tcPr/>
          <w:p>
            <w:pPr>
              <w:pStyle w:val="Compact"/>
            </w:pPr>
            <w:r>
              <w:rPr>
                <w:sz w:val="17"/>
              </w:rPr>
              <w:t xml:space="preserve">C</w:t>
            </w:r>
          </w:p>
        </w:tc>
      </w:tr>
      <w:tr>
        <w:tc>
          <w:tcPr>
            <w:shd w:val="clear" w:color="auto" w:fill="F5F7FB"/>
          </w:tcPr>
          <w:p>
            <w:pPr>
              <w:pStyle w:val="Compact"/>
            </w:pPr>
            <w:r>
              <w:rPr>
                <w:rStyle w:val="VerbatimChar"/>
                <w:sz w:val="17"/>
              </w:rPr>
              <w:t xml:space="preserve">mandate.expiring</w:t>
            </w:r>
          </w:p>
        </w:tc>
        <w:tc>
          <w:tcPr>
            <w:shd w:val="clear" w:color="auto" w:fill="F5F7FB"/>
          </w:tcPr>
          <w:p>
            <w:pPr>
              <w:pStyle w:val="Compact"/>
            </w:pPr>
            <w:r>
              <w:rPr>
                <w:sz w:val="17"/>
              </w:rPr>
              <w:t xml:space="preserve">Mandat bientôt expiré</w:t>
            </w:r>
          </w:p>
        </w:tc>
        <w:tc>
          <w:tcPr>
            <w:shd w:val="clear" w:color="auto" w:fill="F5F7FB"/>
          </w:tcPr>
          <w:p>
            <w:pPr>
              <w:pStyle w:val="Compact"/>
            </w:pPr>
            <w:r>
              <w:rPr>
                <w:sz w:val="17"/>
              </w:rPr>
              <w:t xml:space="preserve">Votre mandat expire le {{date}}</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EA+W</w:t>
            </w:r>
          </w:p>
        </w:tc>
        <w:tc>
          <w:tcPr>
            <w:shd w:val="clear" w:color="auto" w:fill="F5F7FB"/>
          </w:tcPr>
          <w:p>
            <w:pPr>
              <w:pStyle w:val="Compact"/>
            </w:pPr>
          </w:p>
        </w:tc>
        <w:tc>
          <w:tcPr>
            <w:shd w:val="clear" w:color="auto" w:fill="F5F7FB"/>
          </w:tcPr>
          <w:p>
            <w:pPr>
              <w:pStyle w:val="Compact"/>
            </w:pPr>
            <w:r>
              <w:rPr>
                <w:sz w:val="17"/>
              </w:rPr>
              <w:t xml:space="preserve">C</w:t>
            </w:r>
          </w:p>
        </w:tc>
      </w:tr>
      <w:tr>
        <w:tc>
          <w:tcPr/>
          <w:p>
            <w:pPr>
              <w:pStyle w:val="Compact"/>
            </w:pPr>
            <w:r>
              <w:rPr>
                <w:rStyle w:val="VerbatimChar"/>
                <w:sz w:val="17"/>
              </w:rPr>
              <w:t xml:space="preserve">mandate.action_performed</w:t>
            </w:r>
          </w:p>
        </w:tc>
        <w:tc>
          <w:tcPr/>
          <w:p>
            <w:pPr>
              <w:pStyle w:val="Compact"/>
            </w:pPr>
            <w:r>
              <w:rPr>
                <w:sz w:val="17"/>
              </w:rPr>
              <w:t xml:space="preserve">Action d’un mandataire</w:t>
            </w:r>
          </w:p>
        </w:tc>
        <w:tc>
          <w:tcPr/>
          <w:p>
            <w:pPr>
              <w:pStyle w:val="Compact"/>
            </w:pPr>
            <w:r>
              <w:rPr>
                <w:sz w:val="17"/>
              </w:rPr>
              <w:t xml:space="preserve">{{mandataire}} a effectué une action sur votre compte</w:t>
            </w:r>
          </w:p>
        </w:tc>
        <w:tc>
          <w:tcPr/>
          <w:p>
            <w:pPr>
              <w:pStyle w:val="Compact"/>
            </w:pPr>
            <w:r>
              <w:rPr>
                <w:sz w:val="17"/>
              </w:rPr>
              <w:t xml:space="preserve">info</w:t>
            </w:r>
          </w:p>
        </w:tc>
        <w:tc>
          <w:tcPr/>
          <w:p>
            <w:pPr>
              <w:pStyle w:val="Compact"/>
            </w:pPr>
            <w:r>
              <w:rPr>
                <w:sz w:val="17"/>
              </w:rPr>
              <w:t xml:space="preserve">EA+W</w:t>
            </w:r>
          </w:p>
        </w:tc>
        <w:tc>
          <w:tcPr/>
          <w:p>
            <w:pPr>
              <w:pStyle w:val="Compact"/>
            </w:pPr>
          </w:p>
        </w:tc>
        <w:tc>
          <w:tcPr/>
          <w:p>
            <w:pPr>
              <w:pStyle w:val="Compact"/>
            </w:pPr>
            <w:r>
              <w:rPr>
                <w:sz w:val="17"/>
              </w:rPr>
              <w:t xml:space="preserve">C</w:t>
            </w:r>
          </w:p>
        </w:tc>
      </w:tr>
    </w:tbl>
    <w:bookmarkEnd w:id="588"/>
    <w:bookmarkStart w:id="589" w:name="g.5-objets-fiscaux-et-recensement"/>
    <w:p>
      <w:pPr>
        <w:pStyle w:val="Heading2"/>
      </w:pPr>
      <w:r>
        <w:t xml:space="preserve">G.5 Objets fiscaux et recensement</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shd w:val="clear" w:color="auto" w:fill="232C6B"/>
          </w:tcPr>
          <w:p>
            <w:pPr>
              <w:pStyle w:val="Compact"/>
            </w:pPr>
            <w:r>
              <w:rPr>
                <w:b/>
                <w:color w:val="FFFFFF"/>
                <w:sz w:val="17"/>
              </w:rPr>
              <w:t xml:space="preserve">Code</w:t>
            </w:r>
          </w:p>
        </w:tc>
        <w:tc>
          <w:tcPr>
            <w:shd w:val="clear" w:color="auto" w:fill="232C6B"/>
          </w:tcPr>
          <w:p>
            <w:pPr>
              <w:pStyle w:val="Compact"/>
            </w:pPr>
            <w:r>
              <w:rPr>
                <w:b/>
                <w:color w:val="FFFFFF"/>
                <w:sz w:val="17"/>
              </w:rPr>
              <w:t xml:space="preserve">Événement</w:t>
            </w:r>
          </w:p>
        </w:tc>
        <w:tc>
          <w:tcPr>
            <w:shd w:val="clear" w:color="auto" w:fill="232C6B"/>
          </w:tcPr>
          <w:p>
            <w:pPr>
              <w:pStyle w:val="Compact"/>
            </w:pPr>
            <w:r>
              <w:rPr>
                <w:b/>
                <w:color w:val="FFFFFF"/>
                <w:sz w:val="17"/>
              </w:rPr>
              <w:t xml:space="preserve">Objet du message (fr)</w:t>
            </w:r>
          </w:p>
        </w:tc>
        <w:tc>
          <w:tcPr>
            <w:shd w:val="clear" w:color="auto" w:fill="232C6B"/>
          </w:tcPr>
          <w:p>
            <w:pPr>
              <w:pStyle w:val="Compact"/>
            </w:pPr>
            <w:r>
              <w:rPr>
                <w:b/>
                <w:color w:val="FFFFFF"/>
                <w:sz w:val="17"/>
              </w:rPr>
              <w:t xml:space="preserve">Gravité</w:t>
            </w:r>
          </w:p>
        </w:tc>
        <w:tc>
          <w:tcPr>
            <w:shd w:val="clear" w:color="auto" w:fill="232C6B"/>
          </w:tcPr>
          <w:p>
            <w:pPr>
              <w:pStyle w:val="Compact"/>
            </w:pPr>
            <w:r>
              <w:rPr>
                <w:b/>
                <w:color w:val="FFFFFF"/>
                <w:sz w:val="17"/>
              </w:rPr>
              <w:t xml:space="preserve">Canaux</w:t>
            </w:r>
          </w:p>
        </w:tc>
        <w:tc>
          <w:tcPr>
            <w:shd w:val="clear" w:color="auto" w:fill="232C6B"/>
          </w:tcPr>
          <w:p>
            <w:pPr>
              <w:pStyle w:val="Compact"/>
            </w:pPr>
            <w:r>
              <w:rPr>
                <w:b/>
                <w:color w:val="FFFFFF"/>
                <w:sz w:val="17"/>
              </w:rPr>
              <w:t xml:space="preserve">M</w:t>
            </w:r>
          </w:p>
        </w:tc>
        <w:tc>
          <w:tcPr>
            <w:shd w:val="clear" w:color="auto" w:fill="232C6B"/>
          </w:tcPr>
          <w:p>
            <w:pPr>
              <w:pStyle w:val="Compact"/>
            </w:pPr>
            <w:r>
              <w:rPr>
                <w:b/>
                <w:color w:val="FFFFFF"/>
                <w:sz w:val="17"/>
              </w:rPr>
              <w:t xml:space="preserve">Public</w:t>
            </w:r>
          </w:p>
        </w:tc>
      </w:tr>
      <w:tr>
        <w:tc>
          <w:tcPr/>
          <w:p>
            <w:pPr>
              <w:pStyle w:val="Compact"/>
            </w:pPr>
            <w:r>
              <w:rPr>
                <w:rStyle w:val="VerbatimChar"/>
                <w:sz w:val="17"/>
              </w:rPr>
              <w:t xml:space="preserve">object.declared</w:t>
            </w:r>
          </w:p>
        </w:tc>
        <w:tc>
          <w:tcPr/>
          <w:p>
            <w:pPr>
              <w:pStyle w:val="Compact"/>
            </w:pPr>
            <w:r>
              <w:rPr>
                <w:sz w:val="17"/>
              </w:rPr>
              <w:t xml:space="preserve">Bien ou activité déclaré</w:t>
            </w:r>
          </w:p>
        </w:tc>
        <w:tc>
          <w:tcPr/>
          <w:p>
            <w:pPr>
              <w:pStyle w:val="Compact"/>
            </w:pPr>
            <w:r>
              <w:rPr>
                <w:sz w:val="17"/>
              </w:rPr>
              <w:t xml:space="preserve">Déclaration enregistrée : {{objet}}</w:t>
            </w:r>
          </w:p>
        </w:tc>
        <w:tc>
          <w:tcPr/>
          <w:p>
            <w:pPr>
              <w:pStyle w:val="Compact"/>
            </w:pPr>
            <w:r>
              <w:rPr>
                <w:sz w:val="17"/>
              </w:rPr>
              <w:t xml:space="preserve">info</w:t>
            </w:r>
          </w:p>
        </w:tc>
        <w:tc>
          <w:tcPr/>
          <w:p>
            <w:pPr>
              <w:pStyle w:val="Compact"/>
            </w:pPr>
            <w:r>
              <w:rPr>
                <w:sz w:val="17"/>
              </w:rPr>
              <w:t xml:space="preserve">EA+W</w:t>
            </w:r>
          </w:p>
        </w:tc>
        <w:tc>
          <w:tcPr/>
          <w:p>
            <w:pPr>
              <w:pStyle w:val="Compact"/>
            </w:pPr>
          </w:p>
        </w:tc>
        <w:tc>
          <w:tcPr/>
          <w:p>
            <w:pPr>
              <w:pStyle w:val="Compact"/>
            </w:pPr>
            <w:r>
              <w:rPr>
                <w:sz w:val="17"/>
              </w:rPr>
              <w:t xml:space="preserve">C</w:t>
            </w:r>
          </w:p>
        </w:tc>
      </w:tr>
      <w:tr>
        <w:tc>
          <w:tcPr>
            <w:shd w:val="clear" w:color="auto" w:fill="F5F7FB"/>
          </w:tcPr>
          <w:p>
            <w:pPr>
              <w:pStyle w:val="Compact"/>
            </w:pPr>
            <w:r>
              <w:rPr>
                <w:rStyle w:val="VerbatimChar"/>
                <w:sz w:val="17"/>
              </w:rPr>
              <w:t xml:space="preserve">object.provisional.created</w:t>
            </w:r>
          </w:p>
        </w:tc>
        <w:tc>
          <w:tcPr>
            <w:shd w:val="clear" w:color="auto" w:fill="F5F7FB"/>
          </w:tcPr>
          <w:p>
            <w:pPr>
              <w:pStyle w:val="Compact"/>
            </w:pPr>
            <w:r>
              <w:rPr>
                <w:sz w:val="17"/>
              </w:rPr>
              <w:t xml:space="preserve">Objet recensé</w:t>
            </w:r>
          </w:p>
        </w:tc>
        <w:tc>
          <w:tcPr>
            <w:shd w:val="clear" w:color="auto" w:fill="F5F7FB"/>
          </w:tcPr>
          <w:p>
            <w:pPr>
              <w:pStyle w:val="Compact"/>
            </w:pPr>
            <w:r>
              <w:rPr>
                <w:sz w:val="17"/>
              </w:rPr>
              <w:t xml:space="preserve">Un bien vous concernant a été recensé : {{objet}}</w:t>
            </w:r>
          </w:p>
        </w:tc>
        <w:tc>
          <w:tcPr>
            <w:shd w:val="clear" w:color="auto" w:fill="F5F7FB"/>
          </w:tcPr>
          <w:p>
            <w:pPr>
              <w:pStyle w:val="Compact"/>
            </w:pPr>
            <w:r>
              <w:rPr>
                <w:sz w:val="17"/>
              </w:rPr>
              <w:t xml:space="preserve">info</w:t>
            </w:r>
          </w:p>
        </w:tc>
        <w:tc>
          <w:tcPr>
            <w:shd w:val="clear" w:color="auto" w:fill="F5F7FB"/>
          </w:tcPr>
          <w:p>
            <w:pPr>
              <w:pStyle w:val="Compact"/>
            </w:pPr>
            <w:r>
              <w:rPr>
                <w:sz w:val="17"/>
              </w:rPr>
              <w:t xml:space="preserve">EASU+W</w:t>
            </w:r>
          </w:p>
        </w:tc>
        <w:tc>
          <w:tcPr>
            <w:shd w:val="clear" w:color="auto" w:fill="F5F7FB"/>
          </w:tcPr>
          <w:p>
            <w:pPr>
              <w:pStyle w:val="Compact"/>
            </w:pPr>
          </w:p>
        </w:tc>
        <w:tc>
          <w:tcPr>
            <w:shd w:val="clear" w:color="auto" w:fill="F5F7FB"/>
          </w:tcPr>
          <w:p>
            <w:pPr>
              <w:pStyle w:val="Compact"/>
            </w:pPr>
            <w:r>
              <w:rPr>
                <w:sz w:val="17"/>
              </w:rPr>
              <w:t xml:space="preserve">C</w:t>
            </w:r>
          </w:p>
        </w:tc>
      </w:tr>
      <w:tr>
        <w:tc>
          <w:tcPr/>
          <w:p>
            <w:pPr>
              <w:pStyle w:val="Compact"/>
            </w:pPr>
            <w:r>
              <w:rPr>
                <w:rStyle w:val="VerbatimChar"/>
                <w:sz w:val="17"/>
              </w:rPr>
              <w:t xml:space="preserve">object.link.requested</w:t>
            </w:r>
          </w:p>
        </w:tc>
        <w:tc>
          <w:tcPr/>
          <w:p>
            <w:pPr>
              <w:pStyle w:val="Compact"/>
            </w:pPr>
            <w:r>
              <w:rPr>
                <w:sz w:val="17"/>
              </w:rPr>
              <w:t xml:space="preserve">Rattachement demandé</w:t>
            </w:r>
          </w:p>
        </w:tc>
        <w:tc>
          <w:tcPr/>
          <w:p>
            <w:pPr>
              <w:pStyle w:val="Compact"/>
            </w:pPr>
            <w:r>
              <w:rPr>
                <w:sz w:val="17"/>
              </w:rPr>
              <w:t xml:space="preserve">Demande de rattachement de {{objet}} reçue</w:t>
            </w:r>
          </w:p>
        </w:tc>
        <w:tc>
          <w:tcPr/>
          <w:p>
            <w:pPr>
              <w:pStyle w:val="Compact"/>
            </w:pPr>
            <w:r>
              <w:rPr>
                <w:sz w:val="17"/>
              </w:rPr>
              <w:t xml:space="preserve">info</w:t>
            </w:r>
          </w:p>
        </w:tc>
        <w:tc>
          <w:tcPr/>
          <w:p>
            <w:pPr>
              <w:pStyle w:val="Compact"/>
            </w:pPr>
            <w:r>
              <w:rPr>
                <w:sz w:val="17"/>
              </w:rPr>
              <w:t xml:space="preserve">EA+W</w:t>
            </w:r>
          </w:p>
        </w:tc>
        <w:tc>
          <w:tcPr/>
          <w:p>
            <w:pPr>
              <w:pStyle w:val="Compact"/>
            </w:pPr>
          </w:p>
        </w:tc>
        <w:tc>
          <w:tcPr/>
          <w:p>
            <w:pPr>
              <w:pStyle w:val="Compact"/>
            </w:pPr>
            <w:r>
              <w:rPr>
                <w:sz w:val="17"/>
              </w:rPr>
              <w:t xml:space="preserve">C</w:t>
            </w:r>
          </w:p>
        </w:tc>
      </w:tr>
      <w:tr>
        <w:tc>
          <w:tcPr>
            <w:shd w:val="clear" w:color="auto" w:fill="F5F7FB"/>
          </w:tcPr>
          <w:p>
            <w:pPr>
              <w:pStyle w:val="Compact"/>
            </w:pPr>
            <w:r>
              <w:rPr>
                <w:rStyle w:val="VerbatimChar"/>
                <w:sz w:val="17"/>
              </w:rPr>
              <w:t xml:space="preserve">object.link.approved</w:t>
            </w:r>
          </w:p>
        </w:tc>
        <w:tc>
          <w:tcPr>
            <w:shd w:val="clear" w:color="auto" w:fill="F5F7FB"/>
          </w:tcPr>
          <w:p>
            <w:pPr>
              <w:pStyle w:val="Compact"/>
            </w:pPr>
            <w:r>
              <w:rPr>
                <w:sz w:val="17"/>
              </w:rPr>
              <w:t xml:space="preserve">Rattachement validé</w:t>
            </w:r>
          </w:p>
        </w:tc>
        <w:tc>
          <w:tcPr>
            <w:shd w:val="clear" w:color="auto" w:fill="F5F7FB"/>
          </w:tcPr>
          <w:p>
            <w:pPr>
              <w:pStyle w:val="Compact"/>
            </w:pPr>
            <w:r>
              <w:rPr>
                <w:sz w:val="17"/>
              </w:rPr>
              <w:t xml:space="preserve">{{objet}} est rattaché à votre compte</w:t>
            </w:r>
          </w:p>
        </w:tc>
        <w:tc>
          <w:tcPr>
            <w:shd w:val="clear" w:color="auto" w:fill="F5F7FB"/>
          </w:tcPr>
          <w:p>
            <w:pPr>
              <w:pStyle w:val="Compact"/>
            </w:pPr>
            <w:r>
              <w:rPr>
                <w:sz w:val="17"/>
              </w:rPr>
              <w:t xml:space="preserve">success</w:t>
            </w:r>
          </w:p>
        </w:tc>
        <w:tc>
          <w:tcPr>
            <w:shd w:val="clear" w:color="auto" w:fill="F5F7FB"/>
          </w:tcPr>
          <w:p>
            <w:pPr>
              <w:pStyle w:val="Compact"/>
            </w:pPr>
            <w:r>
              <w:rPr>
                <w:sz w:val="17"/>
              </w:rPr>
              <w:t xml:space="preserve">EAS</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C</w:t>
            </w:r>
          </w:p>
        </w:tc>
      </w:tr>
      <w:tr>
        <w:tc>
          <w:tcPr/>
          <w:p>
            <w:pPr>
              <w:pStyle w:val="Compact"/>
            </w:pPr>
            <w:r>
              <w:rPr>
                <w:rStyle w:val="VerbatimChar"/>
                <w:sz w:val="17"/>
              </w:rPr>
              <w:t xml:space="preserve">object.link.rejected</w:t>
            </w:r>
          </w:p>
        </w:tc>
        <w:tc>
          <w:tcPr/>
          <w:p>
            <w:pPr>
              <w:pStyle w:val="Compact"/>
            </w:pPr>
            <w:r>
              <w:rPr>
                <w:sz w:val="17"/>
              </w:rPr>
              <w:t xml:space="preserve">Rattachement refusé</w:t>
            </w:r>
          </w:p>
        </w:tc>
        <w:tc>
          <w:tcPr/>
          <w:p>
            <w:pPr>
              <w:pStyle w:val="Compact"/>
            </w:pPr>
            <w:r>
              <w:rPr>
                <w:sz w:val="17"/>
              </w:rPr>
              <w:t xml:space="preserve">Rattachement de {{objet}} refusé — motif et recours</w:t>
            </w:r>
          </w:p>
        </w:tc>
        <w:tc>
          <w:tcPr/>
          <w:p>
            <w:pPr>
              <w:pStyle w:val="Compact"/>
            </w:pPr>
            <w:r>
              <w:rPr>
                <w:sz w:val="17"/>
              </w:rPr>
              <w:t xml:space="preserve">warning</w:t>
            </w:r>
          </w:p>
        </w:tc>
        <w:tc>
          <w:tcPr/>
          <w:p>
            <w:pPr>
              <w:pStyle w:val="Compact"/>
            </w:pPr>
            <w:r>
              <w:rPr>
                <w:sz w:val="17"/>
              </w:rPr>
              <w:t xml:space="preserve">EAS</w:t>
            </w:r>
          </w:p>
        </w:tc>
        <w:tc>
          <w:tcPr/>
          <w:p>
            <w:pPr>
              <w:pStyle w:val="Compact"/>
            </w:pPr>
            <w:r>
              <w:rPr>
                <w:sz w:val="17"/>
              </w:rPr>
              <w:t xml:space="preserve">M</w:t>
            </w:r>
          </w:p>
        </w:tc>
        <w:tc>
          <w:tcPr/>
          <w:p>
            <w:pPr>
              <w:pStyle w:val="Compact"/>
            </w:pPr>
            <w:r>
              <w:rPr>
                <w:sz w:val="17"/>
              </w:rPr>
              <w:t xml:space="preserve">C</w:t>
            </w:r>
          </w:p>
        </w:tc>
      </w:tr>
      <w:tr>
        <w:tc>
          <w:tcPr>
            <w:shd w:val="clear" w:color="auto" w:fill="F5F7FB"/>
          </w:tcPr>
          <w:p>
            <w:pPr>
              <w:pStyle w:val="Compact"/>
            </w:pPr>
            <w:r>
              <w:rPr>
                <w:rStyle w:val="VerbatimChar"/>
                <w:sz w:val="17"/>
              </w:rPr>
              <w:t xml:space="preserve">object.ownership.conflict</w:t>
            </w:r>
          </w:p>
        </w:tc>
        <w:tc>
          <w:tcPr>
            <w:shd w:val="clear" w:color="auto" w:fill="F5F7FB"/>
          </w:tcPr>
          <w:p>
            <w:pPr>
              <w:pStyle w:val="Compact"/>
            </w:pPr>
            <w:r>
              <w:rPr>
                <w:sz w:val="17"/>
              </w:rPr>
              <w:t xml:space="preserve">Conflit de propriété</w:t>
            </w:r>
          </w:p>
        </w:tc>
        <w:tc>
          <w:tcPr>
            <w:shd w:val="clear" w:color="auto" w:fill="F5F7FB"/>
          </w:tcPr>
          <w:p>
            <w:pPr>
              <w:pStyle w:val="Compact"/>
            </w:pPr>
            <w:r>
              <w:rPr>
                <w:sz w:val="17"/>
              </w:rPr>
              <w:t xml:space="preserve">Un conflit concerne {{objet}}</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EASC</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C</w:t>
            </w:r>
          </w:p>
        </w:tc>
      </w:tr>
      <w:tr>
        <w:tc>
          <w:tcPr/>
          <w:p>
            <w:pPr>
              <w:pStyle w:val="Compact"/>
            </w:pPr>
            <w:r>
              <w:rPr>
                <w:rStyle w:val="VerbatimChar"/>
                <w:sz w:val="17"/>
              </w:rPr>
              <w:t xml:space="preserve">object.characteristics.changed</w:t>
            </w:r>
          </w:p>
        </w:tc>
        <w:tc>
          <w:tcPr/>
          <w:p>
            <w:pPr>
              <w:pStyle w:val="Compact"/>
            </w:pPr>
            <w:r>
              <w:rPr>
                <w:sz w:val="17"/>
              </w:rPr>
              <w:t xml:space="preserve">Caractéristiques modifiées</w:t>
            </w:r>
          </w:p>
        </w:tc>
        <w:tc>
          <w:tcPr/>
          <w:p>
            <w:pPr>
              <w:pStyle w:val="Compact"/>
            </w:pPr>
            <w:r>
              <w:rPr>
                <w:sz w:val="17"/>
              </w:rPr>
              <w:t xml:space="preserve">Les caractéristiques de {{objet}} ont été mises à jour</w:t>
            </w:r>
          </w:p>
        </w:tc>
        <w:tc>
          <w:tcPr/>
          <w:p>
            <w:pPr>
              <w:pStyle w:val="Compact"/>
            </w:pPr>
            <w:r>
              <w:rPr>
                <w:sz w:val="17"/>
              </w:rPr>
              <w:t xml:space="preserve">warning</w:t>
            </w:r>
          </w:p>
        </w:tc>
        <w:tc>
          <w:tcPr/>
          <w:p>
            <w:pPr>
              <w:pStyle w:val="Compact"/>
            </w:pPr>
            <w:r>
              <w:rPr>
                <w:sz w:val="17"/>
              </w:rPr>
              <w:t xml:space="preserve">EA</w:t>
            </w:r>
          </w:p>
        </w:tc>
        <w:tc>
          <w:tcPr/>
          <w:p>
            <w:pPr>
              <w:pStyle w:val="Compact"/>
            </w:pPr>
            <w:r>
              <w:rPr>
                <w:sz w:val="17"/>
              </w:rPr>
              <w:t xml:space="preserve">M</w:t>
            </w:r>
          </w:p>
        </w:tc>
        <w:tc>
          <w:tcPr/>
          <w:p>
            <w:pPr>
              <w:pStyle w:val="Compact"/>
            </w:pPr>
            <w:r>
              <w:rPr>
                <w:sz w:val="17"/>
              </w:rPr>
              <w:t xml:space="preserve">C</w:t>
            </w:r>
          </w:p>
        </w:tc>
      </w:tr>
      <w:tr>
        <w:tc>
          <w:tcPr>
            <w:shd w:val="clear" w:color="auto" w:fill="F5F7FB"/>
          </w:tcPr>
          <w:p>
            <w:pPr>
              <w:pStyle w:val="Compact"/>
            </w:pPr>
            <w:r>
              <w:rPr>
                <w:rStyle w:val="VerbatimChar"/>
                <w:sz w:val="17"/>
              </w:rPr>
              <w:t xml:space="preserve">object.plate.issued</w:t>
            </w:r>
          </w:p>
        </w:tc>
        <w:tc>
          <w:tcPr>
            <w:shd w:val="clear" w:color="auto" w:fill="F5F7FB"/>
          </w:tcPr>
          <w:p>
            <w:pPr>
              <w:pStyle w:val="Compact"/>
            </w:pPr>
            <w:r>
              <w:rPr>
                <w:sz w:val="17"/>
              </w:rPr>
              <w:t xml:space="preserve">Plaque fiscale délivrée</w:t>
            </w:r>
          </w:p>
        </w:tc>
        <w:tc>
          <w:tcPr>
            <w:shd w:val="clear" w:color="auto" w:fill="F5F7FB"/>
          </w:tcPr>
          <w:p>
            <w:pPr>
              <w:pStyle w:val="Compact"/>
            </w:pPr>
            <w:r>
              <w:rPr>
                <w:sz w:val="17"/>
              </w:rPr>
              <w:t xml:space="preserve">La plaque fiscale de {{objet}} est disponible</w:t>
            </w:r>
          </w:p>
        </w:tc>
        <w:tc>
          <w:tcPr>
            <w:shd w:val="clear" w:color="auto" w:fill="F5F7FB"/>
          </w:tcPr>
          <w:p>
            <w:pPr>
              <w:pStyle w:val="Compact"/>
            </w:pPr>
            <w:r>
              <w:rPr>
                <w:sz w:val="17"/>
              </w:rPr>
              <w:t xml:space="preserve">info</w:t>
            </w:r>
          </w:p>
        </w:tc>
        <w:tc>
          <w:tcPr>
            <w:shd w:val="clear" w:color="auto" w:fill="F5F7FB"/>
          </w:tcPr>
          <w:p>
            <w:pPr>
              <w:pStyle w:val="Compact"/>
            </w:pPr>
            <w:r>
              <w:rPr>
                <w:sz w:val="17"/>
              </w:rPr>
              <w:t xml:space="preserve">ASU+W</w:t>
            </w:r>
          </w:p>
        </w:tc>
        <w:tc>
          <w:tcPr>
            <w:shd w:val="clear" w:color="auto" w:fill="F5F7FB"/>
          </w:tcPr>
          <w:p>
            <w:pPr>
              <w:pStyle w:val="Compact"/>
            </w:pPr>
          </w:p>
        </w:tc>
        <w:tc>
          <w:tcPr>
            <w:shd w:val="clear" w:color="auto" w:fill="F5F7FB"/>
          </w:tcPr>
          <w:p>
            <w:pPr>
              <w:pStyle w:val="Compact"/>
            </w:pPr>
            <w:r>
              <w:rPr>
                <w:sz w:val="17"/>
              </w:rPr>
              <w:t xml:space="preserve">C</w:t>
            </w:r>
          </w:p>
        </w:tc>
      </w:tr>
      <w:tr>
        <w:tc>
          <w:tcPr/>
          <w:p>
            <w:pPr>
              <w:pStyle w:val="Compact"/>
            </w:pPr>
            <w:r>
              <w:rPr>
                <w:rStyle w:val="VerbatimChar"/>
                <w:sz w:val="17"/>
              </w:rPr>
              <w:t xml:space="preserve">object.field_visit.scheduled</w:t>
            </w:r>
          </w:p>
        </w:tc>
        <w:tc>
          <w:tcPr/>
          <w:p>
            <w:pPr>
              <w:pStyle w:val="Compact"/>
            </w:pPr>
            <w:r>
              <w:rPr>
                <w:sz w:val="17"/>
              </w:rPr>
              <w:t xml:space="preserve">Visite de vérification prévue</w:t>
            </w:r>
          </w:p>
        </w:tc>
        <w:tc>
          <w:tcPr/>
          <w:p>
            <w:pPr>
              <w:pStyle w:val="Compact"/>
            </w:pPr>
            <w:r>
              <w:rPr>
                <w:sz w:val="17"/>
              </w:rPr>
              <w:t xml:space="preserve">Visite de vérification prévue le {{date}}</w:t>
            </w:r>
          </w:p>
        </w:tc>
        <w:tc>
          <w:tcPr/>
          <w:p>
            <w:pPr>
              <w:pStyle w:val="Compact"/>
            </w:pPr>
            <w:r>
              <w:rPr>
                <w:sz w:val="17"/>
              </w:rPr>
              <w:t xml:space="preserve">info</w:t>
            </w:r>
          </w:p>
        </w:tc>
        <w:tc>
          <w:tcPr/>
          <w:p>
            <w:pPr>
              <w:pStyle w:val="Compact"/>
            </w:pPr>
            <w:r>
              <w:rPr>
                <w:sz w:val="17"/>
              </w:rPr>
              <w:t xml:space="preserve">ASU</w:t>
            </w:r>
          </w:p>
        </w:tc>
        <w:tc>
          <w:tcPr/>
          <w:p>
            <w:pPr>
              <w:pStyle w:val="Compact"/>
            </w:pPr>
            <w:r>
              <w:rPr>
                <w:sz w:val="17"/>
              </w:rPr>
              <w:t xml:space="preserve">M</w:t>
            </w:r>
          </w:p>
        </w:tc>
        <w:tc>
          <w:tcPr/>
          <w:p>
            <w:pPr>
              <w:pStyle w:val="Compact"/>
            </w:pPr>
            <w:r>
              <w:rPr>
                <w:sz w:val="17"/>
              </w:rPr>
              <w:t xml:space="preserve">C</w:t>
            </w:r>
          </w:p>
        </w:tc>
      </w:tr>
      <w:tr>
        <w:tc>
          <w:tcPr>
            <w:shd w:val="clear" w:color="auto" w:fill="F5F7FB"/>
          </w:tcPr>
          <w:p>
            <w:pPr>
              <w:pStyle w:val="Compact"/>
            </w:pPr>
            <w:r>
              <w:rPr>
                <w:rStyle w:val="VerbatimChar"/>
                <w:sz w:val="17"/>
              </w:rPr>
              <w:t xml:space="preserve">object.field_visit.done</w:t>
            </w:r>
          </w:p>
        </w:tc>
        <w:tc>
          <w:tcPr>
            <w:shd w:val="clear" w:color="auto" w:fill="F5F7FB"/>
          </w:tcPr>
          <w:p>
            <w:pPr>
              <w:pStyle w:val="Compact"/>
            </w:pPr>
            <w:r>
              <w:rPr>
                <w:sz w:val="17"/>
              </w:rPr>
              <w:t xml:space="preserve">Visite effectuée</w:t>
            </w:r>
          </w:p>
        </w:tc>
        <w:tc>
          <w:tcPr>
            <w:shd w:val="clear" w:color="auto" w:fill="F5F7FB"/>
          </w:tcPr>
          <w:p>
            <w:pPr>
              <w:pStyle w:val="Compact"/>
            </w:pPr>
            <w:r>
              <w:rPr>
                <w:sz w:val="17"/>
              </w:rPr>
              <w:t xml:space="preserve">Compte rendu de visite pour {{objet}}</w:t>
            </w:r>
          </w:p>
        </w:tc>
        <w:tc>
          <w:tcPr>
            <w:shd w:val="clear" w:color="auto" w:fill="F5F7FB"/>
          </w:tcPr>
          <w:p>
            <w:pPr>
              <w:pStyle w:val="Compact"/>
            </w:pPr>
            <w:r>
              <w:rPr>
                <w:sz w:val="17"/>
              </w:rPr>
              <w:t xml:space="preserve">info</w:t>
            </w:r>
          </w:p>
        </w:tc>
        <w:tc>
          <w:tcPr>
            <w:shd w:val="clear" w:color="auto" w:fill="F5F7FB"/>
          </w:tcPr>
          <w:p>
            <w:pPr>
              <w:pStyle w:val="Compact"/>
            </w:pPr>
            <w:r>
              <w:rPr>
                <w:sz w:val="17"/>
              </w:rPr>
              <w:t xml:space="preserve">EA+W</w:t>
            </w:r>
          </w:p>
        </w:tc>
        <w:tc>
          <w:tcPr>
            <w:shd w:val="clear" w:color="auto" w:fill="F5F7FB"/>
          </w:tcPr>
          <w:p>
            <w:pPr>
              <w:pStyle w:val="Compact"/>
            </w:pPr>
          </w:p>
        </w:tc>
        <w:tc>
          <w:tcPr>
            <w:shd w:val="clear" w:color="auto" w:fill="F5F7FB"/>
          </w:tcPr>
          <w:p>
            <w:pPr>
              <w:pStyle w:val="Compact"/>
            </w:pPr>
            <w:r>
              <w:rPr>
                <w:sz w:val="17"/>
              </w:rPr>
              <w:t xml:space="preserve">C</w:t>
            </w:r>
          </w:p>
        </w:tc>
      </w:tr>
    </w:tbl>
    <w:bookmarkEnd w:id="589"/>
    <w:bookmarkStart w:id="590" w:name="g.6-foncier-et-locatif"/>
    <w:p>
      <w:pPr>
        <w:pStyle w:val="Heading2"/>
      </w:pPr>
      <w:r>
        <w:t xml:space="preserve">G.6 Foncier et locatif</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shd w:val="clear" w:color="auto" w:fill="232C6B"/>
          </w:tcPr>
          <w:p>
            <w:pPr>
              <w:pStyle w:val="Compact"/>
            </w:pPr>
            <w:r>
              <w:rPr>
                <w:b/>
                <w:color w:val="FFFFFF"/>
                <w:sz w:val="17"/>
              </w:rPr>
              <w:t xml:space="preserve">Code</w:t>
            </w:r>
          </w:p>
        </w:tc>
        <w:tc>
          <w:tcPr>
            <w:shd w:val="clear" w:color="auto" w:fill="232C6B"/>
          </w:tcPr>
          <w:p>
            <w:pPr>
              <w:pStyle w:val="Compact"/>
            </w:pPr>
            <w:r>
              <w:rPr>
                <w:b/>
                <w:color w:val="FFFFFF"/>
                <w:sz w:val="17"/>
              </w:rPr>
              <w:t xml:space="preserve">Événement</w:t>
            </w:r>
          </w:p>
        </w:tc>
        <w:tc>
          <w:tcPr>
            <w:shd w:val="clear" w:color="auto" w:fill="232C6B"/>
          </w:tcPr>
          <w:p>
            <w:pPr>
              <w:pStyle w:val="Compact"/>
            </w:pPr>
            <w:r>
              <w:rPr>
                <w:b/>
                <w:color w:val="FFFFFF"/>
                <w:sz w:val="17"/>
              </w:rPr>
              <w:t xml:space="preserve">Objet du message (fr)</w:t>
            </w:r>
          </w:p>
        </w:tc>
        <w:tc>
          <w:tcPr>
            <w:shd w:val="clear" w:color="auto" w:fill="232C6B"/>
          </w:tcPr>
          <w:p>
            <w:pPr>
              <w:pStyle w:val="Compact"/>
            </w:pPr>
            <w:r>
              <w:rPr>
                <w:b/>
                <w:color w:val="FFFFFF"/>
                <w:sz w:val="17"/>
              </w:rPr>
              <w:t xml:space="preserve">Gravité</w:t>
            </w:r>
          </w:p>
        </w:tc>
        <w:tc>
          <w:tcPr>
            <w:shd w:val="clear" w:color="auto" w:fill="232C6B"/>
          </w:tcPr>
          <w:p>
            <w:pPr>
              <w:pStyle w:val="Compact"/>
            </w:pPr>
            <w:r>
              <w:rPr>
                <w:b/>
                <w:color w:val="FFFFFF"/>
                <w:sz w:val="17"/>
              </w:rPr>
              <w:t xml:space="preserve">Canaux</w:t>
            </w:r>
          </w:p>
        </w:tc>
        <w:tc>
          <w:tcPr>
            <w:shd w:val="clear" w:color="auto" w:fill="232C6B"/>
          </w:tcPr>
          <w:p>
            <w:pPr>
              <w:pStyle w:val="Compact"/>
            </w:pPr>
            <w:r>
              <w:rPr>
                <w:b/>
                <w:color w:val="FFFFFF"/>
                <w:sz w:val="17"/>
              </w:rPr>
              <w:t xml:space="preserve">M</w:t>
            </w:r>
          </w:p>
        </w:tc>
        <w:tc>
          <w:tcPr>
            <w:shd w:val="clear" w:color="auto" w:fill="232C6B"/>
          </w:tcPr>
          <w:p>
            <w:pPr>
              <w:pStyle w:val="Compact"/>
            </w:pPr>
            <w:r>
              <w:rPr>
                <w:b/>
                <w:color w:val="FFFFFF"/>
                <w:sz w:val="17"/>
              </w:rPr>
              <w:t xml:space="preserve">Public</w:t>
            </w:r>
          </w:p>
        </w:tc>
      </w:tr>
      <w:tr>
        <w:tc>
          <w:tcPr/>
          <w:p>
            <w:pPr>
              <w:pStyle w:val="Compact"/>
            </w:pPr>
            <w:r>
              <w:rPr>
                <w:rStyle w:val="VerbatimChar"/>
                <w:sz w:val="17"/>
              </w:rPr>
              <w:t xml:space="preserve">lease.declared</w:t>
            </w:r>
          </w:p>
        </w:tc>
        <w:tc>
          <w:tcPr/>
          <w:p>
            <w:pPr>
              <w:pStyle w:val="Compact"/>
            </w:pPr>
            <w:r>
              <w:rPr>
                <w:sz w:val="17"/>
              </w:rPr>
              <w:t xml:space="preserve">Bail déclaré</w:t>
            </w:r>
          </w:p>
        </w:tc>
        <w:tc>
          <w:tcPr/>
          <w:p>
            <w:pPr>
              <w:pStyle w:val="Compact"/>
            </w:pPr>
            <w:r>
              <w:rPr>
                <w:sz w:val="17"/>
              </w:rPr>
              <w:t xml:space="preserve">Bail enregistré pour {{unite}}</w:t>
            </w:r>
          </w:p>
        </w:tc>
        <w:tc>
          <w:tcPr/>
          <w:p>
            <w:pPr>
              <w:pStyle w:val="Compact"/>
            </w:pPr>
            <w:r>
              <w:rPr>
                <w:sz w:val="17"/>
              </w:rPr>
              <w:t xml:space="preserve">info</w:t>
            </w:r>
          </w:p>
        </w:tc>
        <w:tc>
          <w:tcPr/>
          <w:p>
            <w:pPr>
              <w:pStyle w:val="Compact"/>
            </w:pPr>
            <w:r>
              <w:rPr>
                <w:sz w:val="17"/>
              </w:rPr>
              <w:t xml:space="preserve">EA+W</w:t>
            </w:r>
          </w:p>
        </w:tc>
        <w:tc>
          <w:tcPr/>
          <w:p>
            <w:pPr>
              <w:pStyle w:val="Compact"/>
            </w:pPr>
          </w:p>
        </w:tc>
        <w:tc>
          <w:tcPr/>
          <w:p>
            <w:pPr>
              <w:pStyle w:val="Compact"/>
            </w:pPr>
            <w:r>
              <w:rPr>
                <w:sz w:val="17"/>
              </w:rPr>
              <w:t xml:space="preserve">C</w:t>
            </w:r>
          </w:p>
        </w:tc>
      </w:tr>
      <w:tr>
        <w:tc>
          <w:tcPr>
            <w:shd w:val="clear" w:color="auto" w:fill="F5F7FB"/>
          </w:tcPr>
          <w:p>
            <w:pPr>
              <w:pStyle w:val="Compact"/>
            </w:pPr>
            <w:r>
              <w:rPr>
                <w:rStyle w:val="VerbatimChar"/>
                <w:sz w:val="17"/>
              </w:rPr>
              <w:t xml:space="preserve">lease.declared_by_tenant</w:t>
            </w:r>
          </w:p>
        </w:tc>
        <w:tc>
          <w:tcPr>
            <w:shd w:val="clear" w:color="auto" w:fill="F5F7FB"/>
          </w:tcPr>
          <w:p>
            <w:pPr>
              <w:pStyle w:val="Compact"/>
            </w:pPr>
            <w:r>
              <w:rPr>
                <w:sz w:val="17"/>
              </w:rPr>
              <w:t xml:space="preserve">Bail déclaré par un locataire</w:t>
            </w:r>
          </w:p>
        </w:tc>
        <w:tc>
          <w:tcPr>
            <w:shd w:val="clear" w:color="auto" w:fill="F5F7FB"/>
          </w:tcPr>
          <w:p>
            <w:pPr>
              <w:pStyle w:val="Compact"/>
            </w:pPr>
            <w:r>
              <w:rPr>
                <w:sz w:val="17"/>
              </w:rPr>
              <w:t xml:space="preserve">Un bail portant sur votre bien a été déclaré</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EAS</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C</w:t>
            </w:r>
          </w:p>
        </w:tc>
      </w:tr>
      <w:tr>
        <w:tc>
          <w:tcPr/>
          <w:p>
            <w:pPr>
              <w:pStyle w:val="Compact"/>
            </w:pPr>
            <w:r>
              <w:rPr>
                <w:rStyle w:val="VerbatimChar"/>
                <w:sz w:val="17"/>
              </w:rPr>
              <w:t xml:space="preserve">lease.expiring</w:t>
            </w:r>
          </w:p>
        </w:tc>
        <w:tc>
          <w:tcPr/>
          <w:p>
            <w:pPr>
              <w:pStyle w:val="Compact"/>
            </w:pPr>
            <w:r>
              <w:rPr>
                <w:sz w:val="17"/>
              </w:rPr>
              <w:t xml:space="preserve">Bail arrivant à échéance</w:t>
            </w:r>
          </w:p>
        </w:tc>
        <w:tc>
          <w:tcPr/>
          <w:p>
            <w:pPr>
              <w:pStyle w:val="Compact"/>
            </w:pPr>
            <w:r>
              <w:rPr>
                <w:sz w:val="17"/>
              </w:rPr>
              <w:t xml:space="preserve">Le bail de {{unite}} expire le {{date}}</w:t>
            </w:r>
          </w:p>
        </w:tc>
        <w:tc>
          <w:tcPr/>
          <w:p>
            <w:pPr>
              <w:pStyle w:val="Compact"/>
            </w:pPr>
            <w:r>
              <w:rPr>
                <w:sz w:val="17"/>
              </w:rPr>
              <w:t xml:space="preserve">info</w:t>
            </w:r>
          </w:p>
        </w:tc>
        <w:tc>
          <w:tcPr/>
          <w:p>
            <w:pPr>
              <w:pStyle w:val="Compact"/>
            </w:pPr>
            <w:r>
              <w:rPr>
                <w:sz w:val="17"/>
              </w:rPr>
              <w:t xml:space="preserve">EA+W</w:t>
            </w:r>
          </w:p>
        </w:tc>
        <w:tc>
          <w:tcPr/>
          <w:p>
            <w:pPr>
              <w:pStyle w:val="Compact"/>
            </w:pPr>
          </w:p>
        </w:tc>
        <w:tc>
          <w:tcPr/>
          <w:p>
            <w:pPr>
              <w:pStyle w:val="Compact"/>
            </w:pPr>
            <w:r>
              <w:rPr>
                <w:sz w:val="17"/>
              </w:rPr>
              <w:t xml:space="preserve">C</w:t>
            </w:r>
          </w:p>
        </w:tc>
      </w:tr>
      <w:tr>
        <w:tc>
          <w:tcPr>
            <w:shd w:val="clear" w:color="auto" w:fill="F5F7FB"/>
          </w:tcPr>
          <w:p>
            <w:pPr>
              <w:pStyle w:val="Compact"/>
            </w:pPr>
            <w:r>
              <w:rPr>
                <w:rStyle w:val="VerbatimChar"/>
                <w:sz w:val="17"/>
              </w:rPr>
              <w:t xml:space="preserve">lease.ended</w:t>
            </w:r>
          </w:p>
        </w:tc>
        <w:tc>
          <w:tcPr>
            <w:shd w:val="clear" w:color="auto" w:fill="F5F7FB"/>
          </w:tcPr>
          <w:p>
            <w:pPr>
              <w:pStyle w:val="Compact"/>
            </w:pPr>
            <w:r>
              <w:rPr>
                <w:sz w:val="17"/>
              </w:rPr>
              <w:t xml:space="preserve">Fin de bail</w:t>
            </w:r>
          </w:p>
        </w:tc>
        <w:tc>
          <w:tcPr>
            <w:shd w:val="clear" w:color="auto" w:fill="F5F7FB"/>
          </w:tcPr>
          <w:p>
            <w:pPr>
              <w:pStyle w:val="Compact"/>
            </w:pPr>
            <w:r>
              <w:rPr>
                <w:sz w:val="17"/>
              </w:rPr>
              <w:t xml:space="preserve">Fin de bail enregistrée pour {{unite}}</w:t>
            </w:r>
          </w:p>
        </w:tc>
        <w:tc>
          <w:tcPr>
            <w:shd w:val="clear" w:color="auto" w:fill="F5F7FB"/>
          </w:tcPr>
          <w:p>
            <w:pPr>
              <w:pStyle w:val="Compact"/>
            </w:pPr>
            <w:r>
              <w:rPr>
                <w:sz w:val="17"/>
              </w:rPr>
              <w:t xml:space="preserve">info</w:t>
            </w:r>
          </w:p>
        </w:tc>
        <w:tc>
          <w:tcPr>
            <w:shd w:val="clear" w:color="auto" w:fill="F5F7FB"/>
          </w:tcPr>
          <w:p>
            <w:pPr>
              <w:pStyle w:val="Compact"/>
            </w:pPr>
            <w:r>
              <w:rPr>
                <w:sz w:val="17"/>
              </w:rPr>
              <w:t xml:space="preserve">EA+W</w:t>
            </w:r>
          </w:p>
        </w:tc>
        <w:tc>
          <w:tcPr>
            <w:shd w:val="clear" w:color="auto" w:fill="F5F7FB"/>
          </w:tcPr>
          <w:p>
            <w:pPr>
              <w:pStyle w:val="Compact"/>
            </w:pPr>
          </w:p>
        </w:tc>
        <w:tc>
          <w:tcPr>
            <w:shd w:val="clear" w:color="auto" w:fill="F5F7FB"/>
          </w:tcPr>
          <w:p>
            <w:pPr>
              <w:pStyle w:val="Compact"/>
            </w:pPr>
            <w:r>
              <w:rPr>
                <w:sz w:val="17"/>
              </w:rPr>
              <w:t xml:space="preserve">C</w:t>
            </w:r>
          </w:p>
        </w:tc>
      </w:tr>
      <w:tr>
        <w:tc>
          <w:tcPr/>
          <w:p>
            <w:pPr>
              <w:pStyle w:val="Compact"/>
            </w:pPr>
            <w:r>
              <w:rPr>
                <w:rStyle w:val="VerbatimChar"/>
                <w:sz w:val="17"/>
              </w:rPr>
              <w:t xml:space="preserve">rental.withholding.due</w:t>
            </w:r>
          </w:p>
        </w:tc>
        <w:tc>
          <w:tcPr/>
          <w:p>
            <w:pPr>
              <w:pStyle w:val="Compact"/>
            </w:pPr>
            <w:r>
              <w:rPr>
                <w:sz w:val="17"/>
              </w:rPr>
              <w:t xml:space="preserve">Retenue sur loyer à reverser</w:t>
            </w:r>
          </w:p>
        </w:tc>
        <w:tc>
          <w:tcPr/>
          <w:p>
            <w:pPr>
              <w:pStyle w:val="Compact"/>
            </w:pPr>
            <w:r>
              <w:rPr>
                <w:sz w:val="17"/>
              </w:rPr>
              <w:t xml:space="preserve">Retenue de {{montant}} à reverser avant le {{date}}</w:t>
            </w:r>
          </w:p>
        </w:tc>
        <w:tc>
          <w:tcPr/>
          <w:p>
            <w:pPr>
              <w:pStyle w:val="Compact"/>
            </w:pPr>
            <w:r>
              <w:rPr>
                <w:sz w:val="17"/>
              </w:rPr>
              <w:t xml:space="preserve">warning</w:t>
            </w:r>
          </w:p>
        </w:tc>
        <w:tc>
          <w:tcPr/>
          <w:p>
            <w:pPr>
              <w:pStyle w:val="Compact"/>
            </w:pPr>
            <w:r>
              <w:rPr>
                <w:sz w:val="17"/>
              </w:rPr>
              <w:t xml:space="preserve">EAS</w:t>
            </w:r>
          </w:p>
        </w:tc>
        <w:tc>
          <w:tcPr/>
          <w:p>
            <w:pPr>
              <w:pStyle w:val="Compact"/>
            </w:pPr>
            <w:r>
              <w:rPr>
                <w:sz w:val="17"/>
              </w:rPr>
              <w:t xml:space="preserve">M</w:t>
            </w:r>
          </w:p>
        </w:tc>
        <w:tc>
          <w:tcPr/>
          <w:p>
            <w:pPr>
              <w:pStyle w:val="Compact"/>
            </w:pPr>
            <w:r>
              <w:rPr>
                <w:sz w:val="17"/>
              </w:rPr>
              <w:t xml:space="preserve">C</w:t>
            </w:r>
          </w:p>
        </w:tc>
      </w:tr>
      <w:tr>
        <w:tc>
          <w:tcPr>
            <w:shd w:val="clear" w:color="auto" w:fill="F5F7FB"/>
          </w:tcPr>
          <w:p>
            <w:pPr>
              <w:pStyle w:val="Compact"/>
            </w:pPr>
            <w:r>
              <w:rPr>
                <w:rStyle w:val="VerbatimChar"/>
                <w:sz w:val="17"/>
              </w:rPr>
              <w:t xml:space="preserve">rental.withholding.certificate</w:t>
            </w:r>
          </w:p>
        </w:tc>
        <w:tc>
          <w:tcPr>
            <w:shd w:val="clear" w:color="auto" w:fill="F5F7FB"/>
          </w:tcPr>
          <w:p>
            <w:pPr>
              <w:pStyle w:val="Compact"/>
            </w:pPr>
            <w:r>
              <w:rPr>
                <w:sz w:val="17"/>
              </w:rPr>
              <w:t xml:space="preserve">Attestation de retenue</w:t>
            </w:r>
          </w:p>
        </w:tc>
        <w:tc>
          <w:tcPr>
            <w:shd w:val="clear" w:color="auto" w:fill="F5F7FB"/>
          </w:tcPr>
          <w:p>
            <w:pPr>
              <w:pStyle w:val="Compact"/>
            </w:pPr>
            <w:r>
              <w:rPr>
                <w:sz w:val="17"/>
              </w:rPr>
              <w:t xml:space="preserve">Attestation de retenue disponible</w:t>
            </w:r>
          </w:p>
        </w:tc>
        <w:tc>
          <w:tcPr>
            <w:shd w:val="clear" w:color="auto" w:fill="F5F7FB"/>
          </w:tcPr>
          <w:p>
            <w:pPr>
              <w:pStyle w:val="Compact"/>
            </w:pPr>
            <w:r>
              <w:rPr>
                <w:sz w:val="17"/>
              </w:rPr>
              <w:t xml:space="preserve">success</w:t>
            </w:r>
          </w:p>
        </w:tc>
        <w:tc>
          <w:tcPr>
            <w:shd w:val="clear" w:color="auto" w:fill="F5F7FB"/>
          </w:tcPr>
          <w:p>
            <w:pPr>
              <w:pStyle w:val="Compact"/>
            </w:pPr>
            <w:r>
              <w:rPr>
                <w:sz w:val="17"/>
              </w:rPr>
              <w:t xml:space="preserve">EA+W</w:t>
            </w:r>
          </w:p>
        </w:tc>
        <w:tc>
          <w:tcPr>
            <w:shd w:val="clear" w:color="auto" w:fill="F5F7FB"/>
          </w:tcPr>
          <w:p>
            <w:pPr>
              <w:pStyle w:val="Compact"/>
            </w:pPr>
          </w:p>
        </w:tc>
        <w:tc>
          <w:tcPr>
            <w:shd w:val="clear" w:color="auto" w:fill="F5F7FB"/>
          </w:tcPr>
          <w:p>
            <w:pPr>
              <w:pStyle w:val="Compact"/>
            </w:pPr>
            <w:r>
              <w:rPr>
                <w:sz w:val="17"/>
              </w:rPr>
              <w:t xml:space="preserve">C</w:t>
            </w:r>
          </w:p>
        </w:tc>
      </w:tr>
      <w:tr>
        <w:tc>
          <w:tcPr/>
          <w:p>
            <w:pPr>
              <w:pStyle w:val="Compact"/>
            </w:pPr>
            <w:r>
              <w:rPr>
                <w:rStyle w:val="VerbatimChar"/>
                <w:sz w:val="17"/>
              </w:rPr>
              <w:t xml:space="preserve">rental.withholding.credited</w:t>
            </w:r>
          </w:p>
        </w:tc>
        <w:tc>
          <w:tcPr/>
          <w:p>
            <w:pPr>
              <w:pStyle w:val="Compact"/>
            </w:pPr>
            <w:r>
              <w:rPr>
                <w:sz w:val="17"/>
              </w:rPr>
              <w:t xml:space="preserve">Retenue imputée</w:t>
            </w:r>
          </w:p>
        </w:tc>
        <w:tc>
          <w:tcPr/>
          <w:p>
            <w:pPr>
              <w:pStyle w:val="Compact"/>
            </w:pPr>
            <w:r>
              <w:rPr>
                <w:sz w:val="17"/>
              </w:rPr>
              <w:t xml:space="preserve">Une retenue a été imputée sur votre impôt</w:t>
            </w:r>
          </w:p>
        </w:tc>
        <w:tc>
          <w:tcPr/>
          <w:p>
            <w:pPr>
              <w:pStyle w:val="Compact"/>
            </w:pPr>
            <w:r>
              <w:rPr>
                <w:sz w:val="17"/>
              </w:rPr>
              <w:t xml:space="preserve">success</w:t>
            </w:r>
          </w:p>
        </w:tc>
        <w:tc>
          <w:tcPr/>
          <w:p>
            <w:pPr>
              <w:pStyle w:val="Compact"/>
            </w:pPr>
            <w:r>
              <w:rPr>
                <w:sz w:val="17"/>
              </w:rPr>
              <w:t xml:space="preserve">EA+W</w:t>
            </w:r>
          </w:p>
        </w:tc>
        <w:tc>
          <w:tcPr/>
          <w:p>
            <w:pPr>
              <w:pStyle w:val="Compact"/>
            </w:pPr>
          </w:p>
        </w:tc>
        <w:tc>
          <w:tcPr/>
          <w:p>
            <w:pPr>
              <w:pStyle w:val="Compact"/>
            </w:pPr>
            <w:r>
              <w:rPr>
                <w:sz w:val="17"/>
              </w:rPr>
              <w:t xml:space="preserve">C</w:t>
            </w:r>
          </w:p>
        </w:tc>
      </w:tr>
      <w:tr>
        <w:tc>
          <w:tcPr>
            <w:shd w:val="clear" w:color="auto" w:fill="F5F7FB"/>
          </w:tcPr>
          <w:p>
            <w:pPr>
              <w:pStyle w:val="Compact"/>
            </w:pPr>
            <w:r>
              <w:rPr>
                <w:rStyle w:val="VerbatimChar"/>
                <w:sz w:val="17"/>
              </w:rPr>
              <w:t xml:space="preserve">rental.occupancy.inconsistency</w:t>
            </w:r>
          </w:p>
        </w:tc>
        <w:tc>
          <w:tcPr>
            <w:shd w:val="clear" w:color="auto" w:fill="F5F7FB"/>
          </w:tcPr>
          <w:p>
            <w:pPr>
              <w:pStyle w:val="Compact"/>
            </w:pPr>
            <w:r>
              <w:rPr>
                <w:sz w:val="17"/>
              </w:rPr>
              <w:t xml:space="preserve">Incohérence d’occupation</w:t>
            </w:r>
          </w:p>
        </w:tc>
        <w:tc>
          <w:tcPr>
            <w:shd w:val="clear" w:color="auto" w:fill="F5F7FB"/>
          </w:tcPr>
          <w:p>
            <w:pPr>
              <w:pStyle w:val="Compact"/>
            </w:pPr>
            <w:r>
              <w:rPr>
                <w:sz w:val="17"/>
              </w:rPr>
              <w:t xml:space="preserve">Vérification demandée pour {{objet}}</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EA</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C</w:t>
            </w:r>
          </w:p>
        </w:tc>
      </w:tr>
      <w:tr>
        <w:tc>
          <w:tcPr/>
          <w:p>
            <w:pPr>
              <w:pStyle w:val="Compact"/>
            </w:pPr>
            <w:r>
              <w:rPr>
                <w:rStyle w:val="VerbatimChar"/>
                <w:sz w:val="17"/>
              </w:rPr>
              <w:t xml:space="preserve">property.reclassification.proposed</w:t>
            </w:r>
          </w:p>
        </w:tc>
        <w:tc>
          <w:tcPr/>
          <w:p>
            <w:pPr>
              <w:pStyle w:val="Compact"/>
            </w:pPr>
            <w:r>
              <w:rPr>
                <w:sz w:val="17"/>
              </w:rPr>
              <w:t xml:space="preserve">Requalification proposée</w:t>
            </w:r>
          </w:p>
        </w:tc>
        <w:tc>
          <w:tcPr/>
          <w:p>
            <w:pPr>
              <w:pStyle w:val="Compact"/>
            </w:pPr>
            <w:r>
              <w:rPr>
                <w:sz w:val="17"/>
              </w:rPr>
              <w:t xml:space="preserve">Proposition de requalification de {{objet}} — vos observations</w:t>
            </w:r>
          </w:p>
        </w:tc>
        <w:tc>
          <w:tcPr/>
          <w:p>
            <w:pPr>
              <w:pStyle w:val="Compact"/>
            </w:pPr>
            <w:r>
              <w:rPr>
                <w:sz w:val="17"/>
              </w:rPr>
              <w:t xml:space="preserve">warning</w:t>
            </w:r>
          </w:p>
        </w:tc>
        <w:tc>
          <w:tcPr/>
          <w:p>
            <w:pPr>
              <w:pStyle w:val="Compact"/>
            </w:pPr>
            <w:r>
              <w:rPr>
                <w:sz w:val="17"/>
              </w:rPr>
              <w:t xml:space="preserve">EASC</w:t>
            </w:r>
          </w:p>
        </w:tc>
        <w:tc>
          <w:tcPr/>
          <w:p>
            <w:pPr>
              <w:pStyle w:val="Compact"/>
            </w:pPr>
            <w:r>
              <w:rPr>
                <w:sz w:val="17"/>
              </w:rPr>
              <w:t xml:space="preserve">M</w:t>
            </w:r>
          </w:p>
        </w:tc>
        <w:tc>
          <w:tcPr/>
          <w:p>
            <w:pPr>
              <w:pStyle w:val="Compact"/>
            </w:pPr>
            <w:r>
              <w:rPr>
                <w:sz w:val="17"/>
              </w:rPr>
              <w:t xml:space="preserve">C</w:t>
            </w:r>
          </w:p>
        </w:tc>
      </w:tr>
    </w:tbl>
    <w:bookmarkEnd w:id="590"/>
    <w:bookmarkStart w:id="591" w:name="g.7-déclarations-et-liquidation"/>
    <w:p>
      <w:pPr>
        <w:pStyle w:val="Heading2"/>
      </w:pPr>
      <w:r>
        <w:t xml:space="preserve">G.7 Déclarations et liquidation</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shd w:val="clear" w:color="auto" w:fill="232C6B"/>
          </w:tcPr>
          <w:p>
            <w:pPr>
              <w:pStyle w:val="Compact"/>
            </w:pPr>
            <w:r>
              <w:rPr>
                <w:b/>
                <w:color w:val="FFFFFF"/>
                <w:sz w:val="17"/>
              </w:rPr>
              <w:t xml:space="preserve">Code</w:t>
            </w:r>
          </w:p>
        </w:tc>
        <w:tc>
          <w:tcPr>
            <w:shd w:val="clear" w:color="auto" w:fill="232C6B"/>
          </w:tcPr>
          <w:p>
            <w:pPr>
              <w:pStyle w:val="Compact"/>
            </w:pPr>
            <w:r>
              <w:rPr>
                <w:b/>
                <w:color w:val="FFFFFF"/>
                <w:sz w:val="17"/>
              </w:rPr>
              <w:t xml:space="preserve">Événement</w:t>
            </w:r>
          </w:p>
        </w:tc>
        <w:tc>
          <w:tcPr>
            <w:shd w:val="clear" w:color="auto" w:fill="232C6B"/>
          </w:tcPr>
          <w:p>
            <w:pPr>
              <w:pStyle w:val="Compact"/>
            </w:pPr>
            <w:r>
              <w:rPr>
                <w:b/>
                <w:color w:val="FFFFFF"/>
                <w:sz w:val="17"/>
              </w:rPr>
              <w:t xml:space="preserve">Objet du message (fr)</w:t>
            </w:r>
          </w:p>
        </w:tc>
        <w:tc>
          <w:tcPr>
            <w:shd w:val="clear" w:color="auto" w:fill="232C6B"/>
          </w:tcPr>
          <w:p>
            <w:pPr>
              <w:pStyle w:val="Compact"/>
            </w:pPr>
            <w:r>
              <w:rPr>
                <w:b/>
                <w:color w:val="FFFFFF"/>
                <w:sz w:val="17"/>
              </w:rPr>
              <w:t xml:space="preserve">Gravité</w:t>
            </w:r>
          </w:p>
        </w:tc>
        <w:tc>
          <w:tcPr>
            <w:shd w:val="clear" w:color="auto" w:fill="232C6B"/>
          </w:tcPr>
          <w:p>
            <w:pPr>
              <w:pStyle w:val="Compact"/>
            </w:pPr>
            <w:r>
              <w:rPr>
                <w:b/>
                <w:color w:val="FFFFFF"/>
                <w:sz w:val="17"/>
              </w:rPr>
              <w:t xml:space="preserve">Canaux</w:t>
            </w:r>
          </w:p>
        </w:tc>
        <w:tc>
          <w:tcPr>
            <w:shd w:val="clear" w:color="auto" w:fill="232C6B"/>
          </w:tcPr>
          <w:p>
            <w:pPr>
              <w:pStyle w:val="Compact"/>
            </w:pPr>
            <w:r>
              <w:rPr>
                <w:b/>
                <w:color w:val="FFFFFF"/>
                <w:sz w:val="17"/>
              </w:rPr>
              <w:t xml:space="preserve">M</w:t>
            </w:r>
          </w:p>
        </w:tc>
        <w:tc>
          <w:tcPr>
            <w:shd w:val="clear" w:color="auto" w:fill="232C6B"/>
          </w:tcPr>
          <w:p>
            <w:pPr>
              <w:pStyle w:val="Compact"/>
            </w:pPr>
            <w:r>
              <w:rPr>
                <w:b/>
                <w:color w:val="FFFFFF"/>
                <w:sz w:val="17"/>
              </w:rPr>
              <w:t xml:space="preserve">Public</w:t>
            </w:r>
          </w:p>
        </w:tc>
      </w:tr>
      <w:tr>
        <w:tc>
          <w:tcPr/>
          <w:p>
            <w:pPr>
              <w:pStyle w:val="Compact"/>
            </w:pPr>
            <w:r>
              <w:rPr>
                <w:rStyle w:val="VerbatimChar"/>
                <w:sz w:val="17"/>
              </w:rPr>
              <w:t xml:space="preserve">declaration.prefilled_ready</w:t>
            </w:r>
          </w:p>
        </w:tc>
        <w:tc>
          <w:tcPr/>
          <w:p>
            <w:pPr>
              <w:pStyle w:val="Compact"/>
            </w:pPr>
            <w:r>
              <w:rPr>
                <w:sz w:val="17"/>
              </w:rPr>
              <w:t xml:space="preserve">Déclaration pré-remplie prête</w:t>
            </w:r>
          </w:p>
        </w:tc>
        <w:tc>
          <w:tcPr/>
          <w:p>
            <w:pPr>
              <w:pStyle w:val="Compact"/>
            </w:pPr>
            <w:r>
              <w:rPr>
                <w:sz w:val="17"/>
              </w:rPr>
              <w:t xml:space="preserve">Votre déclaration {{exercice}} est prête</w:t>
            </w:r>
          </w:p>
        </w:tc>
        <w:tc>
          <w:tcPr/>
          <w:p>
            <w:pPr>
              <w:pStyle w:val="Compact"/>
            </w:pPr>
            <w:r>
              <w:rPr>
                <w:sz w:val="17"/>
              </w:rPr>
              <w:t xml:space="preserve">info</w:t>
            </w:r>
          </w:p>
        </w:tc>
        <w:tc>
          <w:tcPr/>
          <w:p>
            <w:pPr>
              <w:pStyle w:val="Compact"/>
            </w:pPr>
            <w:r>
              <w:rPr>
                <w:sz w:val="17"/>
              </w:rPr>
              <w:t xml:space="preserve">EASPU+W</w:t>
            </w:r>
          </w:p>
        </w:tc>
        <w:tc>
          <w:tcPr/>
          <w:p>
            <w:pPr>
              <w:pStyle w:val="Compact"/>
            </w:pPr>
          </w:p>
        </w:tc>
        <w:tc>
          <w:tcPr/>
          <w:p>
            <w:pPr>
              <w:pStyle w:val="Compact"/>
            </w:pPr>
            <w:r>
              <w:rPr>
                <w:sz w:val="17"/>
              </w:rPr>
              <w:t xml:space="preserve">C</w:t>
            </w:r>
          </w:p>
        </w:tc>
      </w:tr>
      <w:tr>
        <w:tc>
          <w:tcPr>
            <w:shd w:val="clear" w:color="auto" w:fill="F5F7FB"/>
          </w:tcPr>
          <w:p>
            <w:pPr>
              <w:pStyle w:val="Compact"/>
            </w:pPr>
            <w:r>
              <w:rPr>
                <w:rStyle w:val="VerbatimChar"/>
                <w:sz w:val="17"/>
              </w:rPr>
              <w:t xml:space="preserve">declaration.due_soon</w:t>
            </w:r>
          </w:p>
        </w:tc>
        <w:tc>
          <w:tcPr>
            <w:shd w:val="clear" w:color="auto" w:fill="F5F7FB"/>
          </w:tcPr>
          <w:p>
            <w:pPr>
              <w:pStyle w:val="Compact"/>
            </w:pPr>
            <w:r>
              <w:rPr>
                <w:sz w:val="17"/>
              </w:rPr>
              <w:t xml:space="preserve">Échéance de déclaration proche</w:t>
            </w:r>
          </w:p>
        </w:tc>
        <w:tc>
          <w:tcPr>
            <w:shd w:val="clear" w:color="auto" w:fill="F5F7FB"/>
          </w:tcPr>
          <w:p>
            <w:pPr>
              <w:pStyle w:val="Compact"/>
            </w:pPr>
            <w:r>
              <w:rPr>
                <w:sz w:val="17"/>
              </w:rPr>
              <w:t xml:space="preserve">Déclaration à déposer avant le {{date}}</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EASPUV+W</w:t>
            </w:r>
          </w:p>
        </w:tc>
        <w:tc>
          <w:tcPr>
            <w:shd w:val="clear" w:color="auto" w:fill="F5F7FB"/>
          </w:tcPr>
          <w:p>
            <w:pPr>
              <w:pStyle w:val="Compact"/>
            </w:pPr>
          </w:p>
        </w:tc>
        <w:tc>
          <w:tcPr>
            <w:shd w:val="clear" w:color="auto" w:fill="F5F7FB"/>
          </w:tcPr>
          <w:p>
            <w:pPr>
              <w:pStyle w:val="Compact"/>
            </w:pPr>
            <w:r>
              <w:rPr>
                <w:sz w:val="17"/>
              </w:rPr>
              <w:t xml:space="preserve">C</w:t>
            </w:r>
          </w:p>
        </w:tc>
      </w:tr>
      <w:tr>
        <w:tc>
          <w:tcPr/>
          <w:p>
            <w:pPr>
              <w:pStyle w:val="Compact"/>
            </w:pPr>
            <w:r>
              <w:rPr>
                <w:rStyle w:val="VerbatimChar"/>
                <w:sz w:val="17"/>
              </w:rPr>
              <w:t xml:space="preserve">declaration.submitted</w:t>
            </w:r>
          </w:p>
        </w:tc>
        <w:tc>
          <w:tcPr/>
          <w:p>
            <w:pPr>
              <w:pStyle w:val="Compact"/>
            </w:pPr>
            <w:r>
              <w:rPr>
                <w:sz w:val="17"/>
              </w:rPr>
              <w:t xml:space="preserve">Déclaration déposée</w:t>
            </w:r>
          </w:p>
        </w:tc>
        <w:tc>
          <w:tcPr/>
          <w:p>
            <w:pPr>
              <w:pStyle w:val="Compact"/>
            </w:pPr>
            <w:r>
              <w:rPr>
                <w:sz w:val="17"/>
              </w:rPr>
              <w:t xml:space="preserve">Déclaration déposée — accusé de réception</w:t>
            </w:r>
          </w:p>
        </w:tc>
        <w:tc>
          <w:tcPr/>
          <w:p>
            <w:pPr>
              <w:pStyle w:val="Compact"/>
            </w:pPr>
            <w:r>
              <w:rPr>
                <w:sz w:val="17"/>
              </w:rPr>
              <w:t xml:space="preserve">success</w:t>
            </w:r>
          </w:p>
        </w:tc>
        <w:tc>
          <w:tcPr/>
          <w:p>
            <w:pPr>
              <w:pStyle w:val="Compact"/>
            </w:pPr>
            <w:r>
              <w:rPr>
                <w:sz w:val="17"/>
              </w:rPr>
              <w:t xml:space="preserve">EA</w:t>
            </w:r>
          </w:p>
        </w:tc>
        <w:tc>
          <w:tcPr/>
          <w:p>
            <w:pPr>
              <w:pStyle w:val="Compact"/>
            </w:pPr>
            <w:r>
              <w:rPr>
                <w:sz w:val="17"/>
              </w:rPr>
              <w:t xml:space="preserve">M</w:t>
            </w:r>
          </w:p>
        </w:tc>
        <w:tc>
          <w:tcPr/>
          <w:p>
            <w:pPr>
              <w:pStyle w:val="Compact"/>
            </w:pPr>
            <w:r>
              <w:rPr>
                <w:sz w:val="17"/>
              </w:rPr>
              <w:t xml:space="preserve">C</w:t>
            </w:r>
          </w:p>
        </w:tc>
      </w:tr>
      <w:tr>
        <w:tc>
          <w:tcPr>
            <w:shd w:val="clear" w:color="auto" w:fill="F5F7FB"/>
          </w:tcPr>
          <w:p>
            <w:pPr>
              <w:pStyle w:val="Compact"/>
            </w:pPr>
            <w:r>
              <w:rPr>
                <w:rStyle w:val="VerbatimChar"/>
                <w:sz w:val="17"/>
              </w:rPr>
              <w:t xml:space="preserve">declaration.late</w:t>
            </w:r>
          </w:p>
        </w:tc>
        <w:tc>
          <w:tcPr>
            <w:shd w:val="clear" w:color="auto" w:fill="F5F7FB"/>
          </w:tcPr>
          <w:p>
            <w:pPr>
              <w:pStyle w:val="Compact"/>
            </w:pPr>
            <w:r>
              <w:rPr>
                <w:sz w:val="17"/>
              </w:rPr>
              <w:t xml:space="preserve">Déclaration en retard</w:t>
            </w:r>
          </w:p>
        </w:tc>
        <w:tc>
          <w:tcPr>
            <w:shd w:val="clear" w:color="auto" w:fill="F5F7FB"/>
          </w:tcPr>
          <w:p>
            <w:pPr>
              <w:pStyle w:val="Compact"/>
            </w:pPr>
            <w:r>
              <w:rPr>
                <w:sz w:val="17"/>
              </w:rPr>
              <w:t xml:space="preserve">Déclaration non déposée à l’échéance</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EASU</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C</w:t>
            </w:r>
          </w:p>
        </w:tc>
      </w:tr>
      <w:tr>
        <w:tc>
          <w:tcPr/>
          <w:p>
            <w:pPr>
              <w:pStyle w:val="Compact"/>
            </w:pPr>
            <w:r>
              <w:rPr>
                <w:rStyle w:val="VerbatimChar"/>
                <w:sz w:val="17"/>
              </w:rPr>
              <w:t xml:space="preserve">declaration.deadline_extended</w:t>
            </w:r>
          </w:p>
        </w:tc>
        <w:tc>
          <w:tcPr/>
          <w:p>
            <w:pPr>
              <w:pStyle w:val="Compact"/>
            </w:pPr>
            <w:r>
              <w:rPr>
                <w:sz w:val="17"/>
              </w:rPr>
              <w:t xml:space="preserve">Échéance prorogée</w:t>
            </w:r>
          </w:p>
        </w:tc>
        <w:tc>
          <w:tcPr/>
          <w:p>
            <w:pPr>
              <w:pStyle w:val="Compact"/>
            </w:pPr>
            <w:r>
              <w:rPr>
                <w:sz w:val="17"/>
              </w:rPr>
              <w:t xml:space="preserve">L’échéance est prorogée au {{date}}</w:t>
            </w:r>
          </w:p>
        </w:tc>
        <w:tc>
          <w:tcPr/>
          <w:p>
            <w:pPr>
              <w:pStyle w:val="Compact"/>
            </w:pPr>
            <w:r>
              <w:rPr>
                <w:sz w:val="17"/>
              </w:rPr>
              <w:t xml:space="preserve">info</w:t>
            </w:r>
          </w:p>
        </w:tc>
        <w:tc>
          <w:tcPr/>
          <w:p>
            <w:pPr>
              <w:pStyle w:val="Compact"/>
            </w:pPr>
            <w:r>
              <w:rPr>
                <w:sz w:val="17"/>
              </w:rPr>
              <w:t xml:space="preserve">EASPUV+W</w:t>
            </w:r>
          </w:p>
        </w:tc>
        <w:tc>
          <w:tcPr/>
          <w:p>
            <w:pPr>
              <w:pStyle w:val="Compact"/>
            </w:pPr>
          </w:p>
        </w:tc>
        <w:tc>
          <w:tcPr/>
          <w:p>
            <w:pPr>
              <w:pStyle w:val="Compact"/>
            </w:pPr>
            <w:r>
              <w:rPr>
                <w:sz w:val="17"/>
              </w:rPr>
              <w:t xml:space="preserve">C</w:t>
            </w:r>
          </w:p>
        </w:tc>
      </w:tr>
      <w:tr>
        <w:tc>
          <w:tcPr>
            <w:shd w:val="clear" w:color="auto" w:fill="F5F7FB"/>
          </w:tcPr>
          <w:p>
            <w:pPr>
              <w:pStyle w:val="Compact"/>
            </w:pPr>
            <w:r>
              <w:rPr>
                <w:rStyle w:val="VerbatimChar"/>
                <w:sz w:val="17"/>
              </w:rPr>
              <w:t xml:space="preserve">assessment.issued</w:t>
            </w:r>
          </w:p>
        </w:tc>
        <w:tc>
          <w:tcPr>
            <w:shd w:val="clear" w:color="auto" w:fill="F5F7FB"/>
          </w:tcPr>
          <w:p>
            <w:pPr>
              <w:pStyle w:val="Compact"/>
            </w:pPr>
            <w:r>
              <w:rPr>
                <w:sz w:val="17"/>
              </w:rPr>
              <w:t xml:space="preserve">Avis d’imposition émis</w:t>
            </w:r>
          </w:p>
        </w:tc>
        <w:tc>
          <w:tcPr>
            <w:shd w:val="clear" w:color="auto" w:fill="F5F7FB"/>
          </w:tcPr>
          <w:p>
            <w:pPr>
              <w:pStyle w:val="Compact"/>
            </w:pPr>
            <w:r>
              <w:rPr>
                <w:sz w:val="17"/>
              </w:rPr>
              <w:t xml:space="preserve">Avis {{reference}} : {{montant}} dû avant le {{date}}</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EASUC</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C</w:t>
            </w:r>
          </w:p>
        </w:tc>
      </w:tr>
      <w:tr>
        <w:tc>
          <w:tcPr/>
          <w:p>
            <w:pPr>
              <w:pStyle w:val="Compact"/>
            </w:pPr>
            <w:r>
              <w:rPr>
                <w:rStyle w:val="VerbatimChar"/>
                <w:sz w:val="17"/>
              </w:rPr>
              <w:t xml:space="preserve">assessment.explained</w:t>
            </w:r>
          </w:p>
        </w:tc>
        <w:tc>
          <w:tcPr/>
          <w:p>
            <w:pPr>
              <w:pStyle w:val="Compact"/>
            </w:pPr>
            <w:r>
              <w:rPr>
                <w:sz w:val="17"/>
              </w:rPr>
              <w:t xml:space="preserve">Explication du calcul</w:t>
            </w:r>
          </w:p>
        </w:tc>
        <w:tc>
          <w:tcPr/>
          <w:p>
            <w:pPr>
              <w:pStyle w:val="Compact"/>
            </w:pPr>
            <w:r>
              <w:rPr>
                <w:sz w:val="17"/>
              </w:rPr>
              <w:t xml:space="preserve">Comment votre montant a été calculé</w:t>
            </w:r>
          </w:p>
        </w:tc>
        <w:tc>
          <w:tcPr/>
          <w:p>
            <w:pPr>
              <w:pStyle w:val="Compact"/>
            </w:pPr>
            <w:r>
              <w:rPr>
                <w:sz w:val="17"/>
              </w:rPr>
              <w:t xml:space="preserve">info</w:t>
            </w:r>
          </w:p>
        </w:tc>
        <w:tc>
          <w:tcPr/>
          <w:p>
            <w:pPr>
              <w:pStyle w:val="Compact"/>
            </w:pPr>
            <w:r>
              <w:rPr>
                <w:sz w:val="17"/>
              </w:rPr>
              <w:t xml:space="preserve">EA+W</w:t>
            </w:r>
          </w:p>
        </w:tc>
        <w:tc>
          <w:tcPr/>
          <w:p>
            <w:pPr>
              <w:pStyle w:val="Compact"/>
            </w:pPr>
          </w:p>
        </w:tc>
        <w:tc>
          <w:tcPr/>
          <w:p>
            <w:pPr>
              <w:pStyle w:val="Compact"/>
            </w:pPr>
            <w:r>
              <w:rPr>
                <w:sz w:val="17"/>
              </w:rPr>
              <w:t xml:space="preserve">C</w:t>
            </w:r>
          </w:p>
        </w:tc>
      </w:tr>
      <w:tr>
        <w:tc>
          <w:tcPr>
            <w:shd w:val="clear" w:color="auto" w:fill="F5F7FB"/>
          </w:tcPr>
          <w:p>
            <w:pPr>
              <w:pStyle w:val="Compact"/>
            </w:pPr>
            <w:r>
              <w:rPr>
                <w:rStyle w:val="VerbatimChar"/>
                <w:sz w:val="17"/>
              </w:rPr>
              <w:t xml:space="preserve">assessment.rectified</w:t>
            </w:r>
          </w:p>
        </w:tc>
        <w:tc>
          <w:tcPr>
            <w:shd w:val="clear" w:color="auto" w:fill="F5F7FB"/>
          </w:tcPr>
          <w:p>
            <w:pPr>
              <w:pStyle w:val="Compact"/>
            </w:pPr>
            <w:r>
              <w:rPr>
                <w:sz w:val="17"/>
              </w:rPr>
              <w:t xml:space="preserve">Avis rectificatif</w:t>
            </w:r>
          </w:p>
        </w:tc>
        <w:tc>
          <w:tcPr>
            <w:shd w:val="clear" w:color="auto" w:fill="F5F7FB"/>
          </w:tcPr>
          <w:p>
            <w:pPr>
              <w:pStyle w:val="Compact"/>
            </w:pPr>
            <w:r>
              <w:rPr>
                <w:sz w:val="17"/>
              </w:rPr>
              <w:t xml:space="preserve">Avis rectificatif {{reference}}</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EASC</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C</w:t>
            </w:r>
          </w:p>
        </w:tc>
      </w:tr>
      <w:tr>
        <w:tc>
          <w:tcPr/>
          <w:p>
            <w:pPr>
              <w:pStyle w:val="Compact"/>
            </w:pPr>
            <w:r>
              <w:rPr>
                <w:rStyle w:val="VerbatimChar"/>
                <w:sz w:val="17"/>
              </w:rPr>
              <w:t xml:space="preserve">assessment.cancelled</w:t>
            </w:r>
          </w:p>
        </w:tc>
        <w:tc>
          <w:tcPr/>
          <w:p>
            <w:pPr>
              <w:pStyle w:val="Compact"/>
            </w:pPr>
            <w:r>
              <w:rPr>
                <w:sz w:val="17"/>
              </w:rPr>
              <w:t xml:space="preserve">Avis annulé</w:t>
            </w:r>
          </w:p>
        </w:tc>
        <w:tc>
          <w:tcPr/>
          <w:p>
            <w:pPr>
              <w:pStyle w:val="Compact"/>
            </w:pPr>
            <w:r>
              <w:rPr>
                <w:sz w:val="17"/>
              </w:rPr>
              <w:t xml:space="preserve">Avis {{reference}} annulé — motif</w:t>
            </w:r>
          </w:p>
        </w:tc>
        <w:tc>
          <w:tcPr/>
          <w:p>
            <w:pPr>
              <w:pStyle w:val="Compact"/>
            </w:pPr>
            <w:r>
              <w:rPr>
                <w:sz w:val="17"/>
              </w:rPr>
              <w:t xml:space="preserve">info</w:t>
            </w:r>
          </w:p>
        </w:tc>
        <w:tc>
          <w:tcPr/>
          <w:p>
            <w:pPr>
              <w:pStyle w:val="Compact"/>
            </w:pPr>
            <w:r>
              <w:rPr>
                <w:sz w:val="17"/>
              </w:rPr>
              <w:t xml:space="preserve">EAS</w:t>
            </w:r>
          </w:p>
        </w:tc>
        <w:tc>
          <w:tcPr/>
          <w:p>
            <w:pPr>
              <w:pStyle w:val="Compact"/>
            </w:pPr>
            <w:r>
              <w:rPr>
                <w:sz w:val="17"/>
              </w:rPr>
              <w:t xml:space="preserve">M</w:t>
            </w:r>
          </w:p>
        </w:tc>
        <w:tc>
          <w:tcPr/>
          <w:p>
            <w:pPr>
              <w:pStyle w:val="Compact"/>
            </w:pPr>
            <w:r>
              <w:rPr>
                <w:sz w:val="17"/>
              </w:rPr>
              <w:t xml:space="preserve">C</w:t>
            </w:r>
          </w:p>
        </w:tc>
      </w:tr>
      <w:tr>
        <w:tc>
          <w:tcPr>
            <w:shd w:val="clear" w:color="auto" w:fill="F5F7FB"/>
          </w:tcPr>
          <w:p>
            <w:pPr>
              <w:pStyle w:val="Compact"/>
            </w:pPr>
            <w:r>
              <w:rPr>
                <w:rStyle w:val="VerbatimChar"/>
                <w:sz w:val="17"/>
              </w:rPr>
              <w:t xml:space="preserve">obligation.due_soon</w:t>
            </w:r>
          </w:p>
        </w:tc>
        <w:tc>
          <w:tcPr>
            <w:shd w:val="clear" w:color="auto" w:fill="F5F7FB"/>
          </w:tcPr>
          <w:p>
            <w:pPr>
              <w:pStyle w:val="Compact"/>
            </w:pPr>
            <w:r>
              <w:rPr>
                <w:sz w:val="17"/>
              </w:rPr>
              <w:t xml:space="preserve">Échéance de paiement proche</w:t>
            </w:r>
          </w:p>
        </w:tc>
        <w:tc>
          <w:tcPr>
            <w:shd w:val="clear" w:color="auto" w:fill="F5F7FB"/>
          </w:tcPr>
          <w:p>
            <w:pPr>
              <w:pStyle w:val="Compact"/>
            </w:pPr>
            <w:r>
              <w:rPr>
                <w:sz w:val="17"/>
              </w:rPr>
              <w:t xml:space="preserve">{{montant}} à payer avant le {{date}}</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EASPUV+W</w:t>
            </w:r>
          </w:p>
        </w:tc>
        <w:tc>
          <w:tcPr>
            <w:shd w:val="clear" w:color="auto" w:fill="F5F7FB"/>
          </w:tcPr>
          <w:p>
            <w:pPr>
              <w:pStyle w:val="Compact"/>
            </w:pPr>
          </w:p>
        </w:tc>
        <w:tc>
          <w:tcPr>
            <w:shd w:val="clear" w:color="auto" w:fill="F5F7FB"/>
          </w:tcPr>
          <w:p>
            <w:pPr>
              <w:pStyle w:val="Compact"/>
            </w:pPr>
            <w:r>
              <w:rPr>
                <w:sz w:val="17"/>
              </w:rPr>
              <w:t xml:space="preserve">C</w:t>
            </w:r>
          </w:p>
        </w:tc>
      </w:tr>
      <w:tr>
        <w:tc>
          <w:tcPr/>
          <w:p>
            <w:pPr>
              <w:pStyle w:val="Compact"/>
            </w:pPr>
            <w:r>
              <w:rPr>
                <w:rStyle w:val="VerbatimChar"/>
                <w:sz w:val="17"/>
              </w:rPr>
              <w:t xml:space="preserve">obligation.due_today</w:t>
            </w:r>
          </w:p>
        </w:tc>
        <w:tc>
          <w:tcPr/>
          <w:p>
            <w:pPr>
              <w:pStyle w:val="Compact"/>
            </w:pPr>
            <w:r>
              <w:rPr>
                <w:sz w:val="17"/>
              </w:rPr>
              <w:t xml:space="preserve">Échéance aujourd’hui</w:t>
            </w:r>
          </w:p>
        </w:tc>
        <w:tc>
          <w:tcPr/>
          <w:p>
            <w:pPr>
              <w:pStyle w:val="Compact"/>
            </w:pPr>
            <w:r>
              <w:rPr>
                <w:sz w:val="17"/>
              </w:rPr>
              <w:t xml:space="preserve">Dernier jour pour payer {{reference}}</w:t>
            </w:r>
          </w:p>
        </w:tc>
        <w:tc>
          <w:tcPr/>
          <w:p>
            <w:pPr>
              <w:pStyle w:val="Compact"/>
            </w:pPr>
            <w:r>
              <w:rPr>
                <w:sz w:val="17"/>
              </w:rPr>
              <w:t xml:space="preserve">warning</w:t>
            </w:r>
          </w:p>
        </w:tc>
        <w:tc>
          <w:tcPr/>
          <w:p>
            <w:pPr>
              <w:pStyle w:val="Compact"/>
            </w:pPr>
            <w:r>
              <w:rPr>
                <w:sz w:val="17"/>
              </w:rPr>
              <w:t xml:space="preserve">SPUV+W</w:t>
            </w:r>
          </w:p>
        </w:tc>
        <w:tc>
          <w:tcPr/>
          <w:p>
            <w:pPr>
              <w:pStyle w:val="Compact"/>
            </w:pPr>
          </w:p>
        </w:tc>
        <w:tc>
          <w:tcPr/>
          <w:p>
            <w:pPr>
              <w:pStyle w:val="Compact"/>
            </w:pPr>
            <w:r>
              <w:rPr>
                <w:sz w:val="17"/>
              </w:rPr>
              <w:t xml:space="preserve">C</w:t>
            </w:r>
          </w:p>
        </w:tc>
      </w:tr>
      <w:tr>
        <w:tc>
          <w:tcPr>
            <w:shd w:val="clear" w:color="auto" w:fill="F5F7FB"/>
          </w:tcPr>
          <w:p>
            <w:pPr>
              <w:pStyle w:val="Compact"/>
            </w:pPr>
            <w:r>
              <w:rPr>
                <w:rStyle w:val="VerbatimChar"/>
                <w:sz w:val="17"/>
              </w:rPr>
              <w:t xml:space="preserve">obligation.overdue</w:t>
            </w:r>
          </w:p>
        </w:tc>
        <w:tc>
          <w:tcPr>
            <w:shd w:val="clear" w:color="auto" w:fill="F5F7FB"/>
          </w:tcPr>
          <w:p>
            <w:pPr>
              <w:pStyle w:val="Compact"/>
            </w:pPr>
            <w:r>
              <w:rPr>
                <w:sz w:val="17"/>
              </w:rPr>
              <w:t xml:space="preserve">Obligation en retard</w:t>
            </w:r>
          </w:p>
        </w:tc>
        <w:tc>
          <w:tcPr>
            <w:shd w:val="clear" w:color="auto" w:fill="F5F7FB"/>
          </w:tcPr>
          <w:p>
            <w:pPr>
              <w:pStyle w:val="Compact"/>
            </w:pPr>
            <w:r>
              <w:rPr>
                <w:sz w:val="17"/>
              </w:rPr>
              <w:t xml:space="preserve">{{reference}} est en retard</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EASU</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C</w:t>
            </w:r>
          </w:p>
        </w:tc>
      </w:tr>
      <w:tr>
        <w:tc>
          <w:tcPr/>
          <w:p>
            <w:pPr>
              <w:pStyle w:val="Compact"/>
            </w:pPr>
            <w:r>
              <w:rPr>
                <w:rStyle w:val="VerbatimChar"/>
                <w:sz w:val="17"/>
              </w:rPr>
              <w:t xml:space="preserve">exemption.requested</w:t>
            </w:r>
          </w:p>
        </w:tc>
        <w:tc>
          <w:tcPr/>
          <w:p>
            <w:pPr>
              <w:pStyle w:val="Compact"/>
            </w:pPr>
            <w:r>
              <w:rPr>
                <w:sz w:val="17"/>
              </w:rPr>
              <w:t xml:space="preserve">Exonération demandée</w:t>
            </w:r>
          </w:p>
        </w:tc>
        <w:tc>
          <w:tcPr/>
          <w:p>
            <w:pPr>
              <w:pStyle w:val="Compact"/>
            </w:pPr>
            <w:r>
              <w:rPr>
                <w:sz w:val="17"/>
              </w:rPr>
              <w:t xml:space="preserve">Demande d’exonération reçue</w:t>
            </w:r>
          </w:p>
        </w:tc>
        <w:tc>
          <w:tcPr/>
          <w:p>
            <w:pPr>
              <w:pStyle w:val="Compact"/>
            </w:pPr>
            <w:r>
              <w:rPr>
                <w:sz w:val="17"/>
              </w:rPr>
              <w:t xml:space="preserve">info</w:t>
            </w:r>
          </w:p>
        </w:tc>
        <w:tc>
          <w:tcPr/>
          <w:p>
            <w:pPr>
              <w:pStyle w:val="Compact"/>
            </w:pPr>
            <w:r>
              <w:rPr>
                <w:sz w:val="17"/>
              </w:rPr>
              <w:t xml:space="preserve">EA+W</w:t>
            </w:r>
          </w:p>
        </w:tc>
        <w:tc>
          <w:tcPr/>
          <w:p>
            <w:pPr>
              <w:pStyle w:val="Compact"/>
            </w:pPr>
          </w:p>
        </w:tc>
        <w:tc>
          <w:tcPr/>
          <w:p>
            <w:pPr>
              <w:pStyle w:val="Compact"/>
            </w:pPr>
            <w:r>
              <w:rPr>
                <w:sz w:val="17"/>
              </w:rPr>
              <w:t xml:space="preserve">C</w:t>
            </w:r>
          </w:p>
        </w:tc>
      </w:tr>
      <w:tr>
        <w:tc>
          <w:tcPr>
            <w:shd w:val="clear" w:color="auto" w:fill="F5F7FB"/>
          </w:tcPr>
          <w:p>
            <w:pPr>
              <w:pStyle w:val="Compact"/>
            </w:pPr>
            <w:r>
              <w:rPr>
                <w:rStyle w:val="VerbatimChar"/>
                <w:sz w:val="17"/>
              </w:rPr>
              <w:t xml:space="preserve">exemption.granted</w:t>
            </w:r>
          </w:p>
        </w:tc>
        <w:tc>
          <w:tcPr>
            <w:shd w:val="clear" w:color="auto" w:fill="F5F7FB"/>
          </w:tcPr>
          <w:p>
            <w:pPr>
              <w:pStyle w:val="Compact"/>
            </w:pPr>
            <w:r>
              <w:rPr>
                <w:sz w:val="17"/>
              </w:rPr>
              <w:t xml:space="preserve">Exonération accordée</w:t>
            </w:r>
          </w:p>
        </w:tc>
        <w:tc>
          <w:tcPr>
            <w:shd w:val="clear" w:color="auto" w:fill="F5F7FB"/>
          </w:tcPr>
          <w:p>
            <w:pPr>
              <w:pStyle w:val="Compact"/>
            </w:pPr>
            <w:r>
              <w:rPr>
                <w:sz w:val="17"/>
              </w:rPr>
              <w:t xml:space="preserve">Exonération accordée jusqu’au {{date}}</w:t>
            </w:r>
          </w:p>
        </w:tc>
        <w:tc>
          <w:tcPr>
            <w:shd w:val="clear" w:color="auto" w:fill="F5F7FB"/>
          </w:tcPr>
          <w:p>
            <w:pPr>
              <w:pStyle w:val="Compact"/>
            </w:pPr>
            <w:r>
              <w:rPr>
                <w:sz w:val="17"/>
              </w:rPr>
              <w:t xml:space="preserve">success</w:t>
            </w:r>
          </w:p>
        </w:tc>
        <w:tc>
          <w:tcPr>
            <w:shd w:val="clear" w:color="auto" w:fill="F5F7FB"/>
          </w:tcPr>
          <w:p>
            <w:pPr>
              <w:pStyle w:val="Compact"/>
            </w:pPr>
            <w:r>
              <w:rPr>
                <w:sz w:val="17"/>
              </w:rPr>
              <w:t xml:space="preserve">EASC</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C</w:t>
            </w:r>
          </w:p>
        </w:tc>
      </w:tr>
      <w:tr>
        <w:tc>
          <w:tcPr/>
          <w:p>
            <w:pPr>
              <w:pStyle w:val="Compact"/>
            </w:pPr>
            <w:r>
              <w:rPr>
                <w:rStyle w:val="VerbatimChar"/>
                <w:sz w:val="17"/>
              </w:rPr>
              <w:t xml:space="preserve">exemption.refused</w:t>
            </w:r>
          </w:p>
        </w:tc>
        <w:tc>
          <w:tcPr/>
          <w:p>
            <w:pPr>
              <w:pStyle w:val="Compact"/>
            </w:pPr>
            <w:r>
              <w:rPr>
                <w:sz w:val="17"/>
              </w:rPr>
              <w:t xml:space="preserve">Exonération refusée</w:t>
            </w:r>
          </w:p>
        </w:tc>
        <w:tc>
          <w:tcPr/>
          <w:p>
            <w:pPr>
              <w:pStyle w:val="Compact"/>
            </w:pPr>
            <w:r>
              <w:rPr>
                <w:sz w:val="17"/>
              </w:rPr>
              <w:t xml:space="preserve">Exonération refusée — motif et recours</w:t>
            </w:r>
          </w:p>
        </w:tc>
        <w:tc>
          <w:tcPr/>
          <w:p>
            <w:pPr>
              <w:pStyle w:val="Compact"/>
            </w:pPr>
            <w:r>
              <w:rPr>
                <w:sz w:val="17"/>
              </w:rPr>
              <w:t xml:space="preserve">warning</w:t>
            </w:r>
          </w:p>
        </w:tc>
        <w:tc>
          <w:tcPr/>
          <w:p>
            <w:pPr>
              <w:pStyle w:val="Compact"/>
            </w:pPr>
            <w:r>
              <w:rPr>
                <w:sz w:val="17"/>
              </w:rPr>
              <w:t xml:space="preserve">EASC</w:t>
            </w:r>
          </w:p>
        </w:tc>
        <w:tc>
          <w:tcPr/>
          <w:p>
            <w:pPr>
              <w:pStyle w:val="Compact"/>
            </w:pPr>
            <w:r>
              <w:rPr>
                <w:sz w:val="17"/>
              </w:rPr>
              <w:t xml:space="preserve">M</w:t>
            </w:r>
          </w:p>
        </w:tc>
        <w:tc>
          <w:tcPr/>
          <w:p>
            <w:pPr>
              <w:pStyle w:val="Compact"/>
            </w:pPr>
            <w:r>
              <w:rPr>
                <w:sz w:val="17"/>
              </w:rPr>
              <w:t xml:space="preserve">C</w:t>
            </w:r>
          </w:p>
        </w:tc>
      </w:tr>
      <w:tr>
        <w:tc>
          <w:tcPr>
            <w:shd w:val="clear" w:color="auto" w:fill="F5F7FB"/>
          </w:tcPr>
          <w:p>
            <w:pPr>
              <w:pStyle w:val="Compact"/>
            </w:pPr>
            <w:r>
              <w:rPr>
                <w:rStyle w:val="VerbatimChar"/>
                <w:sz w:val="17"/>
              </w:rPr>
              <w:t xml:space="preserve">exemption.expiring</w:t>
            </w:r>
          </w:p>
        </w:tc>
        <w:tc>
          <w:tcPr>
            <w:shd w:val="clear" w:color="auto" w:fill="F5F7FB"/>
          </w:tcPr>
          <w:p>
            <w:pPr>
              <w:pStyle w:val="Compact"/>
            </w:pPr>
            <w:r>
              <w:rPr>
                <w:sz w:val="17"/>
              </w:rPr>
              <w:t xml:space="preserve">Exonération bientôt expirée</w:t>
            </w:r>
          </w:p>
        </w:tc>
        <w:tc>
          <w:tcPr>
            <w:shd w:val="clear" w:color="auto" w:fill="F5F7FB"/>
          </w:tcPr>
          <w:p>
            <w:pPr>
              <w:pStyle w:val="Compact"/>
            </w:pPr>
            <w:r>
              <w:rPr>
                <w:sz w:val="17"/>
              </w:rPr>
              <w:t xml:space="preserve">Votre exonération expire le {{date}}</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EA+W</w:t>
            </w:r>
          </w:p>
        </w:tc>
        <w:tc>
          <w:tcPr>
            <w:shd w:val="clear" w:color="auto" w:fill="F5F7FB"/>
          </w:tcPr>
          <w:p>
            <w:pPr>
              <w:pStyle w:val="Compact"/>
            </w:pPr>
          </w:p>
        </w:tc>
        <w:tc>
          <w:tcPr>
            <w:shd w:val="clear" w:color="auto" w:fill="F5F7FB"/>
          </w:tcPr>
          <w:p>
            <w:pPr>
              <w:pStyle w:val="Compact"/>
            </w:pPr>
            <w:r>
              <w:rPr>
                <w:sz w:val="17"/>
              </w:rPr>
              <w:t xml:space="preserve">C</w:t>
            </w:r>
          </w:p>
        </w:tc>
      </w:tr>
      <w:tr>
        <w:tc>
          <w:tcPr/>
          <w:p>
            <w:pPr>
              <w:pStyle w:val="Compact"/>
            </w:pPr>
            <w:r>
              <w:rPr>
                <w:rStyle w:val="VerbatimChar"/>
                <w:sz w:val="17"/>
              </w:rPr>
              <w:t xml:space="preserve">installment_plan.granted</w:t>
            </w:r>
          </w:p>
        </w:tc>
        <w:tc>
          <w:tcPr/>
          <w:p>
            <w:pPr>
              <w:pStyle w:val="Compact"/>
            </w:pPr>
            <w:r>
              <w:rPr>
                <w:sz w:val="17"/>
              </w:rPr>
              <w:t xml:space="preserve">Échéancier accordé</w:t>
            </w:r>
          </w:p>
        </w:tc>
        <w:tc>
          <w:tcPr/>
          <w:p>
            <w:pPr>
              <w:pStyle w:val="Compact"/>
            </w:pPr>
            <w:r>
              <w:rPr>
                <w:sz w:val="17"/>
              </w:rPr>
              <w:t xml:space="preserve">Échéancier accordé : {{n}} versements</w:t>
            </w:r>
          </w:p>
        </w:tc>
        <w:tc>
          <w:tcPr/>
          <w:p>
            <w:pPr>
              <w:pStyle w:val="Compact"/>
            </w:pPr>
            <w:r>
              <w:rPr>
                <w:sz w:val="17"/>
              </w:rPr>
              <w:t xml:space="preserve">success</w:t>
            </w:r>
          </w:p>
        </w:tc>
        <w:tc>
          <w:tcPr/>
          <w:p>
            <w:pPr>
              <w:pStyle w:val="Compact"/>
            </w:pPr>
            <w:r>
              <w:rPr>
                <w:sz w:val="17"/>
              </w:rPr>
              <w:t xml:space="preserve">EAS</w:t>
            </w:r>
          </w:p>
        </w:tc>
        <w:tc>
          <w:tcPr/>
          <w:p>
            <w:pPr>
              <w:pStyle w:val="Compact"/>
            </w:pPr>
            <w:r>
              <w:rPr>
                <w:sz w:val="17"/>
              </w:rPr>
              <w:t xml:space="preserve">M</w:t>
            </w:r>
          </w:p>
        </w:tc>
        <w:tc>
          <w:tcPr/>
          <w:p>
            <w:pPr>
              <w:pStyle w:val="Compact"/>
            </w:pPr>
            <w:r>
              <w:rPr>
                <w:sz w:val="17"/>
              </w:rPr>
              <w:t xml:space="preserve">C</w:t>
            </w:r>
          </w:p>
        </w:tc>
      </w:tr>
      <w:tr>
        <w:tc>
          <w:tcPr>
            <w:shd w:val="clear" w:color="auto" w:fill="F5F7FB"/>
          </w:tcPr>
          <w:p>
            <w:pPr>
              <w:pStyle w:val="Compact"/>
            </w:pPr>
            <w:r>
              <w:rPr>
                <w:rStyle w:val="VerbatimChar"/>
                <w:sz w:val="17"/>
              </w:rPr>
              <w:t xml:space="preserve">installment_plan.installment_due</w:t>
            </w:r>
          </w:p>
        </w:tc>
        <w:tc>
          <w:tcPr>
            <w:shd w:val="clear" w:color="auto" w:fill="F5F7FB"/>
          </w:tcPr>
          <w:p>
            <w:pPr>
              <w:pStyle w:val="Compact"/>
            </w:pPr>
            <w:r>
              <w:rPr>
                <w:sz w:val="17"/>
              </w:rPr>
              <w:t xml:space="preserve">Versement d’échéancier dû</w:t>
            </w:r>
          </w:p>
        </w:tc>
        <w:tc>
          <w:tcPr>
            <w:shd w:val="clear" w:color="auto" w:fill="F5F7FB"/>
          </w:tcPr>
          <w:p>
            <w:pPr>
              <w:pStyle w:val="Compact"/>
            </w:pPr>
            <w:r>
              <w:rPr>
                <w:sz w:val="17"/>
              </w:rPr>
              <w:t xml:space="preserve">Versement {{i}}/{{n}} dû le {{date}}</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SPU+W</w:t>
            </w:r>
          </w:p>
        </w:tc>
        <w:tc>
          <w:tcPr>
            <w:shd w:val="clear" w:color="auto" w:fill="F5F7FB"/>
          </w:tcPr>
          <w:p>
            <w:pPr>
              <w:pStyle w:val="Compact"/>
            </w:pPr>
          </w:p>
        </w:tc>
        <w:tc>
          <w:tcPr>
            <w:shd w:val="clear" w:color="auto" w:fill="F5F7FB"/>
          </w:tcPr>
          <w:p>
            <w:pPr>
              <w:pStyle w:val="Compact"/>
            </w:pPr>
            <w:r>
              <w:rPr>
                <w:sz w:val="17"/>
              </w:rPr>
              <w:t xml:space="preserve">C</w:t>
            </w:r>
          </w:p>
        </w:tc>
      </w:tr>
      <w:tr>
        <w:tc>
          <w:tcPr/>
          <w:p>
            <w:pPr>
              <w:pStyle w:val="Compact"/>
            </w:pPr>
            <w:r>
              <w:rPr>
                <w:rStyle w:val="VerbatimChar"/>
                <w:sz w:val="17"/>
              </w:rPr>
              <w:t xml:space="preserve">installment_plan.defaulted</w:t>
            </w:r>
          </w:p>
        </w:tc>
        <w:tc>
          <w:tcPr/>
          <w:p>
            <w:pPr>
              <w:pStyle w:val="Compact"/>
            </w:pPr>
            <w:r>
              <w:rPr>
                <w:sz w:val="17"/>
              </w:rPr>
              <w:t xml:space="preserve">Échéancier non respecté</w:t>
            </w:r>
          </w:p>
        </w:tc>
        <w:tc>
          <w:tcPr/>
          <w:p>
            <w:pPr>
              <w:pStyle w:val="Compact"/>
            </w:pPr>
            <w:r>
              <w:rPr>
                <w:sz w:val="17"/>
              </w:rPr>
              <w:t xml:space="preserve">Échéancier non respecté — conséquences</w:t>
            </w:r>
          </w:p>
        </w:tc>
        <w:tc>
          <w:tcPr/>
          <w:p>
            <w:pPr>
              <w:pStyle w:val="Compact"/>
            </w:pPr>
            <w:r>
              <w:rPr>
                <w:sz w:val="17"/>
              </w:rPr>
              <w:t xml:space="preserve">warning</w:t>
            </w:r>
          </w:p>
        </w:tc>
        <w:tc>
          <w:tcPr/>
          <w:p>
            <w:pPr>
              <w:pStyle w:val="Compact"/>
            </w:pPr>
            <w:r>
              <w:rPr>
                <w:sz w:val="17"/>
              </w:rPr>
              <w:t xml:space="preserve">EASC</w:t>
            </w:r>
          </w:p>
        </w:tc>
        <w:tc>
          <w:tcPr/>
          <w:p>
            <w:pPr>
              <w:pStyle w:val="Compact"/>
            </w:pPr>
            <w:r>
              <w:rPr>
                <w:sz w:val="17"/>
              </w:rPr>
              <w:t xml:space="preserve">M</w:t>
            </w:r>
          </w:p>
        </w:tc>
        <w:tc>
          <w:tcPr/>
          <w:p>
            <w:pPr>
              <w:pStyle w:val="Compact"/>
            </w:pPr>
            <w:r>
              <w:rPr>
                <w:sz w:val="17"/>
              </w:rPr>
              <w:t xml:space="preserve">C</w:t>
            </w:r>
          </w:p>
        </w:tc>
      </w:tr>
    </w:tbl>
    <w:bookmarkEnd w:id="591"/>
    <w:bookmarkStart w:id="592" w:name="g.8-paiements"/>
    <w:p>
      <w:pPr>
        <w:pStyle w:val="Heading2"/>
      </w:pPr>
      <w:r>
        <w:t xml:space="preserve">G.8 Paiements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shd w:val="clear" w:color="auto" w:fill="232C6B"/>
          </w:tcPr>
          <w:p>
            <w:pPr>
              <w:pStyle w:val="Compact"/>
            </w:pPr>
            <w:r>
              <w:rPr>
                <w:b/>
                <w:color w:val="FFFFFF"/>
                <w:sz w:val="17"/>
              </w:rPr>
              <w:t xml:space="preserve">Code</w:t>
            </w:r>
          </w:p>
        </w:tc>
        <w:tc>
          <w:tcPr>
            <w:shd w:val="clear" w:color="auto" w:fill="232C6B"/>
          </w:tcPr>
          <w:p>
            <w:pPr>
              <w:pStyle w:val="Compact"/>
            </w:pPr>
            <w:r>
              <w:rPr>
                <w:b/>
                <w:color w:val="FFFFFF"/>
                <w:sz w:val="17"/>
              </w:rPr>
              <w:t xml:space="preserve">Événement</w:t>
            </w:r>
          </w:p>
        </w:tc>
        <w:tc>
          <w:tcPr>
            <w:shd w:val="clear" w:color="auto" w:fill="232C6B"/>
          </w:tcPr>
          <w:p>
            <w:pPr>
              <w:pStyle w:val="Compact"/>
            </w:pPr>
            <w:r>
              <w:rPr>
                <w:b/>
                <w:color w:val="FFFFFF"/>
                <w:sz w:val="17"/>
              </w:rPr>
              <w:t xml:space="preserve">Objet du message (fr)</w:t>
            </w:r>
          </w:p>
        </w:tc>
        <w:tc>
          <w:tcPr>
            <w:shd w:val="clear" w:color="auto" w:fill="232C6B"/>
          </w:tcPr>
          <w:p>
            <w:pPr>
              <w:pStyle w:val="Compact"/>
            </w:pPr>
            <w:r>
              <w:rPr>
                <w:b/>
                <w:color w:val="FFFFFF"/>
                <w:sz w:val="17"/>
              </w:rPr>
              <w:t xml:space="preserve">Gravité</w:t>
            </w:r>
          </w:p>
        </w:tc>
        <w:tc>
          <w:tcPr>
            <w:shd w:val="clear" w:color="auto" w:fill="232C6B"/>
          </w:tcPr>
          <w:p>
            <w:pPr>
              <w:pStyle w:val="Compact"/>
            </w:pPr>
            <w:r>
              <w:rPr>
                <w:b/>
                <w:color w:val="FFFFFF"/>
                <w:sz w:val="17"/>
              </w:rPr>
              <w:t xml:space="preserve">Canaux</w:t>
            </w:r>
          </w:p>
        </w:tc>
        <w:tc>
          <w:tcPr>
            <w:shd w:val="clear" w:color="auto" w:fill="232C6B"/>
          </w:tcPr>
          <w:p>
            <w:pPr>
              <w:pStyle w:val="Compact"/>
            </w:pPr>
            <w:r>
              <w:rPr>
                <w:b/>
                <w:color w:val="FFFFFF"/>
                <w:sz w:val="17"/>
              </w:rPr>
              <w:t xml:space="preserve">M</w:t>
            </w:r>
          </w:p>
        </w:tc>
        <w:tc>
          <w:tcPr>
            <w:shd w:val="clear" w:color="auto" w:fill="232C6B"/>
          </w:tcPr>
          <w:p>
            <w:pPr>
              <w:pStyle w:val="Compact"/>
            </w:pPr>
            <w:r>
              <w:rPr>
                <w:b/>
                <w:color w:val="FFFFFF"/>
                <w:sz w:val="17"/>
              </w:rPr>
              <w:t xml:space="preserve">Public</w:t>
            </w:r>
          </w:p>
        </w:tc>
      </w:tr>
      <w:tr>
        <w:tc>
          <w:tcPr/>
          <w:p>
            <w:pPr>
              <w:pStyle w:val="Compact"/>
            </w:pPr>
            <w:r>
              <w:rPr>
                <w:rStyle w:val="VerbatimChar"/>
                <w:sz w:val="17"/>
              </w:rPr>
              <w:t xml:space="preserve">payment.reference.issued</w:t>
            </w:r>
          </w:p>
        </w:tc>
        <w:tc>
          <w:tcPr/>
          <w:p>
            <w:pPr>
              <w:pStyle w:val="Compact"/>
            </w:pPr>
            <w:r>
              <w:rPr>
                <w:sz w:val="17"/>
              </w:rPr>
              <w:t xml:space="preserve">Référence de paiement émise</w:t>
            </w:r>
          </w:p>
        </w:tc>
        <w:tc>
          <w:tcPr/>
          <w:p>
            <w:pPr>
              <w:pStyle w:val="Compact"/>
            </w:pPr>
            <w:r>
              <w:rPr>
                <w:sz w:val="17"/>
              </w:rPr>
              <w:t xml:space="preserve">Référence {{ref_paiement}} : {{montant}}</w:t>
            </w:r>
          </w:p>
        </w:tc>
        <w:tc>
          <w:tcPr/>
          <w:p>
            <w:pPr>
              <w:pStyle w:val="Compact"/>
            </w:pPr>
            <w:r>
              <w:rPr>
                <w:sz w:val="17"/>
              </w:rPr>
              <w:t xml:space="preserve">info</w:t>
            </w:r>
          </w:p>
        </w:tc>
        <w:tc>
          <w:tcPr/>
          <w:p>
            <w:pPr>
              <w:pStyle w:val="Compact"/>
            </w:pPr>
            <w:r>
              <w:rPr>
                <w:sz w:val="17"/>
              </w:rPr>
              <w:t xml:space="preserve">ASU+W</w:t>
            </w:r>
          </w:p>
        </w:tc>
        <w:tc>
          <w:tcPr/>
          <w:p>
            <w:pPr>
              <w:pStyle w:val="Compact"/>
            </w:pPr>
          </w:p>
        </w:tc>
        <w:tc>
          <w:tcPr/>
          <w:p>
            <w:pPr>
              <w:pStyle w:val="Compact"/>
            </w:pPr>
            <w:r>
              <w:rPr>
                <w:sz w:val="17"/>
              </w:rPr>
              <w:t xml:space="preserve">C</w:t>
            </w:r>
          </w:p>
        </w:tc>
      </w:tr>
      <w:tr>
        <w:tc>
          <w:tcPr>
            <w:shd w:val="clear" w:color="auto" w:fill="F5F7FB"/>
          </w:tcPr>
          <w:p>
            <w:pPr>
              <w:pStyle w:val="Compact"/>
            </w:pPr>
            <w:r>
              <w:rPr>
                <w:rStyle w:val="VerbatimChar"/>
                <w:sz w:val="17"/>
              </w:rPr>
              <w:t xml:space="preserve">payment.initiated</w:t>
            </w:r>
          </w:p>
        </w:tc>
        <w:tc>
          <w:tcPr>
            <w:shd w:val="clear" w:color="auto" w:fill="F5F7FB"/>
          </w:tcPr>
          <w:p>
            <w:pPr>
              <w:pStyle w:val="Compact"/>
            </w:pPr>
            <w:r>
              <w:rPr>
                <w:sz w:val="17"/>
              </w:rPr>
              <w:t xml:space="preserve">Paiement initié</w:t>
            </w:r>
          </w:p>
        </w:tc>
        <w:tc>
          <w:tcPr>
            <w:shd w:val="clear" w:color="auto" w:fill="F5F7FB"/>
          </w:tcPr>
          <w:p>
            <w:pPr>
              <w:pStyle w:val="Compact"/>
            </w:pPr>
            <w:r>
              <w:rPr>
                <w:sz w:val="17"/>
              </w:rPr>
              <w:t xml:space="preserve">Paiement en cours de traitement</w:t>
            </w:r>
          </w:p>
        </w:tc>
        <w:tc>
          <w:tcPr>
            <w:shd w:val="clear" w:color="auto" w:fill="F5F7FB"/>
          </w:tcPr>
          <w:p>
            <w:pPr>
              <w:pStyle w:val="Compact"/>
            </w:pPr>
            <w:r>
              <w:rPr>
                <w:sz w:val="17"/>
              </w:rPr>
              <w:t xml:space="preserve">info</w:t>
            </w:r>
          </w:p>
        </w:tc>
        <w:tc>
          <w:tcPr>
            <w:shd w:val="clear" w:color="auto" w:fill="F5F7FB"/>
          </w:tcPr>
          <w:p>
            <w:pPr>
              <w:pStyle w:val="Compact"/>
            </w:pPr>
            <w:r>
              <w:rPr>
                <w:sz w:val="17"/>
              </w:rPr>
              <w:t xml:space="preserve">A+W</w:t>
            </w:r>
          </w:p>
        </w:tc>
        <w:tc>
          <w:tcPr>
            <w:shd w:val="clear" w:color="auto" w:fill="F5F7FB"/>
          </w:tcPr>
          <w:p>
            <w:pPr>
              <w:pStyle w:val="Compact"/>
            </w:pPr>
          </w:p>
        </w:tc>
        <w:tc>
          <w:tcPr>
            <w:shd w:val="clear" w:color="auto" w:fill="F5F7FB"/>
          </w:tcPr>
          <w:p>
            <w:pPr>
              <w:pStyle w:val="Compact"/>
            </w:pPr>
            <w:r>
              <w:rPr>
                <w:sz w:val="17"/>
              </w:rPr>
              <w:t xml:space="preserve">C</w:t>
            </w:r>
          </w:p>
        </w:tc>
      </w:tr>
      <w:tr>
        <w:tc>
          <w:tcPr/>
          <w:p>
            <w:pPr>
              <w:pStyle w:val="Compact"/>
            </w:pPr>
            <w:r>
              <w:rPr>
                <w:rStyle w:val="VerbatimChar"/>
                <w:sz w:val="17"/>
              </w:rPr>
              <w:t xml:space="preserve">payment.confirmed</w:t>
            </w:r>
          </w:p>
        </w:tc>
        <w:tc>
          <w:tcPr/>
          <w:p>
            <w:pPr>
              <w:pStyle w:val="Compact"/>
            </w:pPr>
            <w:r>
              <w:rPr>
                <w:sz w:val="17"/>
              </w:rPr>
              <w:t xml:space="preserve">Paiement confirmé</w:t>
            </w:r>
          </w:p>
        </w:tc>
        <w:tc>
          <w:tcPr/>
          <w:p>
            <w:pPr>
              <w:pStyle w:val="Compact"/>
            </w:pPr>
            <w:r>
              <w:rPr>
                <w:sz w:val="17"/>
              </w:rPr>
              <w:t xml:space="preserve">Paiement de {{montant}} confirmé par {{canal}}</w:t>
            </w:r>
          </w:p>
        </w:tc>
        <w:tc>
          <w:tcPr/>
          <w:p>
            <w:pPr>
              <w:pStyle w:val="Compact"/>
            </w:pPr>
            <w:r>
              <w:rPr>
                <w:sz w:val="17"/>
              </w:rPr>
              <w:t xml:space="preserve">success</w:t>
            </w:r>
          </w:p>
        </w:tc>
        <w:tc>
          <w:tcPr/>
          <w:p>
            <w:pPr>
              <w:pStyle w:val="Compact"/>
            </w:pPr>
            <w:r>
              <w:rPr>
                <w:sz w:val="17"/>
              </w:rPr>
              <w:t xml:space="preserve">EASP</w:t>
            </w:r>
          </w:p>
        </w:tc>
        <w:tc>
          <w:tcPr/>
          <w:p>
            <w:pPr>
              <w:pStyle w:val="Compact"/>
            </w:pPr>
            <w:r>
              <w:rPr>
                <w:sz w:val="17"/>
              </w:rPr>
              <w:t xml:space="preserve">M</w:t>
            </w:r>
          </w:p>
        </w:tc>
        <w:tc>
          <w:tcPr/>
          <w:p>
            <w:pPr>
              <w:pStyle w:val="Compact"/>
            </w:pPr>
            <w:r>
              <w:rPr>
                <w:sz w:val="17"/>
              </w:rPr>
              <w:t xml:space="preserve">C</w:t>
            </w:r>
          </w:p>
        </w:tc>
      </w:tr>
      <w:tr>
        <w:tc>
          <w:tcPr>
            <w:shd w:val="clear" w:color="auto" w:fill="F5F7FB"/>
          </w:tcPr>
          <w:p>
            <w:pPr>
              <w:pStyle w:val="Compact"/>
            </w:pPr>
            <w:r>
              <w:rPr>
                <w:rStyle w:val="VerbatimChar"/>
                <w:sz w:val="17"/>
              </w:rPr>
              <w:t xml:space="preserve">payment.failed</w:t>
            </w:r>
          </w:p>
        </w:tc>
        <w:tc>
          <w:tcPr>
            <w:shd w:val="clear" w:color="auto" w:fill="F5F7FB"/>
          </w:tcPr>
          <w:p>
            <w:pPr>
              <w:pStyle w:val="Compact"/>
            </w:pPr>
            <w:r>
              <w:rPr>
                <w:sz w:val="17"/>
              </w:rPr>
              <w:t xml:space="preserve">Paiement échoué</w:t>
            </w:r>
          </w:p>
        </w:tc>
        <w:tc>
          <w:tcPr>
            <w:shd w:val="clear" w:color="auto" w:fill="F5F7FB"/>
          </w:tcPr>
          <w:p>
            <w:pPr>
              <w:pStyle w:val="Compact"/>
            </w:pPr>
            <w:r>
              <w:rPr>
                <w:sz w:val="17"/>
              </w:rPr>
              <w:t xml:space="preserve">Votre paiement n’a pas abouti</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ASP+W</w:t>
            </w:r>
          </w:p>
        </w:tc>
        <w:tc>
          <w:tcPr>
            <w:shd w:val="clear" w:color="auto" w:fill="F5F7FB"/>
          </w:tcPr>
          <w:p>
            <w:pPr>
              <w:pStyle w:val="Compact"/>
            </w:pPr>
          </w:p>
        </w:tc>
        <w:tc>
          <w:tcPr>
            <w:shd w:val="clear" w:color="auto" w:fill="F5F7FB"/>
          </w:tcPr>
          <w:p>
            <w:pPr>
              <w:pStyle w:val="Compact"/>
            </w:pPr>
            <w:r>
              <w:rPr>
                <w:sz w:val="17"/>
              </w:rPr>
              <w:t xml:space="preserve">C</w:t>
            </w:r>
          </w:p>
        </w:tc>
      </w:tr>
      <w:tr>
        <w:tc>
          <w:tcPr/>
          <w:p>
            <w:pPr>
              <w:pStyle w:val="Compact"/>
            </w:pPr>
            <w:r>
              <w:rPr>
                <w:rStyle w:val="VerbatimChar"/>
                <w:sz w:val="17"/>
              </w:rPr>
              <w:t xml:space="preserve">payment.duplicate_detected</w:t>
            </w:r>
          </w:p>
        </w:tc>
        <w:tc>
          <w:tcPr/>
          <w:p>
            <w:pPr>
              <w:pStyle w:val="Compact"/>
            </w:pPr>
            <w:r>
              <w:rPr>
                <w:sz w:val="17"/>
              </w:rPr>
              <w:t xml:space="preserve">Paiement en double détecté</w:t>
            </w:r>
          </w:p>
        </w:tc>
        <w:tc>
          <w:tcPr/>
          <w:p>
            <w:pPr>
              <w:pStyle w:val="Compact"/>
            </w:pPr>
            <w:r>
              <w:rPr>
                <w:sz w:val="17"/>
              </w:rPr>
              <w:t xml:space="preserve">Paiement en double détecté — remboursement ou imputation</w:t>
            </w:r>
          </w:p>
        </w:tc>
        <w:tc>
          <w:tcPr/>
          <w:p>
            <w:pPr>
              <w:pStyle w:val="Compact"/>
            </w:pPr>
            <w:r>
              <w:rPr>
                <w:sz w:val="17"/>
              </w:rPr>
              <w:t xml:space="preserve">warning</w:t>
            </w:r>
          </w:p>
        </w:tc>
        <w:tc>
          <w:tcPr/>
          <w:p>
            <w:pPr>
              <w:pStyle w:val="Compact"/>
            </w:pPr>
            <w:r>
              <w:rPr>
                <w:sz w:val="17"/>
              </w:rPr>
              <w:t xml:space="preserve">EAS</w:t>
            </w:r>
          </w:p>
        </w:tc>
        <w:tc>
          <w:tcPr/>
          <w:p>
            <w:pPr>
              <w:pStyle w:val="Compact"/>
            </w:pPr>
            <w:r>
              <w:rPr>
                <w:sz w:val="17"/>
              </w:rPr>
              <w:t xml:space="preserve">M</w:t>
            </w:r>
          </w:p>
        </w:tc>
        <w:tc>
          <w:tcPr/>
          <w:p>
            <w:pPr>
              <w:pStyle w:val="Compact"/>
            </w:pPr>
            <w:r>
              <w:rPr>
                <w:sz w:val="17"/>
              </w:rPr>
              <w:t xml:space="preserve">C</w:t>
            </w:r>
          </w:p>
        </w:tc>
      </w:tr>
      <w:tr>
        <w:tc>
          <w:tcPr>
            <w:shd w:val="clear" w:color="auto" w:fill="F5F7FB"/>
          </w:tcPr>
          <w:p>
            <w:pPr>
              <w:pStyle w:val="Compact"/>
            </w:pPr>
            <w:r>
              <w:rPr>
                <w:rStyle w:val="VerbatimChar"/>
                <w:sz w:val="17"/>
              </w:rPr>
              <w:t xml:space="preserve">payment.reversed</w:t>
            </w:r>
          </w:p>
        </w:tc>
        <w:tc>
          <w:tcPr>
            <w:shd w:val="clear" w:color="auto" w:fill="F5F7FB"/>
          </w:tcPr>
          <w:p>
            <w:pPr>
              <w:pStyle w:val="Compact"/>
            </w:pPr>
            <w:r>
              <w:rPr>
                <w:sz w:val="17"/>
              </w:rPr>
              <w:t xml:space="preserve">Paiement contrepassé</w:t>
            </w:r>
          </w:p>
        </w:tc>
        <w:tc>
          <w:tcPr>
            <w:shd w:val="clear" w:color="auto" w:fill="F5F7FB"/>
          </w:tcPr>
          <w:p>
            <w:pPr>
              <w:pStyle w:val="Compact"/>
            </w:pPr>
            <w:r>
              <w:rPr>
                <w:sz w:val="17"/>
              </w:rPr>
              <w:t xml:space="preserve">Paiement {{ref_paiement}} contrepassé</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EASC</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C</w:t>
            </w:r>
          </w:p>
        </w:tc>
      </w:tr>
      <w:tr>
        <w:tc>
          <w:tcPr/>
          <w:p>
            <w:pPr>
              <w:pStyle w:val="Compact"/>
            </w:pPr>
            <w:r>
              <w:rPr>
                <w:rStyle w:val="VerbatimChar"/>
                <w:sz w:val="17"/>
              </w:rPr>
              <w:t xml:space="preserve">payment.disputed</w:t>
            </w:r>
          </w:p>
        </w:tc>
        <w:tc>
          <w:tcPr/>
          <w:p>
            <w:pPr>
              <w:pStyle w:val="Compact"/>
            </w:pPr>
            <w:r>
              <w:rPr>
                <w:sz w:val="17"/>
              </w:rPr>
              <w:t xml:space="preserve">Paiement contesté</w:t>
            </w:r>
          </w:p>
        </w:tc>
        <w:tc>
          <w:tcPr/>
          <w:p>
            <w:pPr>
              <w:pStyle w:val="Compact"/>
            </w:pPr>
            <w:r>
              <w:rPr>
                <w:sz w:val="17"/>
              </w:rPr>
              <w:t xml:space="preserve">Contestation de paiement enregistrée</w:t>
            </w:r>
          </w:p>
        </w:tc>
        <w:tc>
          <w:tcPr/>
          <w:p>
            <w:pPr>
              <w:pStyle w:val="Compact"/>
            </w:pPr>
            <w:r>
              <w:rPr>
                <w:sz w:val="17"/>
              </w:rPr>
              <w:t xml:space="preserve">warning</w:t>
            </w:r>
          </w:p>
        </w:tc>
        <w:tc>
          <w:tcPr/>
          <w:p>
            <w:pPr>
              <w:pStyle w:val="Compact"/>
            </w:pPr>
            <w:r>
              <w:rPr>
                <w:sz w:val="17"/>
              </w:rPr>
              <w:t xml:space="preserve">EA</w:t>
            </w:r>
          </w:p>
        </w:tc>
        <w:tc>
          <w:tcPr/>
          <w:p>
            <w:pPr>
              <w:pStyle w:val="Compact"/>
            </w:pPr>
            <w:r>
              <w:rPr>
                <w:sz w:val="17"/>
              </w:rPr>
              <w:t xml:space="preserve">M</w:t>
            </w:r>
          </w:p>
        </w:tc>
        <w:tc>
          <w:tcPr/>
          <w:p>
            <w:pPr>
              <w:pStyle w:val="Compact"/>
            </w:pPr>
            <w:r>
              <w:rPr>
                <w:sz w:val="17"/>
              </w:rPr>
              <w:t xml:space="preserve">C</w:t>
            </w:r>
          </w:p>
        </w:tc>
      </w:tr>
      <w:tr>
        <w:tc>
          <w:tcPr>
            <w:shd w:val="clear" w:color="auto" w:fill="F5F7FB"/>
          </w:tcPr>
          <w:p>
            <w:pPr>
              <w:pStyle w:val="Compact"/>
            </w:pPr>
            <w:r>
              <w:rPr>
                <w:rStyle w:val="VerbatimChar"/>
                <w:sz w:val="17"/>
              </w:rPr>
              <w:t xml:space="preserve">payment.partial</w:t>
            </w:r>
          </w:p>
        </w:tc>
        <w:tc>
          <w:tcPr>
            <w:shd w:val="clear" w:color="auto" w:fill="F5F7FB"/>
          </w:tcPr>
          <w:p>
            <w:pPr>
              <w:pStyle w:val="Compact"/>
            </w:pPr>
            <w:r>
              <w:rPr>
                <w:sz w:val="17"/>
              </w:rPr>
              <w:t xml:space="preserve">Paiement partiel</w:t>
            </w:r>
          </w:p>
        </w:tc>
        <w:tc>
          <w:tcPr>
            <w:shd w:val="clear" w:color="auto" w:fill="F5F7FB"/>
          </w:tcPr>
          <w:p>
            <w:pPr>
              <w:pStyle w:val="Compact"/>
            </w:pPr>
            <w:r>
              <w:rPr>
                <w:sz w:val="17"/>
              </w:rPr>
              <w:t xml:space="preserve">Paiement partiel reçu — reste {{solde}}</w:t>
            </w:r>
          </w:p>
        </w:tc>
        <w:tc>
          <w:tcPr>
            <w:shd w:val="clear" w:color="auto" w:fill="F5F7FB"/>
          </w:tcPr>
          <w:p>
            <w:pPr>
              <w:pStyle w:val="Compact"/>
            </w:pPr>
            <w:r>
              <w:rPr>
                <w:sz w:val="17"/>
              </w:rPr>
              <w:t xml:space="preserve">info</w:t>
            </w:r>
          </w:p>
        </w:tc>
        <w:tc>
          <w:tcPr>
            <w:shd w:val="clear" w:color="auto" w:fill="F5F7FB"/>
          </w:tcPr>
          <w:p>
            <w:pPr>
              <w:pStyle w:val="Compact"/>
            </w:pPr>
            <w:r>
              <w:rPr>
                <w:sz w:val="17"/>
              </w:rPr>
              <w:t xml:space="preserve">EAS+W</w:t>
            </w:r>
          </w:p>
        </w:tc>
        <w:tc>
          <w:tcPr>
            <w:shd w:val="clear" w:color="auto" w:fill="F5F7FB"/>
          </w:tcPr>
          <w:p>
            <w:pPr>
              <w:pStyle w:val="Compact"/>
            </w:pPr>
          </w:p>
        </w:tc>
        <w:tc>
          <w:tcPr>
            <w:shd w:val="clear" w:color="auto" w:fill="F5F7FB"/>
          </w:tcPr>
          <w:p>
            <w:pPr>
              <w:pStyle w:val="Compact"/>
            </w:pPr>
            <w:r>
              <w:rPr>
                <w:sz w:val="17"/>
              </w:rPr>
              <w:t xml:space="preserve">C</w:t>
            </w:r>
          </w:p>
        </w:tc>
      </w:tr>
      <w:tr>
        <w:tc>
          <w:tcPr/>
          <w:p>
            <w:pPr>
              <w:pStyle w:val="Compact"/>
            </w:pPr>
            <w:r>
              <w:rPr>
                <w:rStyle w:val="VerbatimChar"/>
                <w:sz w:val="17"/>
              </w:rPr>
              <w:t xml:space="preserve">payment.currency_converted</w:t>
            </w:r>
          </w:p>
        </w:tc>
        <w:tc>
          <w:tcPr/>
          <w:p>
            <w:pPr>
              <w:pStyle w:val="Compact"/>
            </w:pPr>
            <w:r>
              <w:rPr>
                <w:sz w:val="17"/>
              </w:rPr>
              <w:t xml:space="preserve">Conversion de devise appliquée</w:t>
            </w:r>
          </w:p>
        </w:tc>
        <w:tc>
          <w:tcPr/>
          <w:p>
            <w:pPr>
              <w:pStyle w:val="Compact"/>
            </w:pPr>
            <w:r>
              <w:rPr>
                <w:sz w:val="17"/>
              </w:rPr>
              <w:t xml:space="preserve">Paiement en {{devise_paiement}} converti au taux officiel du {{date}}</w:t>
            </w:r>
          </w:p>
        </w:tc>
        <w:tc>
          <w:tcPr/>
          <w:p>
            <w:pPr>
              <w:pStyle w:val="Compact"/>
            </w:pPr>
            <w:r>
              <w:rPr>
                <w:sz w:val="17"/>
              </w:rPr>
              <w:t xml:space="preserve">info</w:t>
            </w:r>
          </w:p>
        </w:tc>
        <w:tc>
          <w:tcPr/>
          <w:p>
            <w:pPr>
              <w:pStyle w:val="Compact"/>
            </w:pPr>
            <w:r>
              <w:rPr>
                <w:sz w:val="17"/>
              </w:rPr>
              <w:t xml:space="preserve">EA+W</w:t>
            </w:r>
          </w:p>
        </w:tc>
        <w:tc>
          <w:tcPr/>
          <w:p>
            <w:pPr>
              <w:pStyle w:val="Compact"/>
            </w:pPr>
          </w:p>
        </w:tc>
        <w:tc>
          <w:tcPr/>
          <w:p>
            <w:pPr>
              <w:pStyle w:val="Compact"/>
            </w:pPr>
            <w:r>
              <w:rPr>
                <w:sz w:val="17"/>
              </w:rPr>
              <w:t xml:space="preserve">C</w:t>
            </w:r>
          </w:p>
        </w:tc>
      </w:tr>
      <w:tr>
        <w:tc>
          <w:tcPr>
            <w:shd w:val="clear" w:color="auto" w:fill="F5F7FB"/>
          </w:tcPr>
          <w:p>
            <w:pPr>
              <w:pStyle w:val="Compact"/>
            </w:pPr>
            <w:r>
              <w:rPr>
                <w:rStyle w:val="VerbatimChar"/>
                <w:sz w:val="17"/>
              </w:rPr>
              <w:t xml:space="preserve">refund.requested</w:t>
            </w:r>
          </w:p>
        </w:tc>
        <w:tc>
          <w:tcPr>
            <w:shd w:val="clear" w:color="auto" w:fill="F5F7FB"/>
          </w:tcPr>
          <w:p>
            <w:pPr>
              <w:pStyle w:val="Compact"/>
            </w:pPr>
            <w:r>
              <w:rPr>
                <w:sz w:val="17"/>
              </w:rPr>
              <w:t xml:space="preserve">Remboursement demandé</w:t>
            </w:r>
          </w:p>
        </w:tc>
        <w:tc>
          <w:tcPr>
            <w:shd w:val="clear" w:color="auto" w:fill="F5F7FB"/>
          </w:tcPr>
          <w:p>
            <w:pPr>
              <w:pStyle w:val="Compact"/>
            </w:pPr>
            <w:r>
              <w:rPr>
                <w:sz w:val="17"/>
              </w:rPr>
              <w:t xml:space="preserve">Demande de remboursement reçue</w:t>
            </w:r>
          </w:p>
        </w:tc>
        <w:tc>
          <w:tcPr>
            <w:shd w:val="clear" w:color="auto" w:fill="F5F7FB"/>
          </w:tcPr>
          <w:p>
            <w:pPr>
              <w:pStyle w:val="Compact"/>
            </w:pPr>
            <w:r>
              <w:rPr>
                <w:sz w:val="17"/>
              </w:rPr>
              <w:t xml:space="preserve">info</w:t>
            </w:r>
          </w:p>
        </w:tc>
        <w:tc>
          <w:tcPr>
            <w:shd w:val="clear" w:color="auto" w:fill="F5F7FB"/>
          </w:tcPr>
          <w:p>
            <w:pPr>
              <w:pStyle w:val="Compact"/>
            </w:pPr>
            <w:r>
              <w:rPr>
                <w:sz w:val="17"/>
              </w:rPr>
              <w:t xml:space="preserve">EA+W</w:t>
            </w:r>
          </w:p>
        </w:tc>
        <w:tc>
          <w:tcPr>
            <w:shd w:val="clear" w:color="auto" w:fill="F5F7FB"/>
          </w:tcPr>
          <w:p>
            <w:pPr>
              <w:pStyle w:val="Compact"/>
            </w:pPr>
          </w:p>
        </w:tc>
        <w:tc>
          <w:tcPr>
            <w:shd w:val="clear" w:color="auto" w:fill="F5F7FB"/>
          </w:tcPr>
          <w:p>
            <w:pPr>
              <w:pStyle w:val="Compact"/>
            </w:pPr>
            <w:r>
              <w:rPr>
                <w:sz w:val="17"/>
              </w:rPr>
              <w:t xml:space="preserve">C</w:t>
            </w:r>
          </w:p>
        </w:tc>
      </w:tr>
      <w:tr>
        <w:tc>
          <w:tcPr/>
          <w:p>
            <w:pPr>
              <w:pStyle w:val="Compact"/>
            </w:pPr>
            <w:r>
              <w:rPr>
                <w:rStyle w:val="VerbatimChar"/>
                <w:sz w:val="17"/>
              </w:rPr>
              <w:t xml:space="preserve">refund.approved</w:t>
            </w:r>
          </w:p>
        </w:tc>
        <w:tc>
          <w:tcPr/>
          <w:p>
            <w:pPr>
              <w:pStyle w:val="Compact"/>
            </w:pPr>
            <w:r>
              <w:rPr>
                <w:sz w:val="17"/>
              </w:rPr>
              <w:t xml:space="preserve">Remboursement approuvé</w:t>
            </w:r>
          </w:p>
        </w:tc>
        <w:tc>
          <w:tcPr/>
          <w:p>
            <w:pPr>
              <w:pStyle w:val="Compact"/>
            </w:pPr>
            <w:r>
              <w:rPr>
                <w:sz w:val="17"/>
              </w:rPr>
              <w:t xml:space="preserve">Remboursement de {{montant}} approuvé</w:t>
            </w:r>
          </w:p>
        </w:tc>
        <w:tc>
          <w:tcPr/>
          <w:p>
            <w:pPr>
              <w:pStyle w:val="Compact"/>
            </w:pPr>
            <w:r>
              <w:rPr>
                <w:sz w:val="17"/>
              </w:rPr>
              <w:t xml:space="preserve">success</w:t>
            </w:r>
          </w:p>
        </w:tc>
        <w:tc>
          <w:tcPr/>
          <w:p>
            <w:pPr>
              <w:pStyle w:val="Compact"/>
            </w:pPr>
            <w:r>
              <w:rPr>
                <w:sz w:val="17"/>
              </w:rPr>
              <w:t xml:space="preserve">EAS</w:t>
            </w:r>
          </w:p>
        </w:tc>
        <w:tc>
          <w:tcPr/>
          <w:p>
            <w:pPr>
              <w:pStyle w:val="Compact"/>
            </w:pPr>
            <w:r>
              <w:rPr>
                <w:sz w:val="17"/>
              </w:rPr>
              <w:t xml:space="preserve">M</w:t>
            </w:r>
          </w:p>
        </w:tc>
        <w:tc>
          <w:tcPr/>
          <w:p>
            <w:pPr>
              <w:pStyle w:val="Compact"/>
            </w:pPr>
            <w:r>
              <w:rPr>
                <w:sz w:val="17"/>
              </w:rPr>
              <w:t xml:space="preserve">C</w:t>
            </w:r>
          </w:p>
        </w:tc>
      </w:tr>
      <w:tr>
        <w:tc>
          <w:tcPr>
            <w:shd w:val="clear" w:color="auto" w:fill="F5F7FB"/>
          </w:tcPr>
          <w:p>
            <w:pPr>
              <w:pStyle w:val="Compact"/>
            </w:pPr>
            <w:r>
              <w:rPr>
                <w:rStyle w:val="VerbatimChar"/>
                <w:sz w:val="17"/>
              </w:rPr>
              <w:t xml:space="preserve">refund.paid</w:t>
            </w:r>
          </w:p>
        </w:tc>
        <w:tc>
          <w:tcPr>
            <w:shd w:val="clear" w:color="auto" w:fill="F5F7FB"/>
          </w:tcPr>
          <w:p>
            <w:pPr>
              <w:pStyle w:val="Compact"/>
            </w:pPr>
            <w:r>
              <w:rPr>
                <w:sz w:val="17"/>
              </w:rPr>
              <w:t xml:space="preserve">Remboursement versé</w:t>
            </w:r>
          </w:p>
        </w:tc>
        <w:tc>
          <w:tcPr>
            <w:shd w:val="clear" w:color="auto" w:fill="F5F7FB"/>
          </w:tcPr>
          <w:p>
            <w:pPr>
              <w:pStyle w:val="Compact"/>
            </w:pPr>
            <w:r>
              <w:rPr>
                <w:sz w:val="17"/>
              </w:rPr>
              <w:t xml:space="preserve">Remboursement de {{montant}} versé</w:t>
            </w:r>
          </w:p>
        </w:tc>
        <w:tc>
          <w:tcPr>
            <w:shd w:val="clear" w:color="auto" w:fill="F5F7FB"/>
          </w:tcPr>
          <w:p>
            <w:pPr>
              <w:pStyle w:val="Compact"/>
            </w:pPr>
            <w:r>
              <w:rPr>
                <w:sz w:val="17"/>
              </w:rPr>
              <w:t xml:space="preserve">success</w:t>
            </w:r>
          </w:p>
        </w:tc>
        <w:tc>
          <w:tcPr>
            <w:shd w:val="clear" w:color="auto" w:fill="F5F7FB"/>
          </w:tcPr>
          <w:p>
            <w:pPr>
              <w:pStyle w:val="Compact"/>
            </w:pPr>
            <w:r>
              <w:rPr>
                <w:sz w:val="17"/>
              </w:rPr>
              <w:t xml:space="preserve">EAS</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C</w:t>
            </w:r>
          </w:p>
        </w:tc>
      </w:tr>
      <w:tr>
        <w:tc>
          <w:tcPr/>
          <w:p>
            <w:pPr>
              <w:pStyle w:val="Compact"/>
            </w:pPr>
            <w:r>
              <w:rPr>
                <w:rStyle w:val="VerbatimChar"/>
                <w:sz w:val="17"/>
              </w:rPr>
              <w:t xml:space="preserve">refund.refused</w:t>
            </w:r>
          </w:p>
        </w:tc>
        <w:tc>
          <w:tcPr/>
          <w:p>
            <w:pPr>
              <w:pStyle w:val="Compact"/>
            </w:pPr>
            <w:r>
              <w:rPr>
                <w:sz w:val="17"/>
              </w:rPr>
              <w:t xml:space="preserve">Remboursement refusé</w:t>
            </w:r>
          </w:p>
        </w:tc>
        <w:tc>
          <w:tcPr/>
          <w:p>
            <w:pPr>
              <w:pStyle w:val="Compact"/>
            </w:pPr>
            <w:r>
              <w:rPr>
                <w:sz w:val="17"/>
              </w:rPr>
              <w:t xml:space="preserve">Remboursement refusé — motif et recours</w:t>
            </w:r>
          </w:p>
        </w:tc>
        <w:tc>
          <w:tcPr/>
          <w:p>
            <w:pPr>
              <w:pStyle w:val="Compact"/>
            </w:pPr>
            <w:r>
              <w:rPr>
                <w:sz w:val="17"/>
              </w:rPr>
              <w:t xml:space="preserve">warning</w:t>
            </w:r>
          </w:p>
        </w:tc>
        <w:tc>
          <w:tcPr/>
          <w:p>
            <w:pPr>
              <w:pStyle w:val="Compact"/>
            </w:pPr>
            <w:r>
              <w:rPr>
                <w:sz w:val="17"/>
              </w:rPr>
              <w:t xml:space="preserve">EASC</w:t>
            </w:r>
          </w:p>
        </w:tc>
        <w:tc>
          <w:tcPr/>
          <w:p>
            <w:pPr>
              <w:pStyle w:val="Compact"/>
            </w:pPr>
            <w:r>
              <w:rPr>
                <w:sz w:val="17"/>
              </w:rPr>
              <w:t xml:space="preserve">M</w:t>
            </w:r>
          </w:p>
        </w:tc>
        <w:tc>
          <w:tcPr/>
          <w:p>
            <w:pPr>
              <w:pStyle w:val="Compact"/>
            </w:pPr>
            <w:r>
              <w:rPr>
                <w:sz w:val="17"/>
              </w:rPr>
              <w:t xml:space="preserve">C</w:t>
            </w:r>
          </w:p>
        </w:tc>
      </w:tr>
      <w:tr>
        <w:tc>
          <w:tcPr>
            <w:shd w:val="clear" w:color="auto" w:fill="F5F7FB"/>
          </w:tcPr>
          <w:p>
            <w:pPr>
              <w:pStyle w:val="Compact"/>
            </w:pPr>
            <w:r>
              <w:rPr>
                <w:rStyle w:val="VerbatimChar"/>
                <w:sz w:val="17"/>
              </w:rPr>
              <w:t xml:space="preserve">payment_point.cash_receipt</w:t>
            </w:r>
          </w:p>
        </w:tc>
        <w:tc>
          <w:tcPr>
            <w:shd w:val="clear" w:color="auto" w:fill="F5F7FB"/>
          </w:tcPr>
          <w:p>
            <w:pPr>
              <w:pStyle w:val="Compact"/>
            </w:pPr>
            <w:r>
              <w:rPr>
                <w:sz w:val="17"/>
              </w:rPr>
              <w:t xml:space="preserve">Encaissement au point agréé</w:t>
            </w:r>
          </w:p>
        </w:tc>
        <w:tc>
          <w:tcPr>
            <w:shd w:val="clear" w:color="auto" w:fill="F5F7FB"/>
          </w:tcPr>
          <w:p>
            <w:pPr>
              <w:pStyle w:val="Compact"/>
            </w:pPr>
            <w:r>
              <w:rPr>
                <w:sz w:val="17"/>
              </w:rPr>
              <w:t xml:space="preserve">Reçu provisoire {{ref_paiement}} — quittance à suivre</w:t>
            </w:r>
          </w:p>
        </w:tc>
        <w:tc>
          <w:tcPr>
            <w:shd w:val="clear" w:color="auto" w:fill="F5F7FB"/>
          </w:tcPr>
          <w:p>
            <w:pPr>
              <w:pStyle w:val="Compact"/>
            </w:pPr>
            <w:r>
              <w:rPr>
                <w:sz w:val="17"/>
              </w:rPr>
              <w:t xml:space="preserve">info</w:t>
            </w:r>
          </w:p>
        </w:tc>
        <w:tc>
          <w:tcPr>
            <w:shd w:val="clear" w:color="auto" w:fill="F5F7FB"/>
          </w:tcPr>
          <w:p>
            <w:pPr>
              <w:pStyle w:val="Compact"/>
            </w:pPr>
            <w:r>
              <w:rPr>
                <w:sz w:val="17"/>
              </w:rPr>
              <w:t xml:space="preserve">SU</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C</w:t>
            </w:r>
          </w:p>
        </w:tc>
      </w:tr>
    </w:tbl>
    <w:bookmarkEnd w:id="592"/>
    <w:bookmarkStart w:id="593" w:name="g.9-quittances-et-quitus"/>
    <w:p>
      <w:pPr>
        <w:pStyle w:val="Heading2"/>
      </w:pPr>
      <w:r>
        <w:t xml:space="preserve">G.9 Quittances et quitus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shd w:val="clear" w:color="auto" w:fill="232C6B"/>
          </w:tcPr>
          <w:p>
            <w:pPr>
              <w:pStyle w:val="Compact"/>
            </w:pPr>
            <w:r>
              <w:rPr>
                <w:b/>
                <w:color w:val="FFFFFF"/>
                <w:sz w:val="17"/>
              </w:rPr>
              <w:t xml:space="preserve">Code</w:t>
            </w:r>
          </w:p>
        </w:tc>
        <w:tc>
          <w:tcPr>
            <w:shd w:val="clear" w:color="auto" w:fill="232C6B"/>
          </w:tcPr>
          <w:p>
            <w:pPr>
              <w:pStyle w:val="Compact"/>
            </w:pPr>
            <w:r>
              <w:rPr>
                <w:b/>
                <w:color w:val="FFFFFF"/>
                <w:sz w:val="17"/>
              </w:rPr>
              <w:t xml:space="preserve">Événement</w:t>
            </w:r>
          </w:p>
        </w:tc>
        <w:tc>
          <w:tcPr>
            <w:shd w:val="clear" w:color="auto" w:fill="232C6B"/>
          </w:tcPr>
          <w:p>
            <w:pPr>
              <w:pStyle w:val="Compact"/>
            </w:pPr>
            <w:r>
              <w:rPr>
                <w:b/>
                <w:color w:val="FFFFFF"/>
                <w:sz w:val="17"/>
              </w:rPr>
              <w:t xml:space="preserve">Objet du message (fr)</w:t>
            </w:r>
          </w:p>
        </w:tc>
        <w:tc>
          <w:tcPr>
            <w:shd w:val="clear" w:color="auto" w:fill="232C6B"/>
          </w:tcPr>
          <w:p>
            <w:pPr>
              <w:pStyle w:val="Compact"/>
            </w:pPr>
            <w:r>
              <w:rPr>
                <w:b/>
                <w:color w:val="FFFFFF"/>
                <w:sz w:val="17"/>
              </w:rPr>
              <w:t xml:space="preserve">Gravité</w:t>
            </w:r>
          </w:p>
        </w:tc>
        <w:tc>
          <w:tcPr>
            <w:shd w:val="clear" w:color="auto" w:fill="232C6B"/>
          </w:tcPr>
          <w:p>
            <w:pPr>
              <w:pStyle w:val="Compact"/>
            </w:pPr>
            <w:r>
              <w:rPr>
                <w:b/>
                <w:color w:val="FFFFFF"/>
                <w:sz w:val="17"/>
              </w:rPr>
              <w:t xml:space="preserve">Canaux</w:t>
            </w:r>
          </w:p>
        </w:tc>
        <w:tc>
          <w:tcPr>
            <w:shd w:val="clear" w:color="auto" w:fill="232C6B"/>
          </w:tcPr>
          <w:p>
            <w:pPr>
              <w:pStyle w:val="Compact"/>
            </w:pPr>
            <w:r>
              <w:rPr>
                <w:b/>
                <w:color w:val="FFFFFF"/>
                <w:sz w:val="17"/>
              </w:rPr>
              <w:t xml:space="preserve">M</w:t>
            </w:r>
          </w:p>
        </w:tc>
        <w:tc>
          <w:tcPr>
            <w:shd w:val="clear" w:color="auto" w:fill="232C6B"/>
          </w:tcPr>
          <w:p>
            <w:pPr>
              <w:pStyle w:val="Compact"/>
            </w:pPr>
            <w:r>
              <w:rPr>
                <w:b/>
                <w:color w:val="FFFFFF"/>
                <w:sz w:val="17"/>
              </w:rPr>
              <w:t xml:space="preserve">Public</w:t>
            </w:r>
          </w:p>
        </w:tc>
      </w:tr>
      <w:tr>
        <w:tc>
          <w:tcPr/>
          <w:p>
            <w:pPr>
              <w:pStyle w:val="Compact"/>
            </w:pPr>
            <w:r>
              <w:rPr>
                <w:rStyle w:val="VerbatimChar"/>
                <w:sz w:val="17"/>
              </w:rPr>
              <w:t xml:space="preserve">receipt.issued_provisional</w:t>
            </w:r>
          </w:p>
        </w:tc>
        <w:tc>
          <w:tcPr/>
          <w:p>
            <w:pPr>
              <w:pStyle w:val="Compact"/>
            </w:pPr>
            <w:r>
              <w:rPr>
                <w:sz w:val="17"/>
              </w:rPr>
              <w:t xml:space="preserve">Quittance provisoire émise</w:t>
            </w:r>
          </w:p>
        </w:tc>
        <w:tc>
          <w:tcPr/>
          <w:p>
            <w:pPr>
              <w:pStyle w:val="Compact"/>
            </w:pPr>
            <w:r>
              <w:rPr>
                <w:sz w:val="17"/>
              </w:rPr>
              <w:t xml:space="preserve">Quittance {{numero}} — en attente de règlement</w:t>
            </w:r>
          </w:p>
        </w:tc>
        <w:tc>
          <w:tcPr/>
          <w:p>
            <w:pPr>
              <w:pStyle w:val="Compact"/>
            </w:pPr>
            <w:r>
              <w:rPr>
                <w:sz w:val="17"/>
              </w:rPr>
              <w:t xml:space="preserve">info</w:t>
            </w:r>
          </w:p>
        </w:tc>
        <w:tc>
          <w:tcPr/>
          <w:p>
            <w:pPr>
              <w:pStyle w:val="Compact"/>
            </w:pPr>
            <w:r>
              <w:rPr>
                <w:sz w:val="17"/>
              </w:rPr>
              <w:t xml:space="preserve">EASU</w:t>
            </w:r>
          </w:p>
        </w:tc>
        <w:tc>
          <w:tcPr/>
          <w:p>
            <w:pPr>
              <w:pStyle w:val="Compact"/>
            </w:pPr>
            <w:r>
              <w:rPr>
                <w:sz w:val="17"/>
              </w:rPr>
              <w:t xml:space="preserve">M</w:t>
            </w:r>
          </w:p>
        </w:tc>
        <w:tc>
          <w:tcPr/>
          <w:p>
            <w:pPr>
              <w:pStyle w:val="Compact"/>
            </w:pPr>
            <w:r>
              <w:rPr>
                <w:sz w:val="17"/>
              </w:rPr>
              <w:t xml:space="preserve">C</w:t>
            </w:r>
          </w:p>
        </w:tc>
      </w:tr>
      <w:tr>
        <w:tc>
          <w:tcPr>
            <w:shd w:val="clear" w:color="auto" w:fill="F5F7FB"/>
          </w:tcPr>
          <w:p>
            <w:pPr>
              <w:pStyle w:val="Compact"/>
            </w:pPr>
            <w:r>
              <w:rPr>
                <w:rStyle w:val="VerbatimChar"/>
                <w:sz w:val="17"/>
              </w:rPr>
              <w:t xml:space="preserve">receipt.finalized</w:t>
            </w:r>
          </w:p>
        </w:tc>
        <w:tc>
          <w:tcPr>
            <w:shd w:val="clear" w:color="auto" w:fill="F5F7FB"/>
          </w:tcPr>
          <w:p>
            <w:pPr>
              <w:pStyle w:val="Compact"/>
            </w:pPr>
            <w:r>
              <w:rPr>
                <w:sz w:val="17"/>
              </w:rPr>
              <w:t xml:space="preserve">Quittance définitive</w:t>
            </w:r>
          </w:p>
        </w:tc>
        <w:tc>
          <w:tcPr>
            <w:shd w:val="clear" w:color="auto" w:fill="F5F7FB"/>
          </w:tcPr>
          <w:p>
            <w:pPr>
              <w:pStyle w:val="Compact"/>
            </w:pPr>
            <w:r>
              <w:rPr>
                <w:sz w:val="17"/>
              </w:rPr>
              <w:t xml:space="preserve">Quittance {{numero}} définitive</w:t>
            </w:r>
          </w:p>
        </w:tc>
        <w:tc>
          <w:tcPr>
            <w:shd w:val="clear" w:color="auto" w:fill="F5F7FB"/>
          </w:tcPr>
          <w:p>
            <w:pPr>
              <w:pStyle w:val="Compact"/>
            </w:pPr>
            <w:r>
              <w:rPr>
                <w:sz w:val="17"/>
              </w:rPr>
              <w:t xml:space="preserve">success</w:t>
            </w:r>
          </w:p>
        </w:tc>
        <w:tc>
          <w:tcPr>
            <w:shd w:val="clear" w:color="auto" w:fill="F5F7FB"/>
          </w:tcPr>
          <w:p>
            <w:pPr>
              <w:pStyle w:val="Compact"/>
            </w:pPr>
            <w:r>
              <w:rPr>
                <w:sz w:val="17"/>
              </w:rPr>
              <w:t xml:space="preserve">EA</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C</w:t>
            </w:r>
          </w:p>
        </w:tc>
      </w:tr>
      <w:tr>
        <w:tc>
          <w:tcPr/>
          <w:p>
            <w:pPr>
              <w:pStyle w:val="Compact"/>
            </w:pPr>
            <w:r>
              <w:rPr>
                <w:rStyle w:val="VerbatimChar"/>
                <w:sz w:val="17"/>
              </w:rPr>
              <w:t xml:space="preserve">receipt.cancelled</w:t>
            </w:r>
          </w:p>
        </w:tc>
        <w:tc>
          <w:tcPr/>
          <w:p>
            <w:pPr>
              <w:pStyle w:val="Compact"/>
            </w:pPr>
            <w:r>
              <w:rPr>
                <w:sz w:val="17"/>
              </w:rPr>
              <w:t xml:space="preserve">Quittance annulée</w:t>
            </w:r>
          </w:p>
        </w:tc>
        <w:tc>
          <w:tcPr/>
          <w:p>
            <w:pPr>
              <w:pStyle w:val="Compact"/>
            </w:pPr>
            <w:r>
              <w:rPr>
                <w:sz w:val="17"/>
              </w:rPr>
              <w:t xml:space="preserve">Quittance {{numero}} annulée — motif</w:t>
            </w:r>
          </w:p>
        </w:tc>
        <w:tc>
          <w:tcPr/>
          <w:p>
            <w:pPr>
              <w:pStyle w:val="Compact"/>
            </w:pPr>
            <w:r>
              <w:rPr>
                <w:sz w:val="17"/>
              </w:rPr>
              <w:t xml:space="preserve">warning</w:t>
            </w:r>
          </w:p>
        </w:tc>
        <w:tc>
          <w:tcPr/>
          <w:p>
            <w:pPr>
              <w:pStyle w:val="Compact"/>
            </w:pPr>
            <w:r>
              <w:rPr>
                <w:sz w:val="17"/>
              </w:rPr>
              <w:t xml:space="preserve">EASC</w:t>
            </w:r>
          </w:p>
        </w:tc>
        <w:tc>
          <w:tcPr/>
          <w:p>
            <w:pPr>
              <w:pStyle w:val="Compact"/>
            </w:pPr>
            <w:r>
              <w:rPr>
                <w:sz w:val="17"/>
              </w:rPr>
              <w:t xml:space="preserve">M</w:t>
            </w:r>
          </w:p>
        </w:tc>
        <w:tc>
          <w:tcPr/>
          <w:p>
            <w:pPr>
              <w:pStyle w:val="Compact"/>
            </w:pPr>
            <w:r>
              <w:rPr>
                <w:sz w:val="17"/>
              </w:rPr>
              <w:t xml:space="preserve">C</w:t>
            </w:r>
          </w:p>
        </w:tc>
      </w:tr>
      <w:tr>
        <w:tc>
          <w:tcPr>
            <w:shd w:val="clear" w:color="auto" w:fill="F5F7FB"/>
          </w:tcPr>
          <w:p>
            <w:pPr>
              <w:pStyle w:val="Compact"/>
            </w:pPr>
            <w:r>
              <w:rPr>
                <w:rStyle w:val="VerbatimChar"/>
                <w:sz w:val="17"/>
              </w:rPr>
              <w:t xml:space="preserve">receipt.replaced</w:t>
            </w:r>
          </w:p>
        </w:tc>
        <w:tc>
          <w:tcPr>
            <w:shd w:val="clear" w:color="auto" w:fill="F5F7FB"/>
          </w:tcPr>
          <w:p>
            <w:pPr>
              <w:pStyle w:val="Compact"/>
            </w:pPr>
            <w:r>
              <w:rPr>
                <w:sz w:val="17"/>
              </w:rPr>
              <w:t xml:space="preserve">Quittance remplacée</w:t>
            </w:r>
          </w:p>
        </w:tc>
        <w:tc>
          <w:tcPr>
            <w:shd w:val="clear" w:color="auto" w:fill="F5F7FB"/>
          </w:tcPr>
          <w:p>
            <w:pPr>
              <w:pStyle w:val="Compact"/>
            </w:pPr>
            <w:r>
              <w:rPr>
                <w:sz w:val="17"/>
              </w:rPr>
              <w:t xml:space="preserve">Quittance {{numero}} remplacée par {{nouveau_numero}}</w:t>
            </w:r>
          </w:p>
        </w:tc>
        <w:tc>
          <w:tcPr>
            <w:shd w:val="clear" w:color="auto" w:fill="F5F7FB"/>
          </w:tcPr>
          <w:p>
            <w:pPr>
              <w:pStyle w:val="Compact"/>
            </w:pPr>
            <w:r>
              <w:rPr>
                <w:sz w:val="17"/>
              </w:rPr>
              <w:t xml:space="preserve">info</w:t>
            </w:r>
          </w:p>
        </w:tc>
        <w:tc>
          <w:tcPr>
            <w:shd w:val="clear" w:color="auto" w:fill="F5F7FB"/>
          </w:tcPr>
          <w:p>
            <w:pPr>
              <w:pStyle w:val="Compact"/>
            </w:pPr>
            <w:r>
              <w:rPr>
                <w:sz w:val="17"/>
              </w:rPr>
              <w:t xml:space="preserve">EA</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C</w:t>
            </w:r>
          </w:p>
        </w:tc>
      </w:tr>
      <w:tr>
        <w:tc>
          <w:tcPr/>
          <w:p>
            <w:pPr>
              <w:pStyle w:val="Compact"/>
            </w:pPr>
            <w:r>
              <w:rPr>
                <w:rStyle w:val="VerbatimChar"/>
                <w:sz w:val="17"/>
              </w:rPr>
              <w:t xml:space="preserve">receipt.verification.fraud_suspected</w:t>
            </w:r>
          </w:p>
        </w:tc>
        <w:tc>
          <w:tcPr/>
          <w:p>
            <w:pPr>
              <w:pStyle w:val="Compact"/>
            </w:pPr>
            <w:r>
              <w:rPr>
                <w:sz w:val="17"/>
              </w:rPr>
              <w:t xml:space="preserve">Vérification : fraude suspectée</w:t>
            </w:r>
          </w:p>
        </w:tc>
        <w:tc>
          <w:tcPr/>
          <w:p>
            <w:pPr>
              <w:pStyle w:val="Compact"/>
            </w:pPr>
            <w:r>
              <w:rPr>
                <w:sz w:val="17"/>
              </w:rPr>
              <w:t xml:space="preserve">Une quittance à votre nom a été signalée</w:t>
            </w:r>
          </w:p>
        </w:tc>
        <w:tc>
          <w:tcPr/>
          <w:p>
            <w:pPr>
              <w:pStyle w:val="Compact"/>
            </w:pPr>
            <w:r>
              <w:rPr>
                <w:sz w:val="17"/>
              </w:rPr>
              <w:t xml:space="preserve">critical</w:t>
            </w:r>
          </w:p>
        </w:tc>
        <w:tc>
          <w:tcPr/>
          <w:p>
            <w:pPr>
              <w:pStyle w:val="Compact"/>
            </w:pPr>
            <w:r>
              <w:rPr>
                <w:sz w:val="17"/>
              </w:rPr>
              <w:t xml:space="preserve">EAS</w:t>
            </w:r>
          </w:p>
        </w:tc>
        <w:tc>
          <w:tcPr/>
          <w:p>
            <w:pPr>
              <w:pStyle w:val="Compact"/>
            </w:pPr>
            <w:r>
              <w:rPr>
                <w:sz w:val="17"/>
              </w:rPr>
              <w:t xml:space="preserve">M</w:t>
            </w:r>
          </w:p>
        </w:tc>
        <w:tc>
          <w:tcPr/>
          <w:p>
            <w:pPr>
              <w:pStyle w:val="Compact"/>
            </w:pPr>
            <w:r>
              <w:rPr>
                <w:sz w:val="17"/>
              </w:rPr>
              <w:t xml:space="preserve">C</w:t>
            </w:r>
          </w:p>
        </w:tc>
      </w:tr>
      <w:tr>
        <w:tc>
          <w:tcPr>
            <w:shd w:val="clear" w:color="auto" w:fill="F5F7FB"/>
          </w:tcPr>
          <w:p>
            <w:pPr>
              <w:pStyle w:val="Compact"/>
            </w:pPr>
            <w:r>
              <w:rPr>
                <w:rStyle w:val="VerbatimChar"/>
                <w:sz w:val="17"/>
              </w:rPr>
              <w:t xml:space="preserve">clearance.issued</w:t>
            </w:r>
          </w:p>
        </w:tc>
        <w:tc>
          <w:tcPr>
            <w:shd w:val="clear" w:color="auto" w:fill="F5F7FB"/>
          </w:tcPr>
          <w:p>
            <w:pPr>
              <w:pStyle w:val="Compact"/>
            </w:pPr>
            <w:r>
              <w:rPr>
                <w:sz w:val="17"/>
              </w:rPr>
              <w:t xml:space="preserve">Quitus fiscal délivré</w:t>
            </w:r>
          </w:p>
        </w:tc>
        <w:tc>
          <w:tcPr>
            <w:shd w:val="clear" w:color="auto" w:fill="F5F7FB"/>
          </w:tcPr>
          <w:p>
            <w:pPr>
              <w:pStyle w:val="Compact"/>
            </w:pPr>
            <w:r>
              <w:rPr>
                <w:sz w:val="17"/>
              </w:rPr>
              <w:t xml:space="preserve">Votre quitus fiscal est disponible</w:t>
            </w:r>
          </w:p>
        </w:tc>
        <w:tc>
          <w:tcPr>
            <w:shd w:val="clear" w:color="auto" w:fill="F5F7FB"/>
          </w:tcPr>
          <w:p>
            <w:pPr>
              <w:pStyle w:val="Compact"/>
            </w:pPr>
            <w:r>
              <w:rPr>
                <w:sz w:val="17"/>
              </w:rPr>
              <w:t xml:space="preserve">success</w:t>
            </w:r>
          </w:p>
        </w:tc>
        <w:tc>
          <w:tcPr>
            <w:shd w:val="clear" w:color="auto" w:fill="F5F7FB"/>
          </w:tcPr>
          <w:p>
            <w:pPr>
              <w:pStyle w:val="Compact"/>
            </w:pPr>
            <w:r>
              <w:rPr>
                <w:sz w:val="17"/>
              </w:rPr>
              <w:t xml:space="preserve">EAS+W</w:t>
            </w:r>
          </w:p>
        </w:tc>
        <w:tc>
          <w:tcPr>
            <w:shd w:val="clear" w:color="auto" w:fill="F5F7FB"/>
          </w:tcPr>
          <w:p>
            <w:pPr>
              <w:pStyle w:val="Compact"/>
            </w:pPr>
          </w:p>
        </w:tc>
        <w:tc>
          <w:tcPr>
            <w:shd w:val="clear" w:color="auto" w:fill="F5F7FB"/>
          </w:tcPr>
          <w:p>
            <w:pPr>
              <w:pStyle w:val="Compact"/>
            </w:pPr>
            <w:r>
              <w:rPr>
                <w:sz w:val="17"/>
              </w:rPr>
              <w:t xml:space="preserve">C</w:t>
            </w:r>
          </w:p>
        </w:tc>
      </w:tr>
      <w:tr>
        <w:tc>
          <w:tcPr/>
          <w:p>
            <w:pPr>
              <w:pStyle w:val="Compact"/>
            </w:pPr>
            <w:r>
              <w:rPr>
                <w:rStyle w:val="VerbatimChar"/>
                <w:sz w:val="17"/>
              </w:rPr>
              <w:t xml:space="preserve">clearance.expiring</w:t>
            </w:r>
          </w:p>
        </w:tc>
        <w:tc>
          <w:tcPr/>
          <w:p>
            <w:pPr>
              <w:pStyle w:val="Compact"/>
            </w:pPr>
            <w:r>
              <w:rPr>
                <w:sz w:val="17"/>
              </w:rPr>
              <w:t xml:space="preserve">Quitus bientôt expiré</w:t>
            </w:r>
          </w:p>
        </w:tc>
        <w:tc>
          <w:tcPr/>
          <w:p>
            <w:pPr>
              <w:pStyle w:val="Compact"/>
            </w:pPr>
            <w:r>
              <w:rPr>
                <w:sz w:val="17"/>
              </w:rPr>
              <w:t xml:space="preserve">Votre quitus expire le {{date}}</w:t>
            </w:r>
          </w:p>
        </w:tc>
        <w:tc>
          <w:tcPr/>
          <w:p>
            <w:pPr>
              <w:pStyle w:val="Compact"/>
            </w:pPr>
            <w:r>
              <w:rPr>
                <w:sz w:val="17"/>
              </w:rPr>
              <w:t xml:space="preserve">warning</w:t>
            </w:r>
          </w:p>
        </w:tc>
        <w:tc>
          <w:tcPr/>
          <w:p>
            <w:pPr>
              <w:pStyle w:val="Compact"/>
            </w:pPr>
            <w:r>
              <w:rPr>
                <w:sz w:val="17"/>
              </w:rPr>
              <w:t xml:space="preserve">EA+W</w:t>
            </w:r>
          </w:p>
        </w:tc>
        <w:tc>
          <w:tcPr/>
          <w:p>
            <w:pPr>
              <w:pStyle w:val="Compact"/>
            </w:pPr>
          </w:p>
        </w:tc>
        <w:tc>
          <w:tcPr/>
          <w:p>
            <w:pPr>
              <w:pStyle w:val="Compact"/>
            </w:pPr>
            <w:r>
              <w:rPr>
                <w:sz w:val="17"/>
              </w:rPr>
              <w:t xml:space="preserve">C</w:t>
            </w:r>
          </w:p>
        </w:tc>
      </w:tr>
      <w:tr>
        <w:tc>
          <w:tcPr>
            <w:shd w:val="clear" w:color="auto" w:fill="F5F7FB"/>
          </w:tcPr>
          <w:p>
            <w:pPr>
              <w:pStyle w:val="Compact"/>
            </w:pPr>
            <w:r>
              <w:rPr>
                <w:rStyle w:val="VerbatimChar"/>
                <w:sz w:val="17"/>
              </w:rPr>
              <w:t xml:space="preserve">clearance.revoked</w:t>
            </w:r>
          </w:p>
        </w:tc>
        <w:tc>
          <w:tcPr>
            <w:shd w:val="clear" w:color="auto" w:fill="F5F7FB"/>
          </w:tcPr>
          <w:p>
            <w:pPr>
              <w:pStyle w:val="Compact"/>
            </w:pPr>
            <w:r>
              <w:rPr>
                <w:sz w:val="17"/>
              </w:rPr>
              <w:t xml:space="preserve">Quitus suspendu</w:t>
            </w:r>
          </w:p>
        </w:tc>
        <w:tc>
          <w:tcPr>
            <w:shd w:val="clear" w:color="auto" w:fill="F5F7FB"/>
          </w:tcPr>
          <w:p>
            <w:pPr>
              <w:pStyle w:val="Compact"/>
            </w:pPr>
            <w:r>
              <w:rPr>
                <w:sz w:val="17"/>
              </w:rPr>
              <w:t xml:space="preserve">Votre quitus est suspendu — motif</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EASC</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C</w:t>
            </w:r>
          </w:p>
        </w:tc>
      </w:tr>
      <w:tr>
        <w:tc>
          <w:tcPr/>
          <w:p>
            <w:pPr>
              <w:pStyle w:val="Compact"/>
            </w:pPr>
            <w:r>
              <w:rPr>
                <w:rStyle w:val="VerbatimChar"/>
                <w:sz w:val="17"/>
              </w:rPr>
              <w:t xml:space="preserve">clearance.verified_by_service</w:t>
            </w:r>
          </w:p>
        </w:tc>
        <w:tc>
          <w:tcPr/>
          <w:p>
            <w:pPr>
              <w:pStyle w:val="Compact"/>
            </w:pPr>
            <w:r>
              <w:rPr>
                <w:sz w:val="17"/>
              </w:rPr>
              <w:t xml:space="preserve">Quitus vérifié par un service</w:t>
            </w:r>
          </w:p>
        </w:tc>
        <w:tc>
          <w:tcPr/>
          <w:p>
            <w:pPr>
              <w:pStyle w:val="Compact"/>
            </w:pPr>
            <w:r>
              <w:rPr>
                <w:sz w:val="17"/>
              </w:rPr>
              <w:t xml:space="preserve">Votre quitus a été vérifié par {{service}}</w:t>
            </w:r>
          </w:p>
        </w:tc>
        <w:tc>
          <w:tcPr/>
          <w:p>
            <w:pPr>
              <w:pStyle w:val="Compact"/>
            </w:pPr>
            <w:r>
              <w:rPr>
                <w:sz w:val="17"/>
              </w:rPr>
              <w:t xml:space="preserve">info</w:t>
            </w:r>
          </w:p>
        </w:tc>
        <w:tc>
          <w:tcPr/>
          <w:p>
            <w:pPr>
              <w:pStyle w:val="Compact"/>
            </w:pPr>
            <w:r>
              <w:rPr>
                <w:sz w:val="17"/>
              </w:rPr>
              <w:t xml:space="preserve">A+W</w:t>
            </w:r>
          </w:p>
        </w:tc>
        <w:tc>
          <w:tcPr/>
          <w:p>
            <w:pPr>
              <w:pStyle w:val="Compact"/>
            </w:pPr>
          </w:p>
        </w:tc>
        <w:tc>
          <w:tcPr/>
          <w:p>
            <w:pPr>
              <w:pStyle w:val="Compact"/>
            </w:pPr>
            <w:r>
              <w:rPr>
                <w:sz w:val="17"/>
              </w:rPr>
              <w:t xml:space="preserve">C</w:t>
            </w:r>
          </w:p>
        </w:tc>
      </w:tr>
      <w:tr>
        <w:tc>
          <w:tcPr>
            <w:shd w:val="clear" w:color="auto" w:fill="F5F7FB"/>
          </w:tcPr>
          <w:p>
            <w:pPr>
              <w:pStyle w:val="Compact"/>
            </w:pPr>
            <w:r>
              <w:rPr>
                <w:rStyle w:val="VerbatimChar"/>
                <w:sz w:val="17"/>
              </w:rPr>
              <w:t xml:space="preserve">receipt.reversed</w:t>
            </w:r>
          </w:p>
        </w:tc>
        <w:tc>
          <w:tcPr>
            <w:shd w:val="clear" w:color="auto" w:fill="F5F7FB"/>
          </w:tcPr>
          <w:p>
            <w:pPr>
              <w:pStyle w:val="Compact"/>
            </w:pPr>
            <w:r>
              <w:rPr>
                <w:sz w:val="17"/>
              </w:rPr>
              <w:t xml:space="preserve">Quittance contrepassée</w:t>
            </w:r>
          </w:p>
        </w:tc>
        <w:tc>
          <w:tcPr>
            <w:shd w:val="clear" w:color="auto" w:fill="F5F7FB"/>
          </w:tcPr>
          <w:p>
            <w:pPr>
              <w:pStyle w:val="Compact"/>
            </w:pPr>
            <w:r>
              <w:rPr>
                <w:sz w:val="17"/>
              </w:rPr>
              <w:t xml:space="preserve">Votre quittance {{reference}} n’est plus valable — paiement contrepassé</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EASC</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C</w:t>
            </w:r>
          </w:p>
        </w:tc>
      </w:tr>
      <w:tr>
        <w:tc>
          <w:tcPr/>
          <w:p>
            <w:pPr>
              <w:pStyle w:val="Compact"/>
            </w:pPr>
            <w:r>
              <w:rPr>
                <w:rStyle w:val="VerbatimChar"/>
                <w:sz w:val="17"/>
              </w:rPr>
              <w:t xml:space="preserve">receipt.refunded</w:t>
            </w:r>
          </w:p>
        </w:tc>
        <w:tc>
          <w:tcPr/>
          <w:p>
            <w:pPr>
              <w:pStyle w:val="Compact"/>
            </w:pPr>
            <w:r>
              <w:rPr>
                <w:sz w:val="17"/>
              </w:rPr>
              <w:t xml:space="preserve">Quittance remboursée</w:t>
            </w:r>
          </w:p>
        </w:tc>
        <w:tc>
          <w:tcPr/>
          <w:p>
            <w:pPr>
              <w:pStyle w:val="Compact"/>
            </w:pPr>
            <w:r>
              <w:rPr>
                <w:sz w:val="17"/>
              </w:rPr>
              <w:t xml:space="preserve">Remboursement effectué — quittance {{reference}} clôturée</w:t>
            </w:r>
          </w:p>
        </w:tc>
        <w:tc>
          <w:tcPr/>
          <w:p>
            <w:pPr>
              <w:pStyle w:val="Compact"/>
            </w:pPr>
            <w:r>
              <w:rPr>
                <w:sz w:val="17"/>
              </w:rPr>
              <w:t xml:space="preserve">info</w:t>
            </w:r>
          </w:p>
        </w:tc>
        <w:tc>
          <w:tcPr/>
          <w:p>
            <w:pPr>
              <w:pStyle w:val="Compact"/>
            </w:pPr>
            <w:r>
              <w:rPr>
                <w:sz w:val="17"/>
              </w:rPr>
              <w:t xml:space="preserve">EAS</w:t>
            </w:r>
          </w:p>
        </w:tc>
        <w:tc>
          <w:tcPr/>
          <w:p>
            <w:pPr>
              <w:pStyle w:val="Compact"/>
            </w:pPr>
            <w:r>
              <w:rPr>
                <w:sz w:val="17"/>
              </w:rPr>
              <w:t xml:space="preserve">M</w:t>
            </w:r>
          </w:p>
        </w:tc>
        <w:tc>
          <w:tcPr/>
          <w:p>
            <w:pPr>
              <w:pStyle w:val="Compact"/>
            </w:pPr>
            <w:r>
              <w:rPr>
                <w:sz w:val="17"/>
              </w:rPr>
              <w:t xml:space="preserve">C</w:t>
            </w:r>
          </w:p>
        </w:tc>
      </w:tr>
      <w:tr>
        <w:tc>
          <w:tcPr>
            <w:shd w:val="clear" w:color="auto" w:fill="F5F7FB"/>
          </w:tcPr>
          <w:p>
            <w:pPr>
              <w:pStyle w:val="Compact"/>
            </w:pPr>
            <w:r>
              <w:rPr>
                <w:rStyle w:val="VerbatimChar"/>
                <w:sz w:val="17"/>
              </w:rPr>
              <w:t xml:space="preserve">receipt.duplicate_issued</w:t>
            </w:r>
          </w:p>
        </w:tc>
        <w:tc>
          <w:tcPr>
            <w:shd w:val="clear" w:color="auto" w:fill="F5F7FB"/>
          </w:tcPr>
          <w:p>
            <w:pPr>
              <w:pStyle w:val="Compact"/>
            </w:pPr>
            <w:r>
              <w:rPr>
                <w:sz w:val="17"/>
              </w:rPr>
              <w:t xml:space="preserve">Duplicata délivré</w:t>
            </w:r>
          </w:p>
        </w:tc>
        <w:tc>
          <w:tcPr>
            <w:shd w:val="clear" w:color="auto" w:fill="F5F7FB"/>
          </w:tcPr>
          <w:p>
            <w:pPr>
              <w:pStyle w:val="Compact"/>
            </w:pPr>
            <w:r>
              <w:rPr>
                <w:sz w:val="17"/>
              </w:rPr>
              <w:t xml:space="preserve">Duplicata de la quittance {{reference}} délivré</w:t>
            </w:r>
          </w:p>
        </w:tc>
        <w:tc>
          <w:tcPr>
            <w:shd w:val="clear" w:color="auto" w:fill="F5F7FB"/>
          </w:tcPr>
          <w:p>
            <w:pPr>
              <w:pStyle w:val="Compact"/>
            </w:pPr>
            <w:r>
              <w:rPr>
                <w:sz w:val="17"/>
              </w:rPr>
              <w:t xml:space="preserve">info</w:t>
            </w:r>
          </w:p>
        </w:tc>
        <w:tc>
          <w:tcPr>
            <w:shd w:val="clear" w:color="auto" w:fill="F5F7FB"/>
          </w:tcPr>
          <w:p>
            <w:pPr>
              <w:pStyle w:val="Compact"/>
            </w:pPr>
            <w:r>
              <w:rPr>
                <w:sz w:val="17"/>
              </w:rPr>
              <w:t xml:space="preserve">EA+W</w:t>
            </w:r>
          </w:p>
        </w:tc>
        <w:tc>
          <w:tcPr>
            <w:shd w:val="clear" w:color="auto" w:fill="F5F7FB"/>
          </w:tcPr>
          <w:p>
            <w:pPr>
              <w:pStyle w:val="Compact"/>
            </w:pPr>
          </w:p>
        </w:tc>
        <w:tc>
          <w:tcPr>
            <w:shd w:val="clear" w:color="auto" w:fill="F5F7FB"/>
          </w:tcPr>
          <w:p>
            <w:pPr>
              <w:pStyle w:val="Compact"/>
            </w:pPr>
            <w:r>
              <w:rPr>
                <w:sz w:val="17"/>
              </w:rPr>
              <w:t xml:space="preserve">C</w:t>
            </w:r>
          </w:p>
        </w:tc>
      </w:tr>
    </w:tbl>
    <w:bookmarkEnd w:id="593"/>
    <w:bookmarkStart w:id="594" w:name="Xda4eacc2c546ace17b7d81d0695a70979318448"/>
    <w:p>
      <w:pPr>
        <w:pStyle w:val="Heading2"/>
      </w:pPr>
      <w:r>
        <w:t xml:space="preserve">G.10 Titres, autorisations et droits d’accès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shd w:val="clear" w:color="auto" w:fill="232C6B"/>
          </w:tcPr>
          <w:p>
            <w:pPr>
              <w:pStyle w:val="Compact"/>
            </w:pPr>
            <w:r>
              <w:rPr>
                <w:b/>
                <w:color w:val="FFFFFF"/>
                <w:sz w:val="17"/>
              </w:rPr>
              <w:t xml:space="preserve">Code</w:t>
            </w:r>
          </w:p>
        </w:tc>
        <w:tc>
          <w:tcPr>
            <w:shd w:val="clear" w:color="auto" w:fill="232C6B"/>
          </w:tcPr>
          <w:p>
            <w:pPr>
              <w:pStyle w:val="Compact"/>
            </w:pPr>
            <w:r>
              <w:rPr>
                <w:b/>
                <w:color w:val="FFFFFF"/>
                <w:sz w:val="17"/>
              </w:rPr>
              <w:t xml:space="preserve">Événement</w:t>
            </w:r>
          </w:p>
        </w:tc>
        <w:tc>
          <w:tcPr>
            <w:shd w:val="clear" w:color="auto" w:fill="232C6B"/>
          </w:tcPr>
          <w:p>
            <w:pPr>
              <w:pStyle w:val="Compact"/>
            </w:pPr>
            <w:r>
              <w:rPr>
                <w:b/>
                <w:color w:val="FFFFFF"/>
                <w:sz w:val="17"/>
              </w:rPr>
              <w:t xml:space="preserve">Objet du message (fr)</w:t>
            </w:r>
          </w:p>
        </w:tc>
        <w:tc>
          <w:tcPr>
            <w:shd w:val="clear" w:color="auto" w:fill="232C6B"/>
          </w:tcPr>
          <w:p>
            <w:pPr>
              <w:pStyle w:val="Compact"/>
            </w:pPr>
            <w:r>
              <w:rPr>
                <w:b/>
                <w:color w:val="FFFFFF"/>
                <w:sz w:val="17"/>
              </w:rPr>
              <w:t xml:space="preserve">Gravité</w:t>
            </w:r>
          </w:p>
        </w:tc>
        <w:tc>
          <w:tcPr>
            <w:shd w:val="clear" w:color="auto" w:fill="232C6B"/>
          </w:tcPr>
          <w:p>
            <w:pPr>
              <w:pStyle w:val="Compact"/>
            </w:pPr>
            <w:r>
              <w:rPr>
                <w:b/>
                <w:color w:val="FFFFFF"/>
                <w:sz w:val="17"/>
              </w:rPr>
              <w:t xml:space="preserve">Canaux</w:t>
            </w:r>
          </w:p>
        </w:tc>
        <w:tc>
          <w:tcPr>
            <w:shd w:val="clear" w:color="auto" w:fill="232C6B"/>
          </w:tcPr>
          <w:p>
            <w:pPr>
              <w:pStyle w:val="Compact"/>
            </w:pPr>
            <w:r>
              <w:rPr>
                <w:b/>
                <w:color w:val="FFFFFF"/>
                <w:sz w:val="17"/>
              </w:rPr>
              <w:t xml:space="preserve">M</w:t>
            </w:r>
          </w:p>
        </w:tc>
        <w:tc>
          <w:tcPr>
            <w:shd w:val="clear" w:color="auto" w:fill="232C6B"/>
          </w:tcPr>
          <w:p>
            <w:pPr>
              <w:pStyle w:val="Compact"/>
            </w:pPr>
            <w:r>
              <w:rPr>
                <w:b/>
                <w:color w:val="FFFFFF"/>
                <w:sz w:val="17"/>
              </w:rPr>
              <w:t xml:space="preserve">Public</w:t>
            </w:r>
          </w:p>
        </w:tc>
      </w:tr>
      <w:tr>
        <w:tc>
          <w:tcPr/>
          <w:p>
            <w:pPr>
              <w:pStyle w:val="Compact"/>
            </w:pPr>
            <w:r>
              <w:rPr>
                <w:rStyle w:val="VerbatimChar"/>
                <w:sz w:val="17"/>
              </w:rPr>
              <w:t xml:space="preserve">permit.application.received</w:t>
            </w:r>
          </w:p>
        </w:tc>
        <w:tc>
          <w:tcPr/>
          <w:p>
            <w:pPr>
              <w:pStyle w:val="Compact"/>
            </w:pPr>
            <w:r>
              <w:rPr>
                <w:sz w:val="17"/>
              </w:rPr>
              <w:t xml:space="preserve">Demande d’autorisation reçue</w:t>
            </w:r>
          </w:p>
        </w:tc>
        <w:tc>
          <w:tcPr/>
          <w:p>
            <w:pPr>
              <w:pStyle w:val="Compact"/>
            </w:pPr>
            <w:r>
              <w:rPr>
                <w:sz w:val="17"/>
              </w:rPr>
              <w:t xml:space="preserve">Demande {{titre}} reçue</w:t>
            </w:r>
          </w:p>
        </w:tc>
        <w:tc>
          <w:tcPr/>
          <w:p>
            <w:pPr>
              <w:pStyle w:val="Compact"/>
            </w:pPr>
            <w:r>
              <w:rPr>
                <w:sz w:val="17"/>
              </w:rPr>
              <w:t xml:space="preserve">info</w:t>
            </w:r>
          </w:p>
        </w:tc>
        <w:tc>
          <w:tcPr/>
          <w:p>
            <w:pPr>
              <w:pStyle w:val="Compact"/>
            </w:pPr>
            <w:r>
              <w:rPr>
                <w:sz w:val="17"/>
              </w:rPr>
              <w:t xml:space="preserve">EA+W</w:t>
            </w:r>
          </w:p>
        </w:tc>
        <w:tc>
          <w:tcPr/>
          <w:p>
            <w:pPr>
              <w:pStyle w:val="Compact"/>
            </w:pPr>
          </w:p>
        </w:tc>
        <w:tc>
          <w:tcPr/>
          <w:p>
            <w:pPr>
              <w:pStyle w:val="Compact"/>
            </w:pPr>
            <w:r>
              <w:rPr>
                <w:sz w:val="17"/>
              </w:rPr>
              <w:t xml:space="preserve">C</w:t>
            </w:r>
          </w:p>
        </w:tc>
      </w:tr>
      <w:tr>
        <w:tc>
          <w:tcPr>
            <w:shd w:val="clear" w:color="auto" w:fill="F5F7FB"/>
          </w:tcPr>
          <w:p>
            <w:pPr>
              <w:pStyle w:val="Compact"/>
            </w:pPr>
            <w:r>
              <w:rPr>
                <w:rStyle w:val="VerbatimChar"/>
                <w:sz w:val="17"/>
              </w:rPr>
              <w:t xml:space="preserve">permit.issued</w:t>
            </w:r>
          </w:p>
        </w:tc>
        <w:tc>
          <w:tcPr>
            <w:shd w:val="clear" w:color="auto" w:fill="F5F7FB"/>
          </w:tcPr>
          <w:p>
            <w:pPr>
              <w:pStyle w:val="Compact"/>
            </w:pPr>
            <w:r>
              <w:rPr>
                <w:sz w:val="17"/>
              </w:rPr>
              <w:t xml:space="preserve">Autorisation délivrée</w:t>
            </w:r>
          </w:p>
        </w:tc>
        <w:tc>
          <w:tcPr>
            <w:shd w:val="clear" w:color="auto" w:fill="F5F7FB"/>
          </w:tcPr>
          <w:p>
            <w:pPr>
              <w:pStyle w:val="Compact"/>
            </w:pPr>
            <w:r>
              <w:rPr>
                <w:sz w:val="17"/>
              </w:rPr>
              <w:t xml:space="preserve">{{titre}} délivré, valable jusqu’au {{date}}</w:t>
            </w:r>
          </w:p>
        </w:tc>
        <w:tc>
          <w:tcPr>
            <w:shd w:val="clear" w:color="auto" w:fill="F5F7FB"/>
          </w:tcPr>
          <w:p>
            <w:pPr>
              <w:pStyle w:val="Compact"/>
            </w:pPr>
            <w:r>
              <w:rPr>
                <w:sz w:val="17"/>
              </w:rPr>
              <w:t xml:space="preserve">success</w:t>
            </w:r>
          </w:p>
        </w:tc>
        <w:tc>
          <w:tcPr>
            <w:shd w:val="clear" w:color="auto" w:fill="F5F7FB"/>
          </w:tcPr>
          <w:p>
            <w:pPr>
              <w:pStyle w:val="Compact"/>
            </w:pPr>
            <w:r>
              <w:rPr>
                <w:sz w:val="17"/>
              </w:rPr>
              <w:t xml:space="preserve">EASU</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C</w:t>
            </w:r>
          </w:p>
        </w:tc>
      </w:tr>
      <w:tr>
        <w:tc>
          <w:tcPr/>
          <w:p>
            <w:pPr>
              <w:pStyle w:val="Compact"/>
            </w:pPr>
            <w:r>
              <w:rPr>
                <w:rStyle w:val="VerbatimChar"/>
                <w:sz w:val="17"/>
              </w:rPr>
              <w:t xml:space="preserve">permit.refused</w:t>
            </w:r>
          </w:p>
        </w:tc>
        <w:tc>
          <w:tcPr/>
          <w:p>
            <w:pPr>
              <w:pStyle w:val="Compact"/>
            </w:pPr>
            <w:r>
              <w:rPr>
                <w:sz w:val="17"/>
              </w:rPr>
              <w:t xml:space="preserve">Autorisation refusée</w:t>
            </w:r>
          </w:p>
        </w:tc>
        <w:tc>
          <w:tcPr/>
          <w:p>
            <w:pPr>
              <w:pStyle w:val="Compact"/>
            </w:pPr>
            <w:r>
              <w:rPr>
                <w:sz w:val="17"/>
              </w:rPr>
              <w:t xml:space="preserve">{{titre}} refusé — motif et recours</w:t>
            </w:r>
          </w:p>
        </w:tc>
        <w:tc>
          <w:tcPr/>
          <w:p>
            <w:pPr>
              <w:pStyle w:val="Compact"/>
            </w:pPr>
            <w:r>
              <w:rPr>
                <w:sz w:val="17"/>
              </w:rPr>
              <w:t xml:space="preserve">warning</w:t>
            </w:r>
          </w:p>
        </w:tc>
        <w:tc>
          <w:tcPr/>
          <w:p>
            <w:pPr>
              <w:pStyle w:val="Compact"/>
            </w:pPr>
            <w:r>
              <w:rPr>
                <w:sz w:val="17"/>
              </w:rPr>
              <w:t xml:space="preserve">EASC</w:t>
            </w:r>
          </w:p>
        </w:tc>
        <w:tc>
          <w:tcPr/>
          <w:p>
            <w:pPr>
              <w:pStyle w:val="Compact"/>
            </w:pPr>
            <w:r>
              <w:rPr>
                <w:sz w:val="17"/>
              </w:rPr>
              <w:t xml:space="preserve">M</w:t>
            </w:r>
          </w:p>
        </w:tc>
        <w:tc>
          <w:tcPr/>
          <w:p>
            <w:pPr>
              <w:pStyle w:val="Compact"/>
            </w:pPr>
            <w:r>
              <w:rPr>
                <w:sz w:val="17"/>
              </w:rPr>
              <w:t xml:space="preserve">C</w:t>
            </w:r>
          </w:p>
        </w:tc>
      </w:tr>
      <w:tr>
        <w:tc>
          <w:tcPr>
            <w:shd w:val="clear" w:color="auto" w:fill="F5F7FB"/>
          </w:tcPr>
          <w:p>
            <w:pPr>
              <w:pStyle w:val="Compact"/>
            </w:pPr>
            <w:r>
              <w:rPr>
                <w:rStyle w:val="VerbatimChar"/>
                <w:sz w:val="17"/>
              </w:rPr>
              <w:t xml:space="preserve">permit.expiring</w:t>
            </w:r>
          </w:p>
        </w:tc>
        <w:tc>
          <w:tcPr>
            <w:shd w:val="clear" w:color="auto" w:fill="F5F7FB"/>
          </w:tcPr>
          <w:p>
            <w:pPr>
              <w:pStyle w:val="Compact"/>
            </w:pPr>
            <w:r>
              <w:rPr>
                <w:sz w:val="17"/>
              </w:rPr>
              <w:t xml:space="preserve">Titre bientôt expiré</w:t>
            </w:r>
          </w:p>
        </w:tc>
        <w:tc>
          <w:tcPr>
            <w:shd w:val="clear" w:color="auto" w:fill="F5F7FB"/>
          </w:tcPr>
          <w:p>
            <w:pPr>
              <w:pStyle w:val="Compact"/>
            </w:pPr>
            <w:r>
              <w:rPr>
                <w:sz w:val="17"/>
              </w:rPr>
              <w:t xml:space="preserve">{{titre}} expire le {{date}}</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EASPU+W</w:t>
            </w:r>
          </w:p>
        </w:tc>
        <w:tc>
          <w:tcPr>
            <w:shd w:val="clear" w:color="auto" w:fill="F5F7FB"/>
          </w:tcPr>
          <w:p>
            <w:pPr>
              <w:pStyle w:val="Compact"/>
            </w:pPr>
          </w:p>
        </w:tc>
        <w:tc>
          <w:tcPr>
            <w:shd w:val="clear" w:color="auto" w:fill="F5F7FB"/>
          </w:tcPr>
          <w:p>
            <w:pPr>
              <w:pStyle w:val="Compact"/>
            </w:pPr>
            <w:r>
              <w:rPr>
                <w:sz w:val="17"/>
              </w:rPr>
              <w:t xml:space="preserve">C</w:t>
            </w:r>
          </w:p>
        </w:tc>
      </w:tr>
      <w:tr>
        <w:tc>
          <w:tcPr/>
          <w:p>
            <w:pPr>
              <w:pStyle w:val="Compact"/>
            </w:pPr>
            <w:r>
              <w:rPr>
                <w:rStyle w:val="VerbatimChar"/>
                <w:sz w:val="17"/>
              </w:rPr>
              <w:t xml:space="preserve">permit.expired</w:t>
            </w:r>
          </w:p>
        </w:tc>
        <w:tc>
          <w:tcPr/>
          <w:p>
            <w:pPr>
              <w:pStyle w:val="Compact"/>
            </w:pPr>
            <w:r>
              <w:rPr>
                <w:sz w:val="17"/>
              </w:rPr>
              <w:t xml:space="preserve">Titre expiré</w:t>
            </w:r>
          </w:p>
        </w:tc>
        <w:tc>
          <w:tcPr/>
          <w:p>
            <w:pPr>
              <w:pStyle w:val="Compact"/>
            </w:pPr>
            <w:r>
              <w:rPr>
                <w:sz w:val="17"/>
              </w:rPr>
              <w:t xml:space="preserve">{{titre}} a expiré</w:t>
            </w:r>
          </w:p>
        </w:tc>
        <w:tc>
          <w:tcPr/>
          <w:p>
            <w:pPr>
              <w:pStyle w:val="Compact"/>
            </w:pPr>
            <w:r>
              <w:rPr>
                <w:sz w:val="17"/>
              </w:rPr>
              <w:t xml:space="preserve">warning</w:t>
            </w:r>
          </w:p>
        </w:tc>
        <w:tc>
          <w:tcPr/>
          <w:p>
            <w:pPr>
              <w:pStyle w:val="Compact"/>
            </w:pPr>
            <w:r>
              <w:rPr>
                <w:sz w:val="17"/>
              </w:rPr>
              <w:t xml:space="preserve">ASPU+W</w:t>
            </w:r>
          </w:p>
        </w:tc>
        <w:tc>
          <w:tcPr/>
          <w:p>
            <w:pPr>
              <w:pStyle w:val="Compact"/>
            </w:pPr>
          </w:p>
        </w:tc>
        <w:tc>
          <w:tcPr/>
          <w:p>
            <w:pPr>
              <w:pStyle w:val="Compact"/>
            </w:pPr>
            <w:r>
              <w:rPr>
                <w:sz w:val="17"/>
              </w:rPr>
              <w:t xml:space="preserve">C</w:t>
            </w:r>
          </w:p>
        </w:tc>
      </w:tr>
      <w:tr>
        <w:tc>
          <w:tcPr>
            <w:shd w:val="clear" w:color="auto" w:fill="F5F7FB"/>
          </w:tcPr>
          <w:p>
            <w:pPr>
              <w:pStyle w:val="Compact"/>
            </w:pPr>
            <w:r>
              <w:rPr>
                <w:rStyle w:val="VerbatimChar"/>
                <w:sz w:val="17"/>
              </w:rPr>
              <w:t xml:space="preserve">permit.renewed</w:t>
            </w:r>
          </w:p>
        </w:tc>
        <w:tc>
          <w:tcPr>
            <w:shd w:val="clear" w:color="auto" w:fill="F5F7FB"/>
          </w:tcPr>
          <w:p>
            <w:pPr>
              <w:pStyle w:val="Compact"/>
            </w:pPr>
            <w:r>
              <w:rPr>
                <w:sz w:val="17"/>
              </w:rPr>
              <w:t xml:space="preserve">Titre renouvelé</w:t>
            </w:r>
          </w:p>
        </w:tc>
        <w:tc>
          <w:tcPr>
            <w:shd w:val="clear" w:color="auto" w:fill="F5F7FB"/>
          </w:tcPr>
          <w:p>
            <w:pPr>
              <w:pStyle w:val="Compact"/>
            </w:pPr>
            <w:r>
              <w:rPr>
                <w:sz w:val="17"/>
              </w:rPr>
              <w:t xml:space="preserve">{{titre}} renouvelé</w:t>
            </w:r>
          </w:p>
        </w:tc>
        <w:tc>
          <w:tcPr>
            <w:shd w:val="clear" w:color="auto" w:fill="F5F7FB"/>
          </w:tcPr>
          <w:p>
            <w:pPr>
              <w:pStyle w:val="Compact"/>
            </w:pPr>
            <w:r>
              <w:rPr>
                <w:sz w:val="17"/>
              </w:rPr>
              <w:t xml:space="preserve">success</w:t>
            </w:r>
          </w:p>
        </w:tc>
        <w:tc>
          <w:tcPr>
            <w:shd w:val="clear" w:color="auto" w:fill="F5F7FB"/>
          </w:tcPr>
          <w:p>
            <w:pPr>
              <w:pStyle w:val="Compact"/>
            </w:pPr>
            <w:r>
              <w:rPr>
                <w:sz w:val="17"/>
              </w:rPr>
              <w:t xml:space="preserve">EAS+W</w:t>
            </w:r>
          </w:p>
        </w:tc>
        <w:tc>
          <w:tcPr>
            <w:shd w:val="clear" w:color="auto" w:fill="F5F7FB"/>
          </w:tcPr>
          <w:p>
            <w:pPr>
              <w:pStyle w:val="Compact"/>
            </w:pPr>
          </w:p>
        </w:tc>
        <w:tc>
          <w:tcPr>
            <w:shd w:val="clear" w:color="auto" w:fill="F5F7FB"/>
          </w:tcPr>
          <w:p>
            <w:pPr>
              <w:pStyle w:val="Compact"/>
            </w:pPr>
            <w:r>
              <w:rPr>
                <w:sz w:val="17"/>
              </w:rPr>
              <w:t xml:space="preserve">C</w:t>
            </w:r>
          </w:p>
        </w:tc>
      </w:tr>
      <w:tr>
        <w:tc>
          <w:tcPr/>
          <w:p>
            <w:pPr>
              <w:pStyle w:val="Compact"/>
            </w:pPr>
            <w:r>
              <w:rPr>
                <w:rStyle w:val="VerbatimChar"/>
                <w:sz w:val="17"/>
              </w:rPr>
              <w:t xml:space="preserve">permit.suspended</w:t>
            </w:r>
          </w:p>
        </w:tc>
        <w:tc>
          <w:tcPr/>
          <w:p>
            <w:pPr>
              <w:pStyle w:val="Compact"/>
            </w:pPr>
            <w:r>
              <w:rPr>
                <w:sz w:val="17"/>
              </w:rPr>
              <w:t xml:space="preserve">Titre suspendu</w:t>
            </w:r>
          </w:p>
        </w:tc>
        <w:tc>
          <w:tcPr/>
          <w:p>
            <w:pPr>
              <w:pStyle w:val="Compact"/>
            </w:pPr>
            <w:r>
              <w:rPr>
                <w:sz w:val="17"/>
              </w:rPr>
              <w:t xml:space="preserve">{{titre}} suspendu — motif et recours</w:t>
            </w:r>
          </w:p>
        </w:tc>
        <w:tc>
          <w:tcPr/>
          <w:p>
            <w:pPr>
              <w:pStyle w:val="Compact"/>
            </w:pPr>
            <w:r>
              <w:rPr>
                <w:sz w:val="17"/>
              </w:rPr>
              <w:t xml:space="preserve">critical</w:t>
            </w:r>
          </w:p>
        </w:tc>
        <w:tc>
          <w:tcPr/>
          <w:p>
            <w:pPr>
              <w:pStyle w:val="Compact"/>
            </w:pPr>
            <w:r>
              <w:rPr>
                <w:sz w:val="17"/>
              </w:rPr>
              <w:t xml:space="preserve">EASC</w:t>
            </w:r>
          </w:p>
        </w:tc>
        <w:tc>
          <w:tcPr/>
          <w:p>
            <w:pPr>
              <w:pStyle w:val="Compact"/>
            </w:pPr>
            <w:r>
              <w:rPr>
                <w:sz w:val="17"/>
              </w:rPr>
              <w:t xml:space="preserve">M</w:t>
            </w:r>
          </w:p>
        </w:tc>
        <w:tc>
          <w:tcPr/>
          <w:p>
            <w:pPr>
              <w:pStyle w:val="Compact"/>
            </w:pPr>
            <w:r>
              <w:rPr>
                <w:sz w:val="17"/>
              </w:rPr>
              <w:t xml:space="preserve">C</w:t>
            </w:r>
          </w:p>
        </w:tc>
      </w:tr>
      <w:tr>
        <w:tc>
          <w:tcPr>
            <w:shd w:val="clear" w:color="auto" w:fill="F5F7FB"/>
          </w:tcPr>
          <w:p>
            <w:pPr>
              <w:pStyle w:val="Compact"/>
            </w:pPr>
            <w:r>
              <w:rPr>
                <w:rStyle w:val="VerbatimChar"/>
                <w:sz w:val="17"/>
              </w:rPr>
              <w:t xml:space="preserve">ticket.purchased</w:t>
            </w:r>
          </w:p>
        </w:tc>
        <w:tc>
          <w:tcPr>
            <w:shd w:val="clear" w:color="auto" w:fill="F5F7FB"/>
          </w:tcPr>
          <w:p>
            <w:pPr>
              <w:pStyle w:val="Compact"/>
            </w:pPr>
            <w:r>
              <w:rPr>
                <w:sz w:val="17"/>
              </w:rPr>
              <w:t xml:space="preserve">Ticket acheté</w:t>
            </w:r>
          </w:p>
        </w:tc>
        <w:tc>
          <w:tcPr>
            <w:shd w:val="clear" w:color="auto" w:fill="F5F7FB"/>
          </w:tcPr>
          <w:p>
            <w:pPr>
              <w:pStyle w:val="Compact"/>
            </w:pPr>
            <w:r>
              <w:rPr>
                <w:sz w:val="17"/>
              </w:rPr>
              <w:t xml:space="preserve">Ticket {{titre}} valable jusqu’à {{heure}}</w:t>
            </w:r>
          </w:p>
        </w:tc>
        <w:tc>
          <w:tcPr>
            <w:shd w:val="clear" w:color="auto" w:fill="F5F7FB"/>
          </w:tcPr>
          <w:p>
            <w:pPr>
              <w:pStyle w:val="Compact"/>
            </w:pPr>
            <w:r>
              <w:rPr>
                <w:sz w:val="17"/>
              </w:rPr>
              <w:t xml:space="preserve">success</w:t>
            </w:r>
          </w:p>
        </w:tc>
        <w:tc>
          <w:tcPr>
            <w:shd w:val="clear" w:color="auto" w:fill="F5F7FB"/>
          </w:tcPr>
          <w:p>
            <w:pPr>
              <w:pStyle w:val="Compact"/>
            </w:pPr>
            <w:r>
              <w:rPr>
                <w:sz w:val="17"/>
              </w:rPr>
              <w:t xml:space="preserve">ASPU+W</w:t>
            </w:r>
          </w:p>
        </w:tc>
        <w:tc>
          <w:tcPr>
            <w:shd w:val="clear" w:color="auto" w:fill="F5F7FB"/>
          </w:tcPr>
          <w:p>
            <w:pPr>
              <w:pStyle w:val="Compact"/>
            </w:pPr>
          </w:p>
        </w:tc>
        <w:tc>
          <w:tcPr>
            <w:shd w:val="clear" w:color="auto" w:fill="F5F7FB"/>
          </w:tcPr>
          <w:p>
            <w:pPr>
              <w:pStyle w:val="Compact"/>
            </w:pPr>
            <w:r>
              <w:rPr>
                <w:sz w:val="17"/>
              </w:rPr>
              <w:t xml:space="preserve">C</w:t>
            </w:r>
          </w:p>
        </w:tc>
      </w:tr>
      <w:tr>
        <w:tc>
          <w:tcPr/>
          <w:p>
            <w:pPr>
              <w:pStyle w:val="Compact"/>
            </w:pPr>
            <w:r>
              <w:rPr>
                <w:rStyle w:val="VerbatimChar"/>
                <w:sz w:val="17"/>
              </w:rPr>
              <w:t xml:space="preserve">ticket.expiring</w:t>
            </w:r>
          </w:p>
        </w:tc>
        <w:tc>
          <w:tcPr/>
          <w:p>
            <w:pPr>
              <w:pStyle w:val="Compact"/>
            </w:pPr>
            <w:r>
              <w:rPr>
                <w:sz w:val="17"/>
              </w:rPr>
              <w:t xml:space="preserve">Ticket bientôt expiré</w:t>
            </w:r>
          </w:p>
        </w:tc>
        <w:tc>
          <w:tcPr/>
          <w:p>
            <w:pPr>
              <w:pStyle w:val="Compact"/>
            </w:pPr>
            <w:r>
              <w:rPr>
                <w:sz w:val="17"/>
              </w:rPr>
              <w:t xml:space="preserve">Votre ticket expire dans {{minutes}} min</w:t>
            </w:r>
          </w:p>
        </w:tc>
        <w:tc>
          <w:tcPr/>
          <w:p>
            <w:pPr>
              <w:pStyle w:val="Compact"/>
            </w:pPr>
            <w:r>
              <w:rPr>
                <w:sz w:val="17"/>
              </w:rPr>
              <w:t xml:space="preserve">warning</w:t>
            </w:r>
          </w:p>
        </w:tc>
        <w:tc>
          <w:tcPr/>
          <w:p>
            <w:pPr>
              <w:pStyle w:val="Compact"/>
            </w:pPr>
            <w:r>
              <w:rPr>
                <w:sz w:val="17"/>
              </w:rPr>
              <w:t xml:space="preserve">SP+W</w:t>
            </w:r>
          </w:p>
        </w:tc>
        <w:tc>
          <w:tcPr/>
          <w:p>
            <w:pPr>
              <w:pStyle w:val="Compact"/>
            </w:pPr>
          </w:p>
        </w:tc>
        <w:tc>
          <w:tcPr/>
          <w:p>
            <w:pPr>
              <w:pStyle w:val="Compact"/>
            </w:pPr>
            <w:r>
              <w:rPr>
                <w:sz w:val="17"/>
              </w:rPr>
              <w:t xml:space="preserve">C</w:t>
            </w:r>
          </w:p>
        </w:tc>
      </w:tr>
      <w:tr>
        <w:tc>
          <w:tcPr>
            <w:shd w:val="clear" w:color="auto" w:fill="F5F7FB"/>
          </w:tcPr>
          <w:p>
            <w:pPr>
              <w:pStyle w:val="Compact"/>
            </w:pPr>
            <w:r>
              <w:rPr>
                <w:rStyle w:val="VerbatimChar"/>
                <w:sz w:val="17"/>
              </w:rPr>
              <w:t xml:space="preserve">ticket.extended</w:t>
            </w:r>
          </w:p>
        </w:tc>
        <w:tc>
          <w:tcPr>
            <w:shd w:val="clear" w:color="auto" w:fill="F5F7FB"/>
          </w:tcPr>
          <w:p>
            <w:pPr>
              <w:pStyle w:val="Compact"/>
            </w:pPr>
            <w:r>
              <w:rPr>
                <w:sz w:val="17"/>
              </w:rPr>
              <w:t xml:space="preserve">Ticket prolongé</w:t>
            </w:r>
          </w:p>
        </w:tc>
        <w:tc>
          <w:tcPr>
            <w:shd w:val="clear" w:color="auto" w:fill="F5F7FB"/>
          </w:tcPr>
          <w:p>
            <w:pPr>
              <w:pStyle w:val="Compact"/>
            </w:pPr>
            <w:r>
              <w:rPr>
                <w:sz w:val="17"/>
              </w:rPr>
              <w:t xml:space="preserve">Ticket prolongé jusqu’à {{heure}}</w:t>
            </w:r>
          </w:p>
        </w:tc>
        <w:tc>
          <w:tcPr>
            <w:shd w:val="clear" w:color="auto" w:fill="F5F7FB"/>
          </w:tcPr>
          <w:p>
            <w:pPr>
              <w:pStyle w:val="Compact"/>
            </w:pPr>
            <w:r>
              <w:rPr>
                <w:sz w:val="17"/>
              </w:rPr>
              <w:t xml:space="preserve">success</w:t>
            </w:r>
          </w:p>
        </w:tc>
        <w:tc>
          <w:tcPr>
            <w:shd w:val="clear" w:color="auto" w:fill="F5F7FB"/>
          </w:tcPr>
          <w:p>
            <w:pPr>
              <w:pStyle w:val="Compact"/>
            </w:pPr>
            <w:r>
              <w:rPr>
                <w:sz w:val="17"/>
              </w:rPr>
              <w:t xml:space="preserve">SP+W</w:t>
            </w:r>
          </w:p>
        </w:tc>
        <w:tc>
          <w:tcPr>
            <w:shd w:val="clear" w:color="auto" w:fill="F5F7FB"/>
          </w:tcPr>
          <w:p>
            <w:pPr>
              <w:pStyle w:val="Compact"/>
            </w:pPr>
          </w:p>
        </w:tc>
        <w:tc>
          <w:tcPr>
            <w:shd w:val="clear" w:color="auto" w:fill="F5F7FB"/>
          </w:tcPr>
          <w:p>
            <w:pPr>
              <w:pStyle w:val="Compact"/>
            </w:pPr>
            <w:r>
              <w:rPr>
                <w:sz w:val="17"/>
              </w:rPr>
              <w:t xml:space="preserve">C</w:t>
            </w:r>
          </w:p>
        </w:tc>
      </w:tr>
      <w:tr>
        <w:tc>
          <w:tcPr/>
          <w:p>
            <w:pPr>
              <w:pStyle w:val="Compact"/>
            </w:pPr>
            <w:r>
              <w:rPr>
                <w:rStyle w:val="VerbatimChar"/>
                <w:sz w:val="17"/>
              </w:rPr>
              <w:t xml:space="preserve">parking.violation.recorded</w:t>
            </w:r>
          </w:p>
        </w:tc>
        <w:tc>
          <w:tcPr/>
          <w:p>
            <w:pPr>
              <w:pStyle w:val="Compact"/>
            </w:pPr>
            <w:r>
              <w:rPr>
                <w:sz w:val="17"/>
              </w:rPr>
              <w:t xml:space="preserve">Constat de stationnement</w:t>
            </w:r>
          </w:p>
        </w:tc>
        <w:tc>
          <w:tcPr/>
          <w:p>
            <w:pPr>
              <w:pStyle w:val="Compact"/>
            </w:pPr>
            <w:r>
              <w:rPr>
                <w:sz w:val="17"/>
              </w:rPr>
              <w:t xml:space="preserve">Constat {{reference}} — paiement ou contestation</w:t>
            </w:r>
          </w:p>
        </w:tc>
        <w:tc>
          <w:tcPr/>
          <w:p>
            <w:pPr>
              <w:pStyle w:val="Compact"/>
            </w:pPr>
            <w:r>
              <w:rPr>
                <w:sz w:val="17"/>
              </w:rPr>
              <w:t xml:space="preserve">warning</w:t>
            </w:r>
          </w:p>
        </w:tc>
        <w:tc>
          <w:tcPr/>
          <w:p>
            <w:pPr>
              <w:pStyle w:val="Compact"/>
            </w:pPr>
            <w:r>
              <w:rPr>
                <w:sz w:val="17"/>
              </w:rPr>
              <w:t xml:space="preserve">EASU</w:t>
            </w:r>
          </w:p>
        </w:tc>
        <w:tc>
          <w:tcPr/>
          <w:p>
            <w:pPr>
              <w:pStyle w:val="Compact"/>
            </w:pPr>
            <w:r>
              <w:rPr>
                <w:sz w:val="17"/>
              </w:rPr>
              <w:t xml:space="preserve">M</w:t>
            </w:r>
          </w:p>
        </w:tc>
        <w:tc>
          <w:tcPr/>
          <w:p>
            <w:pPr>
              <w:pStyle w:val="Compact"/>
            </w:pPr>
            <w:r>
              <w:rPr>
                <w:sz w:val="17"/>
              </w:rPr>
              <w:t xml:space="preserve">C</w:t>
            </w:r>
          </w:p>
        </w:tc>
      </w:tr>
      <w:tr>
        <w:tc>
          <w:tcPr>
            <w:shd w:val="clear" w:color="auto" w:fill="F5F7FB"/>
          </w:tcPr>
          <w:p>
            <w:pPr>
              <w:pStyle w:val="Compact"/>
            </w:pPr>
            <w:r>
              <w:rPr>
                <w:rStyle w:val="VerbatimChar"/>
                <w:sz w:val="17"/>
              </w:rPr>
              <w:t xml:space="preserve">credential.suspended</w:t>
            </w:r>
          </w:p>
        </w:tc>
        <w:tc>
          <w:tcPr>
            <w:shd w:val="clear" w:color="auto" w:fill="F5F7FB"/>
          </w:tcPr>
          <w:p>
            <w:pPr>
              <w:pStyle w:val="Compact"/>
            </w:pPr>
            <w:r>
              <w:rPr>
                <w:sz w:val="17"/>
              </w:rPr>
              <w:t xml:space="preserve">Titre suspendu</w:t>
            </w:r>
          </w:p>
        </w:tc>
        <w:tc>
          <w:tcPr>
            <w:shd w:val="clear" w:color="auto" w:fill="F5F7FB"/>
          </w:tcPr>
          <w:p>
            <w:pPr>
              <w:pStyle w:val="Compact"/>
            </w:pPr>
            <w:r>
              <w:rPr>
                <w:sz w:val="17"/>
              </w:rPr>
              <w:t xml:space="preserve">Votre titre {{reference}} est suspendu — motif et recours</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EASC</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C</w:t>
            </w:r>
          </w:p>
        </w:tc>
      </w:tr>
      <w:tr>
        <w:tc>
          <w:tcPr/>
          <w:p>
            <w:pPr>
              <w:pStyle w:val="Compact"/>
            </w:pPr>
            <w:r>
              <w:rPr>
                <w:rStyle w:val="VerbatimChar"/>
                <w:sz w:val="17"/>
              </w:rPr>
              <w:t xml:space="preserve">credential.revoked</w:t>
            </w:r>
          </w:p>
        </w:tc>
        <w:tc>
          <w:tcPr/>
          <w:p>
            <w:pPr>
              <w:pStyle w:val="Compact"/>
            </w:pPr>
            <w:r>
              <w:rPr>
                <w:sz w:val="17"/>
              </w:rPr>
              <w:t xml:space="preserve">Titre révoqué</w:t>
            </w:r>
          </w:p>
        </w:tc>
        <w:tc>
          <w:tcPr/>
          <w:p>
            <w:pPr>
              <w:pStyle w:val="Compact"/>
            </w:pPr>
            <w:r>
              <w:rPr>
                <w:sz w:val="17"/>
              </w:rPr>
              <w:t xml:space="preserve">Votre titre {{reference}} est révoqué — motif et recours</w:t>
            </w:r>
          </w:p>
        </w:tc>
        <w:tc>
          <w:tcPr/>
          <w:p>
            <w:pPr>
              <w:pStyle w:val="Compact"/>
            </w:pPr>
            <w:r>
              <w:rPr>
                <w:sz w:val="17"/>
              </w:rPr>
              <w:t xml:space="preserve">warning</w:t>
            </w:r>
          </w:p>
        </w:tc>
        <w:tc>
          <w:tcPr/>
          <w:p>
            <w:pPr>
              <w:pStyle w:val="Compact"/>
            </w:pPr>
            <w:r>
              <w:rPr>
                <w:sz w:val="17"/>
              </w:rPr>
              <w:t xml:space="preserve">EASC</w:t>
            </w:r>
          </w:p>
        </w:tc>
        <w:tc>
          <w:tcPr/>
          <w:p>
            <w:pPr>
              <w:pStyle w:val="Compact"/>
            </w:pPr>
            <w:r>
              <w:rPr>
                <w:sz w:val="17"/>
              </w:rPr>
              <w:t xml:space="preserve">M</w:t>
            </w:r>
          </w:p>
        </w:tc>
        <w:tc>
          <w:tcPr/>
          <w:p>
            <w:pPr>
              <w:pStyle w:val="Compact"/>
            </w:pPr>
            <w:r>
              <w:rPr>
                <w:sz w:val="17"/>
              </w:rPr>
              <w:t xml:space="preserve">C</w:t>
            </w:r>
          </w:p>
        </w:tc>
      </w:tr>
      <w:tr>
        <w:tc>
          <w:tcPr>
            <w:shd w:val="clear" w:color="auto" w:fill="F5F7FB"/>
          </w:tcPr>
          <w:p>
            <w:pPr>
              <w:pStyle w:val="Compact"/>
            </w:pPr>
            <w:r>
              <w:rPr>
                <w:rStyle w:val="VerbatimChar"/>
                <w:sz w:val="17"/>
              </w:rPr>
              <w:t xml:space="preserve">control.finding.opened</w:t>
            </w:r>
          </w:p>
        </w:tc>
        <w:tc>
          <w:tcPr>
            <w:shd w:val="clear" w:color="auto" w:fill="F5F7FB"/>
          </w:tcPr>
          <w:p>
            <w:pPr>
              <w:pStyle w:val="Compact"/>
            </w:pPr>
            <w:r>
              <w:rPr>
                <w:sz w:val="17"/>
              </w:rPr>
              <w:t xml:space="preserve">Constat établi</w:t>
            </w:r>
          </w:p>
        </w:tc>
        <w:tc>
          <w:tcPr>
            <w:shd w:val="clear" w:color="auto" w:fill="F5F7FB"/>
          </w:tcPr>
          <w:p>
            <w:pPr>
              <w:pStyle w:val="Compact"/>
            </w:pPr>
            <w:r>
              <w:rPr>
                <w:sz w:val="17"/>
              </w:rPr>
              <w:t xml:space="preserve">Constat {{reference}} établi — aucune somme n’est due à ce stade</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EAS</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C</w:t>
            </w:r>
          </w:p>
        </w:tc>
      </w:tr>
    </w:tbl>
    <w:bookmarkEnd w:id="594"/>
    <w:bookmarkStart w:id="595" w:name="g.11-recouvrement-et-arriérés"/>
    <w:p>
      <w:pPr>
        <w:pStyle w:val="Heading2"/>
      </w:pPr>
      <w:r>
        <w:t xml:space="preserve">G.11 Recouvrement et arriérés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shd w:val="clear" w:color="auto" w:fill="232C6B"/>
          </w:tcPr>
          <w:p>
            <w:pPr>
              <w:pStyle w:val="Compact"/>
            </w:pPr>
            <w:r>
              <w:rPr>
                <w:b/>
                <w:color w:val="FFFFFF"/>
                <w:sz w:val="17"/>
              </w:rPr>
              <w:t xml:space="preserve">Code</w:t>
            </w:r>
          </w:p>
        </w:tc>
        <w:tc>
          <w:tcPr>
            <w:shd w:val="clear" w:color="auto" w:fill="232C6B"/>
          </w:tcPr>
          <w:p>
            <w:pPr>
              <w:pStyle w:val="Compact"/>
            </w:pPr>
            <w:r>
              <w:rPr>
                <w:b/>
                <w:color w:val="FFFFFF"/>
                <w:sz w:val="17"/>
              </w:rPr>
              <w:t xml:space="preserve">Événement</w:t>
            </w:r>
          </w:p>
        </w:tc>
        <w:tc>
          <w:tcPr>
            <w:shd w:val="clear" w:color="auto" w:fill="232C6B"/>
          </w:tcPr>
          <w:p>
            <w:pPr>
              <w:pStyle w:val="Compact"/>
            </w:pPr>
            <w:r>
              <w:rPr>
                <w:b/>
                <w:color w:val="FFFFFF"/>
                <w:sz w:val="17"/>
              </w:rPr>
              <w:t xml:space="preserve">Objet du message (fr)</w:t>
            </w:r>
          </w:p>
        </w:tc>
        <w:tc>
          <w:tcPr>
            <w:shd w:val="clear" w:color="auto" w:fill="232C6B"/>
          </w:tcPr>
          <w:p>
            <w:pPr>
              <w:pStyle w:val="Compact"/>
            </w:pPr>
            <w:r>
              <w:rPr>
                <w:b/>
                <w:color w:val="FFFFFF"/>
                <w:sz w:val="17"/>
              </w:rPr>
              <w:t xml:space="preserve">Gravité</w:t>
            </w:r>
          </w:p>
        </w:tc>
        <w:tc>
          <w:tcPr>
            <w:shd w:val="clear" w:color="auto" w:fill="232C6B"/>
          </w:tcPr>
          <w:p>
            <w:pPr>
              <w:pStyle w:val="Compact"/>
            </w:pPr>
            <w:r>
              <w:rPr>
                <w:b/>
                <w:color w:val="FFFFFF"/>
                <w:sz w:val="17"/>
              </w:rPr>
              <w:t xml:space="preserve">Canaux</w:t>
            </w:r>
          </w:p>
        </w:tc>
        <w:tc>
          <w:tcPr>
            <w:shd w:val="clear" w:color="auto" w:fill="232C6B"/>
          </w:tcPr>
          <w:p>
            <w:pPr>
              <w:pStyle w:val="Compact"/>
            </w:pPr>
            <w:r>
              <w:rPr>
                <w:b/>
                <w:color w:val="FFFFFF"/>
                <w:sz w:val="17"/>
              </w:rPr>
              <w:t xml:space="preserve">M</w:t>
            </w:r>
          </w:p>
        </w:tc>
        <w:tc>
          <w:tcPr>
            <w:shd w:val="clear" w:color="auto" w:fill="232C6B"/>
          </w:tcPr>
          <w:p>
            <w:pPr>
              <w:pStyle w:val="Compact"/>
            </w:pPr>
            <w:r>
              <w:rPr>
                <w:b/>
                <w:color w:val="FFFFFF"/>
                <w:sz w:val="17"/>
              </w:rPr>
              <w:t xml:space="preserve">Public</w:t>
            </w:r>
          </w:p>
        </w:tc>
      </w:tr>
      <w:tr>
        <w:tc>
          <w:tcPr/>
          <w:p>
            <w:pPr>
              <w:pStyle w:val="Compact"/>
            </w:pPr>
            <w:r>
              <w:rPr>
                <w:rStyle w:val="VerbatimChar"/>
                <w:sz w:val="17"/>
              </w:rPr>
              <w:t xml:space="preserve">recovery.reminder.1</w:t>
            </w:r>
          </w:p>
        </w:tc>
        <w:tc>
          <w:tcPr/>
          <w:p>
            <w:pPr>
              <w:pStyle w:val="Compact"/>
            </w:pPr>
            <w:r>
              <w:rPr>
                <w:sz w:val="17"/>
              </w:rPr>
              <w:t xml:space="preserve">Première relance</w:t>
            </w:r>
          </w:p>
        </w:tc>
        <w:tc>
          <w:tcPr/>
          <w:p>
            <w:pPr>
              <w:pStyle w:val="Compact"/>
            </w:pPr>
            <w:r>
              <w:rPr>
                <w:sz w:val="17"/>
              </w:rPr>
              <w:t xml:space="preserve">Rappel amiable : {{reference}} impayé</w:t>
            </w:r>
          </w:p>
        </w:tc>
        <w:tc>
          <w:tcPr/>
          <w:p>
            <w:pPr>
              <w:pStyle w:val="Compact"/>
            </w:pPr>
            <w:r>
              <w:rPr>
                <w:sz w:val="17"/>
              </w:rPr>
              <w:t xml:space="preserve">warning</w:t>
            </w:r>
          </w:p>
        </w:tc>
        <w:tc>
          <w:tcPr/>
          <w:p>
            <w:pPr>
              <w:pStyle w:val="Compact"/>
            </w:pPr>
            <w:r>
              <w:rPr>
                <w:sz w:val="17"/>
              </w:rPr>
              <w:t xml:space="preserve">EASUV</w:t>
            </w:r>
          </w:p>
        </w:tc>
        <w:tc>
          <w:tcPr/>
          <w:p>
            <w:pPr>
              <w:pStyle w:val="Compact"/>
            </w:pPr>
            <w:r>
              <w:rPr>
                <w:sz w:val="17"/>
              </w:rPr>
              <w:t xml:space="preserve">M</w:t>
            </w:r>
          </w:p>
        </w:tc>
        <w:tc>
          <w:tcPr/>
          <w:p>
            <w:pPr>
              <w:pStyle w:val="Compact"/>
            </w:pPr>
            <w:r>
              <w:rPr>
                <w:sz w:val="17"/>
              </w:rPr>
              <w:t xml:space="preserve">C</w:t>
            </w:r>
          </w:p>
        </w:tc>
      </w:tr>
      <w:tr>
        <w:tc>
          <w:tcPr>
            <w:shd w:val="clear" w:color="auto" w:fill="F5F7FB"/>
          </w:tcPr>
          <w:p>
            <w:pPr>
              <w:pStyle w:val="Compact"/>
            </w:pPr>
            <w:r>
              <w:rPr>
                <w:rStyle w:val="VerbatimChar"/>
                <w:sz w:val="17"/>
              </w:rPr>
              <w:t xml:space="preserve">recovery.reminder.2</w:t>
            </w:r>
          </w:p>
        </w:tc>
        <w:tc>
          <w:tcPr>
            <w:shd w:val="clear" w:color="auto" w:fill="F5F7FB"/>
          </w:tcPr>
          <w:p>
            <w:pPr>
              <w:pStyle w:val="Compact"/>
            </w:pPr>
            <w:r>
              <w:rPr>
                <w:sz w:val="17"/>
              </w:rPr>
              <w:t xml:space="preserve">Deuxième relance</w:t>
            </w:r>
          </w:p>
        </w:tc>
        <w:tc>
          <w:tcPr>
            <w:shd w:val="clear" w:color="auto" w:fill="F5F7FB"/>
          </w:tcPr>
          <w:p>
            <w:pPr>
              <w:pStyle w:val="Compact"/>
            </w:pPr>
            <w:r>
              <w:rPr>
                <w:sz w:val="17"/>
              </w:rPr>
              <w:t xml:space="preserve">Second rappel : {{reference}} impayé</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EASUV</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C</w:t>
            </w:r>
          </w:p>
        </w:tc>
      </w:tr>
      <w:tr>
        <w:tc>
          <w:tcPr/>
          <w:p>
            <w:pPr>
              <w:pStyle w:val="Compact"/>
            </w:pPr>
            <w:r>
              <w:rPr>
                <w:rStyle w:val="VerbatimChar"/>
                <w:sz w:val="17"/>
              </w:rPr>
              <w:t xml:space="preserve">recovery.formal_notice</w:t>
            </w:r>
          </w:p>
        </w:tc>
        <w:tc>
          <w:tcPr/>
          <w:p>
            <w:pPr>
              <w:pStyle w:val="Compact"/>
            </w:pPr>
            <w:r>
              <w:rPr>
                <w:sz w:val="17"/>
              </w:rPr>
              <w:t xml:space="preserve">Mise en demeure</w:t>
            </w:r>
          </w:p>
        </w:tc>
        <w:tc>
          <w:tcPr/>
          <w:p>
            <w:pPr>
              <w:pStyle w:val="Compact"/>
            </w:pPr>
            <w:r>
              <w:rPr>
                <w:sz w:val="17"/>
              </w:rPr>
              <w:t xml:space="preserve">Mise en demeure {{reference}}</w:t>
            </w:r>
          </w:p>
        </w:tc>
        <w:tc>
          <w:tcPr/>
          <w:p>
            <w:pPr>
              <w:pStyle w:val="Compact"/>
            </w:pPr>
            <w:r>
              <w:rPr>
                <w:sz w:val="17"/>
              </w:rPr>
              <w:t xml:space="preserve">critical</w:t>
            </w:r>
          </w:p>
        </w:tc>
        <w:tc>
          <w:tcPr/>
          <w:p>
            <w:pPr>
              <w:pStyle w:val="Compact"/>
            </w:pPr>
            <w:r>
              <w:rPr>
                <w:sz w:val="17"/>
              </w:rPr>
              <w:t xml:space="preserve">EASUC</w:t>
            </w:r>
          </w:p>
        </w:tc>
        <w:tc>
          <w:tcPr/>
          <w:p>
            <w:pPr>
              <w:pStyle w:val="Compact"/>
            </w:pPr>
            <w:r>
              <w:rPr>
                <w:sz w:val="17"/>
              </w:rPr>
              <w:t xml:space="preserve">M</w:t>
            </w:r>
          </w:p>
        </w:tc>
        <w:tc>
          <w:tcPr/>
          <w:p>
            <w:pPr>
              <w:pStyle w:val="Compact"/>
            </w:pPr>
            <w:r>
              <w:rPr>
                <w:sz w:val="17"/>
              </w:rPr>
              <w:t xml:space="preserve">C</w:t>
            </w:r>
          </w:p>
        </w:tc>
      </w:tr>
      <w:tr>
        <w:tc>
          <w:tcPr>
            <w:shd w:val="clear" w:color="auto" w:fill="F5F7FB"/>
          </w:tcPr>
          <w:p>
            <w:pPr>
              <w:pStyle w:val="Compact"/>
            </w:pPr>
            <w:r>
              <w:rPr>
                <w:rStyle w:val="VerbatimChar"/>
                <w:sz w:val="17"/>
              </w:rPr>
              <w:t xml:space="preserve">recovery.enforcement.proposed</w:t>
            </w:r>
          </w:p>
        </w:tc>
        <w:tc>
          <w:tcPr>
            <w:shd w:val="clear" w:color="auto" w:fill="F5F7FB"/>
          </w:tcPr>
          <w:p>
            <w:pPr>
              <w:pStyle w:val="Compact"/>
            </w:pPr>
            <w:r>
              <w:rPr>
                <w:sz w:val="17"/>
              </w:rPr>
              <w:t xml:space="preserve">Mesure d’exécution envisagée</w:t>
            </w:r>
          </w:p>
        </w:tc>
        <w:tc>
          <w:tcPr>
            <w:shd w:val="clear" w:color="auto" w:fill="F5F7FB"/>
          </w:tcPr>
          <w:p>
            <w:pPr>
              <w:pStyle w:val="Compact"/>
            </w:pPr>
            <w:r>
              <w:rPr>
                <w:sz w:val="17"/>
              </w:rPr>
              <w:t xml:space="preserve">Mesure d’exécution envisagée — vos droits</w:t>
            </w:r>
          </w:p>
        </w:tc>
        <w:tc>
          <w:tcPr>
            <w:shd w:val="clear" w:color="auto" w:fill="F5F7FB"/>
          </w:tcPr>
          <w:p>
            <w:pPr>
              <w:pStyle w:val="Compact"/>
            </w:pPr>
            <w:r>
              <w:rPr>
                <w:sz w:val="17"/>
              </w:rPr>
              <w:t xml:space="preserve">critical</w:t>
            </w:r>
          </w:p>
        </w:tc>
        <w:tc>
          <w:tcPr>
            <w:shd w:val="clear" w:color="auto" w:fill="F5F7FB"/>
          </w:tcPr>
          <w:p>
            <w:pPr>
              <w:pStyle w:val="Compact"/>
            </w:pPr>
            <w:r>
              <w:rPr>
                <w:sz w:val="17"/>
              </w:rPr>
              <w:t xml:space="preserve">EASC</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C</w:t>
            </w:r>
          </w:p>
        </w:tc>
      </w:tr>
      <w:tr>
        <w:tc>
          <w:tcPr/>
          <w:p>
            <w:pPr>
              <w:pStyle w:val="Compact"/>
            </w:pPr>
            <w:r>
              <w:rPr>
                <w:rStyle w:val="VerbatimChar"/>
                <w:sz w:val="17"/>
              </w:rPr>
              <w:t xml:space="preserve">recovery.enforcement.decided</w:t>
            </w:r>
          </w:p>
        </w:tc>
        <w:tc>
          <w:tcPr/>
          <w:p>
            <w:pPr>
              <w:pStyle w:val="Compact"/>
            </w:pPr>
            <w:r>
              <w:rPr>
                <w:sz w:val="17"/>
              </w:rPr>
              <w:t xml:space="preserve">Mesure d’exécution décidée</w:t>
            </w:r>
          </w:p>
        </w:tc>
        <w:tc>
          <w:tcPr/>
          <w:p>
            <w:pPr>
              <w:pStyle w:val="Compact"/>
            </w:pPr>
            <w:r>
              <w:rPr>
                <w:sz w:val="17"/>
              </w:rPr>
              <w:t xml:space="preserve">Décision de mesure d’exécution {{reference}}</w:t>
            </w:r>
          </w:p>
        </w:tc>
        <w:tc>
          <w:tcPr/>
          <w:p>
            <w:pPr>
              <w:pStyle w:val="Compact"/>
            </w:pPr>
            <w:r>
              <w:rPr>
                <w:sz w:val="17"/>
              </w:rPr>
              <w:t xml:space="preserve">critical</w:t>
            </w:r>
          </w:p>
        </w:tc>
        <w:tc>
          <w:tcPr/>
          <w:p>
            <w:pPr>
              <w:pStyle w:val="Compact"/>
            </w:pPr>
            <w:r>
              <w:rPr>
                <w:sz w:val="17"/>
              </w:rPr>
              <w:t xml:space="preserve">EASC</w:t>
            </w:r>
          </w:p>
        </w:tc>
        <w:tc>
          <w:tcPr/>
          <w:p>
            <w:pPr>
              <w:pStyle w:val="Compact"/>
            </w:pPr>
            <w:r>
              <w:rPr>
                <w:sz w:val="17"/>
              </w:rPr>
              <w:t xml:space="preserve">M</w:t>
            </w:r>
          </w:p>
        </w:tc>
        <w:tc>
          <w:tcPr/>
          <w:p>
            <w:pPr>
              <w:pStyle w:val="Compact"/>
            </w:pPr>
            <w:r>
              <w:rPr>
                <w:sz w:val="17"/>
              </w:rPr>
              <w:t xml:space="preserve">C</w:t>
            </w:r>
          </w:p>
        </w:tc>
      </w:tr>
      <w:tr>
        <w:tc>
          <w:tcPr>
            <w:shd w:val="clear" w:color="auto" w:fill="F5F7FB"/>
          </w:tcPr>
          <w:p>
            <w:pPr>
              <w:pStyle w:val="Compact"/>
            </w:pPr>
            <w:r>
              <w:rPr>
                <w:rStyle w:val="VerbatimChar"/>
                <w:sz w:val="17"/>
              </w:rPr>
              <w:t xml:space="preserve">recovery.enforcement.lifted</w:t>
            </w:r>
          </w:p>
        </w:tc>
        <w:tc>
          <w:tcPr>
            <w:shd w:val="clear" w:color="auto" w:fill="F5F7FB"/>
          </w:tcPr>
          <w:p>
            <w:pPr>
              <w:pStyle w:val="Compact"/>
            </w:pPr>
            <w:r>
              <w:rPr>
                <w:sz w:val="17"/>
              </w:rPr>
              <w:t xml:space="preserve">Mesure levée</w:t>
            </w:r>
          </w:p>
        </w:tc>
        <w:tc>
          <w:tcPr>
            <w:shd w:val="clear" w:color="auto" w:fill="F5F7FB"/>
          </w:tcPr>
          <w:p>
            <w:pPr>
              <w:pStyle w:val="Compact"/>
            </w:pPr>
            <w:r>
              <w:rPr>
                <w:sz w:val="17"/>
              </w:rPr>
              <w:t xml:space="preserve">Mesure {{reference}} levée</w:t>
            </w:r>
          </w:p>
        </w:tc>
        <w:tc>
          <w:tcPr>
            <w:shd w:val="clear" w:color="auto" w:fill="F5F7FB"/>
          </w:tcPr>
          <w:p>
            <w:pPr>
              <w:pStyle w:val="Compact"/>
            </w:pPr>
            <w:r>
              <w:rPr>
                <w:sz w:val="17"/>
              </w:rPr>
              <w:t xml:space="preserve">success</w:t>
            </w:r>
          </w:p>
        </w:tc>
        <w:tc>
          <w:tcPr>
            <w:shd w:val="clear" w:color="auto" w:fill="F5F7FB"/>
          </w:tcPr>
          <w:p>
            <w:pPr>
              <w:pStyle w:val="Compact"/>
            </w:pPr>
            <w:r>
              <w:rPr>
                <w:sz w:val="17"/>
              </w:rPr>
              <w:t xml:space="preserve">EASC</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C</w:t>
            </w:r>
          </w:p>
        </w:tc>
      </w:tr>
      <w:tr>
        <w:tc>
          <w:tcPr/>
          <w:p>
            <w:pPr>
              <w:pStyle w:val="Compact"/>
            </w:pPr>
            <w:r>
              <w:rPr>
                <w:rStyle w:val="VerbatimChar"/>
                <w:sz w:val="17"/>
              </w:rPr>
              <w:t xml:space="preserve">recovery.regularisation_campaign</w:t>
            </w:r>
          </w:p>
        </w:tc>
        <w:tc>
          <w:tcPr/>
          <w:p>
            <w:pPr>
              <w:pStyle w:val="Compact"/>
            </w:pPr>
            <w:r>
              <w:rPr>
                <w:sz w:val="17"/>
              </w:rPr>
              <w:t xml:space="preserve">Campagne de régularisation</w:t>
            </w:r>
          </w:p>
        </w:tc>
        <w:tc>
          <w:tcPr/>
          <w:p>
            <w:pPr>
              <w:pStyle w:val="Compact"/>
            </w:pPr>
            <w:r>
              <w:rPr>
                <w:sz w:val="17"/>
              </w:rPr>
              <w:t xml:space="preserve">Régularisez votre situation avant le {{date}}</w:t>
            </w:r>
          </w:p>
        </w:tc>
        <w:tc>
          <w:tcPr/>
          <w:p>
            <w:pPr>
              <w:pStyle w:val="Compact"/>
            </w:pPr>
            <w:r>
              <w:rPr>
                <w:sz w:val="17"/>
              </w:rPr>
              <w:t xml:space="preserve">info</w:t>
            </w:r>
          </w:p>
        </w:tc>
        <w:tc>
          <w:tcPr/>
          <w:p>
            <w:pPr>
              <w:pStyle w:val="Compact"/>
            </w:pPr>
            <w:r>
              <w:rPr>
                <w:sz w:val="17"/>
              </w:rPr>
              <w:t xml:space="preserve">EASPUV+W</w:t>
            </w:r>
          </w:p>
        </w:tc>
        <w:tc>
          <w:tcPr/>
          <w:p>
            <w:pPr>
              <w:pStyle w:val="Compact"/>
            </w:pPr>
          </w:p>
        </w:tc>
        <w:tc>
          <w:tcPr/>
          <w:p>
            <w:pPr>
              <w:pStyle w:val="Compact"/>
            </w:pPr>
            <w:r>
              <w:rPr>
                <w:sz w:val="17"/>
              </w:rPr>
              <w:t xml:space="preserve">C</w:t>
            </w:r>
          </w:p>
        </w:tc>
      </w:tr>
      <w:tr>
        <w:tc>
          <w:tcPr>
            <w:shd w:val="clear" w:color="auto" w:fill="F5F7FB"/>
          </w:tcPr>
          <w:p>
            <w:pPr>
              <w:pStyle w:val="Compact"/>
            </w:pPr>
            <w:r>
              <w:rPr>
                <w:rStyle w:val="VerbatimChar"/>
                <w:sz w:val="17"/>
              </w:rPr>
              <w:t xml:space="preserve">recovery.arrears_statement</w:t>
            </w:r>
          </w:p>
        </w:tc>
        <w:tc>
          <w:tcPr>
            <w:shd w:val="clear" w:color="auto" w:fill="F5F7FB"/>
          </w:tcPr>
          <w:p>
            <w:pPr>
              <w:pStyle w:val="Compact"/>
            </w:pPr>
            <w:r>
              <w:rPr>
                <w:sz w:val="17"/>
              </w:rPr>
              <w:t xml:space="preserve">Relevé d’arriérés</w:t>
            </w:r>
          </w:p>
        </w:tc>
        <w:tc>
          <w:tcPr>
            <w:shd w:val="clear" w:color="auto" w:fill="F5F7FB"/>
          </w:tcPr>
          <w:p>
            <w:pPr>
              <w:pStyle w:val="Compact"/>
            </w:pPr>
            <w:r>
              <w:rPr>
                <w:sz w:val="17"/>
              </w:rPr>
              <w:t xml:space="preserve">Votre relevé d’arriérés</w:t>
            </w:r>
          </w:p>
        </w:tc>
        <w:tc>
          <w:tcPr>
            <w:shd w:val="clear" w:color="auto" w:fill="F5F7FB"/>
          </w:tcPr>
          <w:p>
            <w:pPr>
              <w:pStyle w:val="Compact"/>
            </w:pPr>
            <w:r>
              <w:rPr>
                <w:sz w:val="17"/>
              </w:rPr>
              <w:t xml:space="preserve">info</w:t>
            </w:r>
          </w:p>
        </w:tc>
        <w:tc>
          <w:tcPr>
            <w:shd w:val="clear" w:color="auto" w:fill="F5F7FB"/>
          </w:tcPr>
          <w:p>
            <w:pPr>
              <w:pStyle w:val="Compact"/>
            </w:pPr>
            <w:r>
              <w:rPr>
                <w:sz w:val="17"/>
              </w:rPr>
              <w:t xml:space="preserve">EAU+W</w:t>
            </w:r>
          </w:p>
        </w:tc>
        <w:tc>
          <w:tcPr>
            <w:shd w:val="clear" w:color="auto" w:fill="F5F7FB"/>
          </w:tcPr>
          <w:p>
            <w:pPr>
              <w:pStyle w:val="Compact"/>
            </w:pPr>
          </w:p>
        </w:tc>
        <w:tc>
          <w:tcPr>
            <w:shd w:val="clear" w:color="auto" w:fill="F5F7FB"/>
          </w:tcPr>
          <w:p>
            <w:pPr>
              <w:pStyle w:val="Compact"/>
            </w:pPr>
            <w:r>
              <w:rPr>
                <w:sz w:val="17"/>
              </w:rPr>
              <w:t xml:space="preserve">C</w:t>
            </w:r>
          </w:p>
        </w:tc>
      </w:tr>
      <w:tr>
        <w:tc>
          <w:tcPr/>
          <w:p>
            <w:pPr>
              <w:pStyle w:val="Compact"/>
            </w:pPr>
            <w:r>
              <w:rPr>
                <w:rStyle w:val="VerbatimChar"/>
                <w:sz w:val="17"/>
              </w:rPr>
              <w:t xml:space="preserve">recovery.notice.read</w:t>
            </w:r>
          </w:p>
        </w:tc>
        <w:tc>
          <w:tcPr/>
          <w:p>
            <w:pPr>
              <w:pStyle w:val="Compact"/>
            </w:pPr>
            <w:r>
              <w:rPr>
                <w:sz w:val="17"/>
              </w:rPr>
              <w:t xml:space="preserve">Avis consulté</w:t>
            </w:r>
          </w:p>
        </w:tc>
        <w:tc>
          <w:tcPr/>
          <w:p>
            <w:pPr>
              <w:pStyle w:val="Compact"/>
            </w:pPr>
            <w:r>
              <w:rPr>
                <w:sz w:val="17"/>
              </w:rPr>
              <w:t xml:space="preserve">Accusé de lecture de l’avis {{reference}}</w:t>
            </w:r>
          </w:p>
        </w:tc>
        <w:tc>
          <w:tcPr/>
          <w:p>
            <w:pPr>
              <w:pStyle w:val="Compact"/>
            </w:pPr>
            <w:r>
              <w:rPr>
                <w:sz w:val="17"/>
              </w:rPr>
              <w:t xml:space="preserve">info</w:t>
            </w:r>
          </w:p>
        </w:tc>
        <w:tc>
          <w:tcPr/>
          <w:p>
            <w:pPr>
              <w:pStyle w:val="Compact"/>
            </w:pPr>
            <w:r>
              <w:rPr>
                <w:sz w:val="17"/>
              </w:rPr>
              <w:t xml:space="preserve">A</w:t>
            </w:r>
          </w:p>
        </w:tc>
        <w:tc>
          <w:tcPr/>
          <w:p>
            <w:pPr>
              <w:pStyle w:val="Compact"/>
            </w:pPr>
          </w:p>
        </w:tc>
        <w:tc>
          <w:tcPr/>
          <w:p>
            <w:pPr>
              <w:pStyle w:val="Compact"/>
            </w:pPr>
            <w:r>
              <w:rPr>
                <w:sz w:val="17"/>
              </w:rPr>
              <w:t xml:space="preserve">G</w:t>
            </w:r>
          </w:p>
        </w:tc>
      </w:tr>
    </w:tbl>
    <w:bookmarkEnd w:id="595"/>
    <w:bookmarkStart w:id="596" w:name="g.12-missions-et-contrôle-terrain"/>
    <w:p>
      <w:pPr>
        <w:pStyle w:val="Heading2"/>
      </w:pPr>
      <w:r>
        <w:t xml:space="preserve">G.12 Missions et contrôle terrain</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shd w:val="clear" w:color="auto" w:fill="232C6B"/>
          </w:tcPr>
          <w:p>
            <w:pPr>
              <w:pStyle w:val="Compact"/>
            </w:pPr>
            <w:r>
              <w:rPr>
                <w:b/>
                <w:color w:val="FFFFFF"/>
                <w:sz w:val="17"/>
              </w:rPr>
              <w:t xml:space="preserve">Code</w:t>
            </w:r>
          </w:p>
        </w:tc>
        <w:tc>
          <w:tcPr>
            <w:shd w:val="clear" w:color="auto" w:fill="232C6B"/>
          </w:tcPr>
          <w:p>
            <w:pPr>
              <w:pStyle w:val="Compact"/>
            </w:pPr>
            <w:r>
              <w:rPr>
                <w:b/>
                <w:color w:val="FFFFFF"/>
                <w:sz w:val="17"/>
              </w:rPr>
              <w:t xml:space="preserve">Événement</w:t>
            </w:r>
          </w:p>
        </w:tc>
        <w:tc>
          <w:tcPr>
            <w:shd w:val="clear" w:color="auto" w:fill="232C6B"/>
          </w:tcPr>
          <w:p>
            <w:pPr>
              <w:pStyle w:val="Compact"/>
            </w:pPr>
            <w:r>
              <w:rPr>
                <w:b/>
                <w:color w:val="FFFFFF"/>
                <w:sz w:val="17"/>
              </w:rPr>
              <w:t xml:space="preserve">Objet du message (fr)</w:t>
            </w:r>
          </w:p>
        </w:tc>
        <w:tc>
          <w:tcPr>
            <w:shd w:val="clear" w:color="auto" w:fill="232C6B"/>
          </w:tcPr>
          <w:p>
            <w:pPr>
              <w:pStyle w:val="Compact"/>
            </w:pPr>
            <w:r>
              <w:rPr>
                <w:b/>
                <w:color w:val="FFFFFF"/>
                <w:sz w:val="17"/>
              </w:rPr>
              <w:t xml:space="preserve">Gravité</w:t>
            </w:r>
          </w:p>
        </w:tc>
        <w:tc>
          <w:tcPr>
            <w:shd w:val="clear" w:color="auto" w:fill="232C6B"/>
          </w:tcPr>
          <w:p>
            <w:pPr>
              <w:pStyle w:val="Compact"/>
            </w:pPr>
            <w:r>
              <w:rPr>
                <w:b/>
                <w:color w:val="FFFFFF"/>
                <w:sz w:val="17"/>
              </w:rPr>
              <w:t xml:space="preserve">Canaux</w:t>
            </w:r>
          </w:p>
        </w:tc>
        <w:tc>
          <w:tcPr>
            <w:shd w:val="clear" w:color="auto" w:fill="232C6B"/>
          </w:tcPr>
          <w:p>
            <w:pPr>
              <w:pStyle w:val="Compact"/>
            </w:pPr>
            <w:r>
              <w:rPr>
                <w:b/>
                <w:color w:val="FFFFFF"/>
                <w:sz w:val="17"/>
              </w:rPr>
              <w:t xml:space="preserve">M</w:t>
            </w:r>
          </w:p>
        </w:tc>
        <w:tc>
          <w:tcPr>
            <w:shd w:val="clear" w:color="auto" w:fill="232C6B"/>
          </w:tcPr>
          <w:p>
            <w:pPr>
              <w:pStyle w:val="Compact"/>
            </w:pPr>
            <w:r>
              <w:rPr>
                <w:b/>
                <w:color w:val="FFFFFF"/>
                <w:sz w:val="17"/>
              </w:rPr>
              <w:t xml:space="preserve">Public</w:t>
            </w:r>
          </w:p>
        </w:tc>
      </w:tr>
      <w:tr>
        <w:tc>
          <w:tcPr/>
          <w:p>
            <w:pPr>
              <w:pStyle w:val="Compact"/>
            </w:pPr>
            <w:r>
              <w:rPr>
                <w:rStyle w:val="VerbatimChar"/>
                <w:sz w:val="17"/>
              </w:rPr>
              <w:t xml:space="preserve">mission.assigned</w:t>
            </w:r>
          </w:p>
        </w:tc>
        <w:tc>
          <w:tcPr/>
          <w:p>
            <w:pPr>
              <w:pStyle w:val="Compact"/>
            </w:pPr>
            <w:r>
              <w:rPr>
                <w:sz w:val="17"/>
              </w:rPr>
              <w:t xml:space="preserve">Mission assignée</w:t>
            </w:r>
          </w:p>
        </w:tc>
        <w:tc>
          <w:tcPr/>
          <w:p>
            <w:pPr>
              <w:pStyle w:val="Compact"/>
            </w:pPr>
            <w:r>
              <w:rPr>
                <w:sz w:val="17"/>
              </w:rPr>
              <w:t xml:space="preserve">Mission {{mission}} assignée</w:t>
            </w:r>
          </w:p>
        </w:tc>
        <w:tc>
          <w:tcPr/>
          <w:p>
            <w:pPr>
              <w:pStyle w:val="Compact"/>
            </w:pPr>
            <w:r>
              <w:rPr>
                <w:sz w:val="17"/>
              </w:rPr>
              <w:t xml:space="preserve">info</w:t>
            </w:r>
          </w:p>
        </w:tc>
        <w:tc>
          <w:tcPr/>
          <w:p>
            <w:pPr>
              <w:pStyle w:val="Compact"/>
            </w:pPr>
            <w:r>
              <w:rPr>
                <w:sz w:val="17"/>
              </w:rPr>
              <w:t xml:space="preserve">AP</w:t>
            </w:r>
          </w:p>
        </w:tc>
        <w:tc>
          <w:tcPr/>
          <w:p>
            <w:pPr>
              <w:pStyle w:val="Compact"/>
            </w:pPr>
          </w:p>
        </w:tc>
        <w:tc>
          <w:tcPr/>
          <w:p>
            <w:pPr>
              <w:pStyle w:val="Compact"/>
            </w:pPr>
            <w:r>
              <w:rPr>
                <w:sz w:val="17"/>
              </w:rPr>
              <w:t xml:space="preserve">G</w:t>
            </w:r>
          </w:p>
        </w:tc>
      </w:tr>
      <w:tr>
        <w:tc>
          <w:tcPr>
            <w:shd w:val="clear" w:color="auto" w:fill="F5F7FB"/>
          </w:tcPr>
          <w:p>
            <w:pPr>
              <w:pStyle w:val="Compact"/>
            </w:pPr>
            <w:r>
              <w:rPr>
                <w:rStyle w:val="VerbatimChar"/>
                <w:sz w:val="17"/>
              </w:rPr>
              <w:t xml:space="preserve">mission.updated</w:t>
            </w:r>
          </w:p>
        </w:tc>
        <w:tc>
          <w:tcPr>
            <w:shd w:val="clear" w:color="auto" w:fill="F5F7FB"/>
          </w:tcPr>
          <w:p>
            <w:pPr>
              <w:pStyle w:val="Compact"/>
            </w:pPr>
            <w:r>
              <w:rPr>
                <w:sz w:val="17"/>
              </w:rPr>
              <w:t xml:space="preserve">Mission modifiée</w:t>
            </w:r>
          </w:p>
        </w:tc>
        <w:tc>
          <w:tcPr>
            <w:shd w:val="clear" w:color="auto" w:fill="F5F7FB"/>
          </w:tcPr>
          <w:p>
            <w:pPr>
              <w:pStyle w:val="Compact"/>
            </w:pPr>
            <w:r>
              <w:rPr>
                <w:sz w:val="17"/>
              </w:rPr>
              <w:t xml:space="preserve">Mission {{mission}} modifiée</w:t>
            </w:r>
          </w:p>
        </w:tc>
        <w:tc>
          <w:tcPr>
            <w:shd w:val="clear" w:color="auto" w:fill="F5F7FB"/>
          </w:tcPr>
          <w:p>
            <w:pPr>
              <w:pStyle w:val="Compact"/>
            </w:pPr>
            <w:r>
              <w:rPr>
                <w:sz w:val="17"/>
              </w:rPr>
              <w:t xml:space="preserve">info</w:t>
            </w:r>
          </w:p>
        </w:tc>
        <w:tc>
          <w:tcPr>
            <w:shd w:val="clear" w:color="auto" w:fill="F5F7FB"/>
          </w:tcPr>
          <w:p>
            <w:pPr>
              <w:pStyle w:val="Compact"/>
            </w:pPr>
            <w:r>
              <w:rPr>
                <w:sz w:val="17"/>
              </w:rPr>
              <w:t xml:space="preserve">AP</w:t>
            </w:r>
          </w:p>
        </w:tc>
        <w:tc>
          <w:tcPr>
            <w:shd w:val="clear" w:color="auto" w:fill="F5F7FB"/>
          </w:tcPr>
          <w:p>
            <w:pPr>
              <w:pStyle w:val="Compact"/>
            </w:pPr>
          </w:p>
        </w:tc>
        <w:tc>
          <w:tcPr>
            <w:shd w:val="clear" w:color="auto" w:fill="F5F7FB"/>
          </w:tcPr>
          <w:p>
            <w:pPr>
              <w:pStyle w:val="Compact"/>
            </w:pPr>
            <w:r>
              <w:rPr>
                <w:sz w:val="17"/>
              </w:rPr>
              <w:t xml:space="preserve">G</w:t>
            </w:r>
          </w:p>
        </w:tc>
      </w:tr>
      <w:tr>
        <w:tc>
          <w:tcPr/>
          <w:p>
            <w:pPr>
              <w:pStyle w:val="Compact"/>
            </w:pPr>
            <w:r>
              <w:rPr>
                <w:rStyle w:val="VerbatimChar"/>
                <w:sz w:val="17"/>
              </w:rPr>
              <w:t xml:space="preserve">mission.expiring_offline_data</w:t>
            </w:r>
          </w:p>
        </w:tc>
        <w:tc>
          <w:tcPr/>
          <w:p>
            <w:pPr>
              <w:pStyle w:val="Compact"/>
            </w:pPr>
            <w:r>
              <w:rPr>
                <w:sz w:val="17"/>
              </w:rPr>
              <w:t xml:space="preserve">Données hors ligne bientôt expirées</w:t>
            </w:r>
          </w:p>
        </w:tc>
        <w:tc>
          <w:tcPr/>
          <w:p>
            <w:pPr>
              <w:pStyle w:val="Compact"/>
            </w:pPr>
            <w:r>
              <w:rPr>
                <w:sz w:val="17"/>
              </w:rPr>
              <w:t xml:space="preserve">Synchronisez avant {{heure}}</w:t>
            </w:r>
          </w:p>
        </w:tc>
        <w:tc>
          <w:tcPr/>
          <w:p>
            <w:pPr>
              <w:pStyle w:val="Compact"/>
            </w:pPr>
            <w:r>
              <w:rPr>
                <w:sz w:val="17"/>
              </w:rPr>
              <w:t xml:space="preserve">warning</w:t>
            </w:r>
          </w:p>
        </w:tc>
        <w:tc>
          <w:tcPr/>
          <w:p>
            <w:pPr>
              <w:pStyle w:val="Compact"/>
            </w:pPr>
            <w:r>
              <w:rPr>
                <w:sz w:val="17"/>
              </w:rPr>
              <w:t xml:space="preserve">AP</w:t>
            </w:r>
          </w:p>
        </w:tc>
        <w:tc>
          <w:tcPr/>
          <w:p>
            <w:pPr>
              <w:pStyle w:val="Compact"/>
            </w:pPr>
            <w:r>
              <w:rPr>
                <w:sz w:val="17"/>
              </w:rPr>
              <w:t xml:space="preserve">M</w:t>
            </w:r>
          </w:p>
        </w:tc>
        <w:tc>
          <w:tcPr/>
          <w:p>
            <w:pPr>
              <w:pStyle w:val="Compact"/>
            </w:pPr>
            <w:r>
              <w:rPr>
                <w:sz w:val="17"/>
              </w:rPr>
              <w:t xml:space="preserve">G</w:t>
            </w:r>
          </w:p>
        </w:tc>
      </w:tr>
      <w:tr>
        <w:tc>
          <w:tcPr>
            <w:shd w:val="clear" w:color="auto" w:fill="F5F7FB"/>
          </w:tcPr>
          <w:p>
            <w:pPr>
              <w:pStyle w:val="Compact"/>
            </w:pPr>
            <w:r>
              <w:rPr>
                <w:rStyle w:val="VerbatimChar"/>
                <w:sz w:val="17"/>
              </w:rPr>
              <w:t xml:space="preserve">mission.sync.completed</w:t>
            </w:r>
          </w:p>
        </w:tc>
        <w:tc>
          <w:tcPr>
            <w:shd w:val="clear" w:color="auto" w:fill="F5F7FB"/>
          </w:tcPr>
          <w:p>
            <w:pPr>
              <w:pStyle w:val="Compact"/>
            </w:pPr>
            <w:r>
              <w:rPr>
                <w:sz w:val="17"/>
              </w:rPr>
              <w:t xml:space="preserve">Synchronisation terminée</w:t>
            </w:r>
          </w:p>
        </w:tc>
        <w:tc>
          <w:tcPr>
            <w:shd w:val="clear" w:color="auto" w:fill="F5F7FB"/>
          </w:tcPr>
          <w:p>
            <w:pPr>
              <w:pStyle w:val="Compact"/>
            </w:pPr>
            <w:r>
              <w:rPr>
                <w:sz w:val="17"/>
              </w:rPr>
              <w:t xml:space="preserve">{{n}} constats synchronisés</w:t>
            </w:r>
          </w:p>
        </w:tc>
        <w:tc>
          <w:tcPr>
            <w:shd w:val="clear" w:color="auto" w:fill="F5F7FB"/>
          </w:tcPr>
          <w:p>
            <w:pPr>
              <w:pStyle w:val="Compact"/>
            </w:pPr>
            <w:r>
              <w:rPr>
                <w:sz w:val="17"/>
              </w:rPr>
              <w:t xml:space="preserve">success</w:t>
            </w:r>
          </w:p>
        </w:tc>
        <w:tc>
          <w:tcPr>
            <w:shd w:val="clear" w:color="auto" w:fill="F5F7FB"/>
          </w:tcPr>
          <w:p>
            <w:pPr>
              <w:pStyle w:val="Compact"/>
            </w:pPr>
            <w:r>
              <w:rPr>
                <w:sz w:val="17"/>
              </w:rPr>
              <w:t xml:space="preserve">A</w:t>
            </w:r>
          </w:p>
        </w:tc>
        <w:tc>
          <w:tcPr>
            <w:shd w:val="clear" w:color="auto" w:fill="F5F7FB"/>
          </w:tcPr>
          <w:p>
            <w:pPr>
              <w:pStyle w:val="Compact"/>
            </w:pPr>
          </w:p>
        </w:tc>
        <w:tc>
          <w:tcPr>
            <w:shd w:val="clear" w:color="auto" w:fill="F5F7FB"/>
          </w:tcPr>
          <w:p>
            <w:pPr>
              <w:pStyle w:val="Compact"/>
            </w:pPr>
            <w:r>
              <w:rPr>
                <w:sz w:val="17"/>
              </w:rPr>
              <w:t xml:space="preserve">G</w:t>
            </w:r>
          </w:p>
        </w:tc>
      </w:tr>
      <w:tr>
        <w:tc>
          <w:tcPr/>
          <w:p>
            <w:pPr>
              <w:pStyle w:val="Compact"/>
            </w:pPr>
            <w:r>
              <w:rPr>
                <w:rStyle w:val="VerbatimChar"/>
                <w:sz w:val="17"/>
              </w:rPr>
              <w:t xml:space="preserve">mission.sync.conflict</w:t>
            </w:r>
          </w:p>
        </w:tc>
        <w:tc>
          <w:tcPr/>
          <w:p>
            <w:pPr>
              <w:pStyle w:val="Compact"/>
            </w:pPr>
            <w:r>
              <w:rPr>
                <w:sz w:val="17"/>
              </w:rPr>
              <w:t xml:space="preserve">Conflit de synchronisation</w:t>
            </w:r>
          </w:p>
        </w:tc>
        <w:tc>
          <w:tcPr/>
          <w:p>
            <w:pPr>
              <w:pStyle w:val="Compact"/>
            </w:pPr>
            <w:r>
              <w:rPr>
                <w:sz w:val="17"/>
              </w:rPr>
              <w:t xml:space="preserve">Conflit sur {{objet}} — arbitrage requis</w:t>
            </w:r>
          </w:p>
        </w:tc>
        <w:tc>
          <w:tcPr/>
          <w:p>
            <w:pPr>
              <w:pStyle w:val="Compact"/>
            </w:pPr>
            <w:r>
              <w:rPr>
                <w:sz w:val="17"/>
              </w:rPr>
              <w:t xml:space="preserve">warning</w:t>
            </w:r>
          </w:p>
        </w:tc>
        <w:tc>
          <w:tcPr/>
          <w:p>
            <w:pPr>
              <w:pStyle w:val="Compact"/>
            </w:pPr>
            <w:r>
              <w:rPr>
                <w:sz w:val="17"/>
              </w:rPr>
              <w:t xml:space="preserve">AP</w:t>
            </w:r>
          </w:p>
        </w:tc>
        <w:tc>
          <w:tcPr/>
          <w:p>
            <w:pPr>
              <w:pStyle w:val="Compact"/>
            </w:pPr>
          </w:p>
        </w:tc>
        <w:tc>
          <w:tcPr/>
          <w:p>
            <w:pPr>
              <w:pStyle w:val="Compact"/>
            </w:pPr>
            <w:r>
              <w:rPr>
                <w:sz w:val="17"/>
              </w:rPr>
              <w:t xml:space="preserve">G</w:t>
            </w:r>
          </w:p>
        </w:tc>
      </w:tr>
      <w:tr>
        <w:tc>
          <w:tcPr>
            <w:shd w:val="clear" w:color="auto" w:fill="F5F7FB"/>
          </w:tcPr>
          <w:p>
            <w:pPr>
              <w:pStyle w:val="Compact"/>
            </w:pPr>
            <w:r>
              <w:rPr>
                <w:rStyle w:val="VerbatimChar"/>
                <w:sz w:val="17"/>
              </w:rPr>
              <w:t xml:space="preserve">mission.geofence.breach</w:t>
            </w:r>
          </w:p>
        </w:tc>
        <w:tc>
          <w:tcPr>
            <w:shd w:val="clear" w:color="auto" w:fill="F5F7FB"/>
          </w:tcPr>
          <w:p>
            <w:pPr>
              <w:pStyle w:val="Compact"/>
            </w:pPr>
            <w:r>
              <w:rPr>
                <w:sz w:val="17"/>
              </w:rPr>
              <w:t xml:space="preserve">Sortie de zone</w:t>
            </w:r>
          </w:p>
        </w:tc>
        <w:tc>
          <w:tcPr>
            <w:shd w:val="clear" w:color="auto" w:fill="F5F7FB"/>
          </w:tcPr>
          <w:p>
            <w:pPr>
              <w:pStyle w:val="Compact"/>
            </w:pPr>
            <w:r>
              <w:rPr>
                <w:sz w:val="17"/>
              </w:rPr>
              <w:t xml:space="preserve">Constat hors zone de mission</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AP</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G</w:t>
            </w:r>
          </w:p>
        </w:tc>
      </w:tr>
      <w:tr>
        <w:tc>
          <w:tcPr/>
          <w:p>
            <w:pPr>
              <w:pStyle w:val="Compact"/>
            </w:pPr>
            <w:r>
              <w:rPr>
                <w:rStyle w:val="VerbatimChar"/>
                <w:sz w:val="17"/>
              </w:rPr>
              <w:t xml:space="preserve">inspection.qa.rejected</w:t>
            </w:r>
          </w:p>
        </w:tc>
        <w:tc>
          <w:tcPr/>
          <w:p>
            <w:pPr>
              <w:pStyle w:val="Compact"/>
            </w:pPr>
            <w:r>
              <w:rPr>
                <w:sz w:val="17"/>
              </w:rPr>
              <w:t xml:space="preserve">Constat rejeté en contrôle qualité</w:t>
            </w:r>
          </w:p>
        </w:tc>
        <w:tc>
          <w:tcPr/>
          <w:p>
            <w:pPr>
              <w:pStyle w:val="Compact"/>
            </w:pPr>
            <w:r>
              <w:rPr>
                <w:sz w:val="17"/>
              </w:rPr>
              <w:t xml:space="preserve">Constat {{reference}} rejeté — motif</w:t>
            </w:r>
          </w:p>
        </w:tc>
        <w:tc>
          <w:tcPr/>
          <w:p>
            <w:pPr>
              <w:pStyle w:val="Compact"/>
            </w:pPr>
            <w:r>
              <w:rPr>
                <w:sz w:val="17"/>
              </w:rPr>
              <w:t xml:space="preserve">warning</w:t>
            </w:r>
          </w:p>
        </w:tc>
        <w:tc>
          <w:tcPr/>
          <w:p>
            <w:pPr>
              <w:pStyle w:val="Compact"/>
            </w:pPr>
            <w:r>
              <w:rPr>
                <w:sz w:val="17"/>
              </w:rPr>
              <w:t xml:space="preserve">AP</w:t>
            </w:r>
          </w:p>
        </w:tc>
        <w:tc>
          <w:tcPr/>
          <w:p>
            <w:pPr>
              <w:pStyle w:val="Compact"/>
            </w:pPr>
          </w:p>
        </w:tc>
        <w:tc>
          <w:tcPr/>
          <w:p>
            <w:pPr>
              <w:pStyle w:val="Compact"/>
            </w:pPr>
            <w:r>
              <w:rPr>
                <w:sz w:val="17"/>
              </w:rPr>
              <w:t xml:space="preserve">G</w:t>
            </w:r>
          </w:p>
        </w:tc>
      </w:tr>
      <w:tr>
        <w:tc>
          <w:tcPr>
            <w:shd w:val="clear" w:color="auto" w:fill="F5F7FB"/>
          </w:tcPr>
          <w:p>
            <w:pPr>
              <w:pStyle w:val="Compact"/>
            </w:pPr>
            <w:r>
              <w:rPr>
                <w:rStyle w:val="VerbatimChar"/>
                <w:sz w:val="17"/>
              </w:rPr>
              <w:t xml:space="preserve">inspection.report.issued</w:t>
            </w:r>
          </w:p>
        </w:tc>
        <w:tc>
          <w:tcPr>
            <w:shd w:val="clear" w:color="auto" w:fill="F5F7FB"/>
          </w:tcPr>
          <w:p>
            <w:pPr>
              <w:pStyle w:val="Compact"/>
            </w:pPr>
            <w:r>
              <w:rPr>
                <w:sz w:val="17"/>
              </w:rPr>
              <w:t xml:space="preserve">Procès-verbal émis</w:t>
            </w:r>
          </w:p>
        </w:tc>
        <w:tc>
          <w:tcPr>
            <w:shd w:val="clear" w:color="auto" w:fill="F5F7FB"/>
          </w:tcPr>
          <w:p>
            <w:pPr>
              <w:pStyle w:val="Compact"/>
            </w:pPr>
            <w:r>
              <w:rPr>
                <w:sz w:val="17"/>
              </w:rPr>
              <w:t xml:space="preserve">Procès-verbal {{reference}} — vos observations</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EASC</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C</w:t>
            </w:r>
          </w:p>
        </w:tc>
      </w:tr>
      <w:tr>
        <w:tc>
          <w:tcPr/>
          <w:p>
            <w:pPr>
              <w:pStyle w:val="Compact"/>
            </w:pPr>
            <w:r>
              <w:rPr>
                <w:rStyle w:val="VerbatimChar"/>
                <w:sz w:val="17"/>
              </w:rPr>
              <w:t xml:space="preserve">device.lost_reported</w:t>
            </w:r>
          </w:p>
        </w:tc>
        <w:tc>
          <w:tcPr/>
          <w:p>
            <w:pPr>
              <w:pStyle w:val="Compact"/>
            </w:pPr>
            <w:r>
              <w:rPr>
                <w:sz w:val="17"/>
              </w:rPr>
              <w:t xml:space="preserve">Terminal déclaré perdu</w:t>
            </w:r>
          </w:p>
        </w:tc>
        <w:tc>
          <w:tcPr/>
          <w:p>
            <w:pPr>
              <w:pStyle w:val="Compact"/>
            </w:pPr>
            <w:r>
              <w:rPr>
                <w:sz w:val="17"/>
              </w:rPr>
              <w:t xml:space="preserve">Terminal {{appareil}} révoqué et effacé</w:t>
            </w:r>
          </w:p>
        </w:tc>
        <w:tc>
          <w:tcPr/>
          <w:p>
            <w:pPr>
              <w:pStyle w:val="Compact"/>
            </w:pPr>
            <w:r>
              <w:rPr>
                <w:sz w:val="17"/>
              </w:rPr>
              <w:t xml:space="preserve">critical</w:t>
            </w:r>
          </w:p>
        </w:tc>
        <w:tc>
          <w:tcPr/>
          <w:p>
            <w:pPr>
              <w:pStyle w:val="Compact"/>
            </w:pPr>
            <w:r>
              <w:rPr>
                <w:sz w:val="17"/>
              </w:rPr>
              <w:t xml:space="preserve">EAS</w:t>
            </w:r>
          </w:p>
        </w:tc>
        <w:tc>
          <w:tcPr/>
          <w:p>
            <w:pPr>
              <w:pStyle w:val="Compact"/>
            </w:pPr>
            <w:r>
              <w:rPr>
                <w:sz w:val="17"/>
              </w:rPr>
              <w:t xml:space="preserve">M</w:t>
            </w:r>
          </w:p>
        </w:tc>
        <w:tc>
          <w:tcPr/>
          <w:p>
            <w:pPr>
              <w:pStyle w:val="Compact"/>
            </w:pPr>
            <w:r>
              <w:rPr>
                <w:sz w:val="17"/>
              </w:rPr>
              <w:t xml:space="preserve">G</w:t>
            </w:r>
          </w:p>
        </w:tc>
      </w:tr>
    </w:tbl>
    <w:bookmarkEnd w:id="596"/>
    <w:bookmarkStart w:id="597" w:name="g.13-réclamations-et-recours"/>
    <w:p>
      <w:pPr>
        <w:pStyle w:val="Heading2"/>
      </w:pPr>
      <w:r>
        <w:t xml:space="preserve">G.13 Réclamations et recours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shd w:val="clear" w:color="auto" w:fill="232C6B"/>
          </w:tcPr>
          <w:p>
            <w:pPr>
              <w:pStyle w:val="Compact"/>
            </w:pPr>
            <w:r>
              <w:rPr>
                <w:b/>
                <w:color w:val="FFFFFF"/>
                <w:sz w:val="17"/>
              </w:rPr>
              <w:t xml:space="preserve">Code</w:t>
            </w:r>
          </w:p>
        </w:tc>
        <w:tc>
          <w:tcPr>
            <w:shd w:val="clear" w:color="auto" w:fill="232C6B"/>
          </w:tcPr>
          <w:p>
            <w:pPr>
              <w:pStyle w:val="Compact"/>
            </w:pPr>
            <w:r>
              <w:rPr>
                <w:b/>
                <w:color w:val="FFFFFF"/>
                <w:sz w:val="17"/>
              </w:rPr>
              <w:t xml:space="preserve">Événement</w:t>
            </w:r>
          </w:p>
        </w:tc>
        <w:tc>
          <w:tcPr>
            <w:shd w:val="clear" w:color="auto" w:fill="232C6B"/>
          </w:tcPr>
          <w:p>
            <w:pPr>
              <w:pStyle w:val="Compact"/>
            </w:pPr>
            <w:r>
              <w:rPr>
                <w:b/>
                <w:color w:val="FFFFFF"/>
                <w:sz w:val="17"/>
              </w:rPr>
              <w:t xml:space="preserve">Objet du message (fr)</w:t>
            </w:r>
          </w:p>
        </w:tc>
        <w:tc>
          <w:tcPr>
            <w:shd w:val="clear" w:color="auto" w:fill="232C6B"/>
          </w:tcPr>
          <w:p>
            <w:pPr>
              <w:pStyle w:val="Compact"/>
            </w:pPr>
            <w:r>
              <w:rPr>
                <w:b/>
                <w:color w:val="FFFFFF"/>
                <w:sz w:val="17"/>
              </w:rPr>
              <w:t xml:space="preserve">Gravité</w:t>
            </w:r>
          </w:p>
        </w:tc>
        <w:tc>
          <w:tcPr>
            <w:shd w:val="clear" w:color="auto" w:fill="232C6B"/>
          </w:tcPr>
          <w:p>
            <w:pPr>
              <w:pStyle w:val="Compact"/>
            </w:pPr>
            <w:r>
              <w:rPr>
                <w:b/>
                <w:color w:val="FFFFFF"/>
                <w:sz w:val="17"/>
              </w:rPr>
              <w:t xml:space="preserve">Canaux</w:t>
            </w:r>
          </w:p>
        </w:tc>
        <w:tc>
          <w:tcPr>
            <w:shd w:val="clear" w:color="auto" w:fill="232C6B"/>
          </w:tcPr>
          <w:p>
            <w:pPr>
              <w:pStyle w:val="Compact"/>
            </w:pPr>
            <w:r>
              <w:rPr>
                <w:b/>
                <w:color w:val="FFFFFF"/>
                <w:sz w:val="17"/>
              </w:rPr>
              <w:t xml:space="preserve">M</w:t>
            </w:r>
          </w:p>
        </w:tc>
        <w:tc>
          <w:tcPr>
            <w:shd w:val="clear" w:color="auto" w:fill="232C6B"/>
          </w:tcPr>
          <w:p>
            <w:pPr>
              <w:pStyle w:val="Compact"/>
            </w:pPr>
            <w:r>
              <w:rPr>
                <w:b/>
                <w:color w:val="FFFFFF"/>
                <w:sz w:val="17"/>
              </w:rPr>
              <w:t xml:space="preserve">Public</w:t>
            </w:r>
          </w:p>
        </w:tc>
      </w:tr>
      <w:tr>
        <w:tc>
          <w:tcPr/>
          <w:p>
            <w:pPr>
              <w:pStyle w:val="Compact"/>
            </w:pPr>
            <w:r>
              <w:rPr>
                <w:rStyle w:val="VerbatimChar"/>
                <w:sz w:val="17"/>
              </w:rPr>
              <w:t xml:space="preserve">appeal.submitted</w:t>
            </w:r>
          </w:p>
        </w:tc>
        <w:tc>
          <w:tcPr/>
          <w:p>
            <w:pPr>
              <w:pStyle w:val="Compact"/>
            </w:pPr>
            <w:r>
              <w:rPr>
                <w:sz w:val="17"/>
              </w:rPr>
              <w:t xml:space="preserve">Réclamation déposée</w:t>
            </w:r>
          </w:p>
        </w:tc>
        <w:tc>
          <w:tcPr/>
          <w:p>
            <w:pPr>
              <w:pStyle w:val="Compact"/>
            </w:pPr>
            <w:r>
              <w:rPr>
                <w:sz w:val="17"/>
              </w:rPr>
              <w:t xml:space="preserve">Réclamation {{reference}} — accusé de réception</w:t>
            </w:r>
          </w:p>
        </w:tc>
        <w:tc>
          <w:tcPr/>
          <w:p>
            <w:pPr>
              <w:pStyle w:val="Compact"/>
            </w:pPr>
            <w:r>
              <w:rPr>
                <w:sz w:val="17"/>
              </w:rPr>
              <w:t xml:space="preserve">info</w:t>
            </w:r>
          </w:p>
        </w:tc>
        <w:tc>
          <w:tcPr/>
          <w:p>
            <w:pPr>
              <w:pStyle w:val="Compact"/>
            </w:pPr>
            <w:r>
              <w:rPr>
                <w:sz w:val="17"/>
              </w:rPr>
              <w:t xml:space="preserve">EASC</w:t>
            </w:r>
          </w:p>
        </w:tc>
        <w:tc>
          <w:tcPr/>
          <w:p>
            <w:pPr>
              <w:pStyle w:val="Compact"/>
            </w:pPr>
            <w:r>
              <w:rPr>
                <w:sz w:val="17"/>
              </w:rPr>
              <w:t xml:space="preserve">M</w:t>
            </w:r>
          </w:p>
        </w:tc>
        <w:tc>
          <w:tcPr/>
          <w:p>
            <w:pPr>
              <w:pStyle w:val="Compact"/>
            </w:pPr>
            <w:r>
              <w:rPr>
                <w:sz w:val="17"/>
              </w:rPr>
              <w:t xml:space="preserve">C</w:t>
            </w:r>
          </w:p>
        </w:tc>
      </w:tr>
      <w:tr>
        <w:tc>
          <w:tcPr>
            <w:shd w:val="clear" w:color="auto" w:fill="F5F7FB"/>
          </w:tcPr>
          <w:p>
            <w:pPr>
              <w:pStyle w:val="Compact"/>
            </w:pPr>
            <w:r>
              <w:rPr>
                <w:rStyle w:val="VerbatimChar"/>
                <w:sz w:val="17"/>
              </w:rPr>
              <w:t xml:space="preserve">appeal.info_requested</w:t>
            </w:r>
          </w:p>
        </w:tc>
        <w:tc>
          <w:tcPr>
            <w:shd w:val="clear" w:color="auto" w:fill="F5F7FB"/>
          </w:tcPr>
          <w:p>
            <w:pPr>
              <w:pStyle w:val="Compact"/>
            </w:pPr>
            <w:r>
              <w:rPr>
                <w:sz w:val="17"/>
              </w:rPr>
              <w:t xml:space="preserve">Complément demandé</w:t>
            </w:r>
          </w:p>
        </w:tc>
        <w:tc>
          <w:tcPr>
            <w:shd w:val="clear" w:color="auto" w:fill="F5F7FB"/>
          </w:tcPr>
          <w:p>
            <w:pPr>
              <w:pStyle w:val="Compact"/>
            </w:pPr>
            <w:r>
              <w:rPr>
                <w:sz w:val="17"/>
              </w:rPr>
              <w:t xml:space="preserve">Pièces complémentaires demandées</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EASU</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C</w:t>
            </w:r>
          </w:p>
        </w:tc>
      </w:tr>
      <w:tr>
        <w:tc>
          <w:tcPr/>
          <w:p>
            <w:pPr>
              <w:pStyle w:val="Compact"/>
            </w:pPr>
            <w:r>
              <w:rPr>
                <w:rStyle w:val="VerbatimChar"/>
                <w:sz w:val="17"/>
              </w:rPr>
              <w:t xml:space="preserve">appeal.deadline_approaching</w:t>
            </w:r>
          </w:p>
        </w:tc>
        <w:tc>
          <w:tcPr/>
          <w:p>
            <w:pPr>
              <w:pStyle w:val="Compact"/>
            </w:pPr>
            <w:r>
              <w:rPr>
                <w:sz w:val="17"/>
              </w:rPr>
              <w:t xml:space="preserve">Délai de décision proche</w:t>
            </w:r>
          </w:p>
        </w:tc>
        <w:tc>
          <w:tcPr/>
          <w:p>
            <w:pPr>
              <w:pStyle w:val="Compact"/>
            </w:pPr>
            <w:r>
              <w:rPr>
                <w:sz w:val="17"/>
              </w:rPr>
              <w:t xml:space="preserve">Décision attendue avant le {{date}}</w:t>
            </w:r>
          </w:p>
        </w:tc>
        <w:tc>
          <w:tcPr/>
          <w:p>
            <w:pPr>
              <w:pStyle w:val="Compact"/>
            </w:pPr>
            <w:r>
              <w:rPr>
                <w:sz w:val="17"/>
              </w:rPr>
              <w:t xml:space="preserve">info</w:t>
            </w:r>
          </w:p>
        </w:tc>
        <w:tc>
          <w:tcPr/>
          <w:p>
            <w:pPr>
              <w:pStyle w:val="Compact"/>
            </w:pPr>
            <w:r>
              <w:rPr>
                <w:sz w:val="17"/>
              </w:rPr>
              <w:t xml:space="preserve">EA+W</w:t>
            </w:r>
          </w:p>
        </w:tc>
        <w:tc>
          <w:tcPr/>
          <w:p>
            <w:pPr>
              <w:pStyle w:val="Compact"/>
            </w:pPr>
          </w:p>
        </w:tc>
        <w:tc>
          <w:tcPr/>
          <w:p>
            <w:pPr>
              <w:pStyle w:val="Compact"/>
            </w:pPr>
            <w:r>
              <w:rPr>
                <w:sz w:val="17"/>
              </w:rPr>
              <w:t xml:space="preserve">CG</w:t>
            </w:r>
          </w:p>
        </w:tc>
      </w:tr>
      <w:tr>
        <w:tc>
          <w:tcPr>
            <w:shd w:val="clear" w:color="auto" w:fill="F5F7FB"/>
          </w:tcPr>
          <w:p>
            <w:pPr>
              <w:pStyle w:val="Compact"/>
            </w:pPr>
            <w:r>
              <w:rPr>
                <w:rStyle w:val="VerbatimChar"/>
                <w:sz w:val="17"/>
              </w:rPr>
              <w:t xml:space="preserve">appeal.decided</w:t>
            </w:r>
          </w:p>
        </w:tc>
        <w:tc>
          <w:tcPr>
            <w:shd w:val="clear" w:color="auto" w:fill="F5F7FB"/>
          </w:tcPr>
          <w:p>
            <w:pPr>
              <w:pStyle w:val="Compact"/>
            </w:pPr>
            <w:r>
              <w:rPr>
                <w:sz w:val="17"/>
              </w:rPr>
              <w:t xml:space="preserve">Décision rendue</w:t>
            </w:r>
          </w:p>
        </w:tc>
        <w:tc>
          <w:tcPr>
            <w:shd w:val="clear" w:color="auto" w:fill="F5F7FB"/>
          </w:tcPr>
          <w:p>
            <w:pPr>
              <w:pStyle w:val="Compact"/>
            </w:pPr>
            <w:r>
              <w:rPr>
                <w:sz w:val="17"/>
              </w:rPr>
              <w:t xml:space="preserve">Décision sur votre réclamation {{reference}}</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EASC</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C</w:t>
            </w:r>
          </w:p>
        </w:tc>
      </w:tr>
      <w:tr>
        <w:tc>
          <w:tcPr/>
          <w:p>
            <w:pPr>
              <w:pStyle w:val="Compact"/>
            </w:pPr>
            <w:r>
              <w:rPr>
                <w:rStyle w:val="VerbatimChar"/>
                <w:sz w:val="17"/>
              </w:rPr>
              <w:t xml:space="preserve">appeal.escalated</w:t>
            </w:r>
          </w:p>
        </w:tc>
        <w:tc>
          <w:tcPr/>
          <w:p>
            <w:pPr>
              <w:pStyle w:val="Compact"/>
            </w:pPr>
            <w:r>
              <w:rPr>
                <w:sz w:val="17"/>
              </w:rPr>
              <w:t xml:space="preserve">Recours transmis</w:t>
            </w:r>
          </w:p>
        </w:tc>
        <w:tc>
          <w:tcPr/>
          <w:p>
            <w:pPr>
              <w:pStyle w:val="Compact"/>
            </w:pPr>
            <w:r>
              <w:rPr>
                <w:sz w:val="17"/>
              </w:rPr>
              <w:t xml:space="preserve">Votre recours a été transmis à {{autorite}}</w:t>
            </w:r>
          </w:p>
        </w:tc>
        <w:tc>
          <w:tcPr/>
          <w:p>
            <w:pPr>
              <w:pStyle w:val="Compact"/>
            </w:pPr>
            <w:r>
              <w:rPr>
                <w:sz w:val="17"/>
              </w:rPr>
              <w:t xml:space="preserve">info</w:t>
            </w:r>
          </w:p>
        </w:tc>
        <w:tc>
          <w:tcPr/>
          <w:p>
            <w:pPr>
              <w:pStyle w:val="Compact"/>
            </w:pPr>
            <w:r>
              <w:rPr>
                <w:sz w:val="17"/>
              </w:rPr>
              <w:t xml:space="preserve">EAS</w:t>
            </w:r>
          </w:p>
        </w:tc>
        <w:tc>
          <w:tcPr/>
          <w:p>
            <w:pPr>
              <w:pStyle w:val="Compact"/>
            </w:pPr>
            <w:r>
              <w:rPr>
                <w:sz w:val="17"/>
              </w:rPr>
              <w:t xml:space="preserve">M</w:t>
            </w:r>
          </w:p>
        </w:tc>
        <w:tc>
          <w:tcPr/>
          <w:p>
            <w:pPr>
              <w:pStyle w:val="Compact"/>
            </w:pPr>
            <w:r>
              <w:rPr>
                <w:sz w:val="17"/>
              </w:rPr>
              <w:t xml:space="preserve">C</w:t>
            </w:r>
          </w:p>
        </w:tc>
      </w:tr>
      <w:tr>
        <w:tc>
          <w:tcPr>
            <w:shd w:val="clear" w:color="auto" w:fill="F5F7FB"/>
          </w:tcPr>
          <w:p>
            <w:pPr>
              <w:pStyle w:val="Compact"/>
            </w:pPr>
            <w:r>
              <w:rPr>
                <w:rStyle w:val="VerbatimChar"/>
                <w:sz w:val="17"/>
              </w:rPr>
              <w:t xml:space="preserve">appeal.sla_breach</w:t>
            </w:r>
          </w:p>
        </w:tc>
        <w:tc>
          <w:tcPr>
            <w:shd w:val="clear" w:color="auto" w:fill="F5F7FB"/>
          </w:tcPr>
          <w:p>
            <w:pPr>
              <w:pStyle w:val="Compact"/>
            </w:pPr>
            <w:r>
              <w:rPr>
                <w:sz w:val="17"/>
              </w:rPr>
              <w:t xml:space="preserve">Délai légal dépassé</w:t>
            </w:r>
          </w:p>
        </w:tc>
        <w:tc>
          <w:tcPr>
            <w:shd w:val="clear" w:color="auto" w:fill="F5F7FB"/>
          </w:tcPr>
          <w:p>
            <w:pPr>
              <w:pStyle w:val="Compact"/>
            </w:pPr>
            <w:r>
              <w:rPr>
                <w:sz w:val="17"/>
              </w:rPr>
              <w:t xml:space="preserve">Réclamation {{reference}} hors délai</w:t>
            </w:r>
          </w:p>
        </w:tc>
        <w:tc>
          <w:tcPr>
            <w:shd w:val="clear" w:color="auto" w:fill="F5F7FB"/>
          </w:tcPr>
          <w:p>
            <w:pPr>
              <w:pStyle w:val="Compact"/>
            </w:pPr>
            <w:r>
              <w:rPr>
                <w:sz w:val="17"/>
              </w:rPr>
              <w:t xml:space="preserve">critical</w:t>
            </w:r>
          </w:p>
        </w:tc>
        <w:tc>
          <w:tcPr>
            <w:shd w:val="clear" w:color="auto" w:fill="F5F7FB"/>
          </w:tcPr>
          <w:p>
            <w:pPr>
              <w:pStyle w:val="Compact"/>
            </w:pPr>
            <w:r>
              <w:rPr>
                <w:sz w:val="17"/>
              </w:rPr>
              <w:t xml:space="preserve">EAP</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G</w:t>
            </w:r>
          </w:p>
        </w:tc>
      </w:tr>
    </w:tbl>
    <w:bookmarkEnd w:id="597"/>
    <w:bookmarkStart w:id="598" w:name="Xc09f795b4cf6f5e271e16835a69e7998e036366"/>
    <w:p>
      <w:pPr>
        <w:pStyle w:val="Heading2"/>
      </w:pPr>
      <w:r>
        <w:t xml:space="preserve">G.14 Approbations et workflows (maker-checker)</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shd w:val="clear" w:color="auto" w:fill="232C6B"/>
          </w:tcPr>
          <w:p>
            <w:pPr>
              <w:pStyle w:val="Compact"/>
            </w:pPr>
            <w:r>
              <w:rPr>
                <w:b/>
                <w:color w:val="FFFFFF"/>
                <w:sz w:val="17"/>
              </w:rPr>
              <w:t xml:space="preserve">Code</w:t>
            </w:r>
          </w:p>
        </w:tc>
        <w:tc>
          <w:tcPr>
            <w:shd w:val="clear" w:color="auto" w:fill="232C6B"/>
          </w:tcPr>
          <w:p>
            <w:pPr>
              <w:pStyle w:val="Compact"/>
            </w:pPr>
            <w:r>
              <w:rPr>
                <w:b/>
                <w:color w:val="FFFFFF"/>
                <w:sz w:val="17"/>
              </w:rPr>
              <w:t xml:space="preserve">Événement</w:t>
            </w:r>
          </w:p>
        </w:tc>
        <w:tc>
          <w:tcPr>
            <w:shd w:val="clear" w:color="auto" w:fill="232C6B"/>
          </w:tcPr>
          <w:p>
            <w:pPr>
              <w:pStyle w:val="Compact"/>
            </w:pPr>
            <w:r>
              <w:rPr>
                <w:b/>
                <w:color w:val="FFFFFF"/>
                <w:sz w:val="17"/>
              </w:rPr>
              <w:t xml:space="preserve">Objet du message (fr)</w:t>
            </w:r>
          </w:p>
        </w:tc>
        <w:tc>
          <w:tcPr>
            <w:shd w:val="clear" w:color="auto" w:fill="232C6B"/>
          </w:tcPr>
          <w:p>
            <w:pPr>
              <w:pStyle w:val="Compact"/>
            </w:pPr>
            <w:r>
              <w:rPr>
                <w:b/>
                <w:color w:val="FFFFFF"/>
                <w:sz w:val="17"/>
              </w:rPr>
              <w:t xml:space="preserve">Gravité</w:t>
            </w:r>
          </w:p>
        </w:tc>
        <w:tc>
          <w:tcPr>
            <w:shd w:val="clear" w:color="auto" w:fill="232C6B"/>
          </w:tcPr>
          <w:p>
            <w:pPr>
              <w:pStyle w:val="Compact"/>
            </w:pPr>
            <w:r>
              <w:rPr>
                <w:b/>
                <w:color w:val="FFFFFF"/>
                <w:sz w:val="17"/>
              </w:rPr>
              <w:t xml:space="preserve">Canaux</w:t>
            </w:r>
          </w:p>
        </w:tc>
        <w:tc>
          <w:tcPr>
            <w:shd w:val="clear" w:color="auto" w:fill="232C6B"/>
          </w:tcPr>
          <w:p>
            <w:pPr>
              <w:pStyle w:val="Compact"/>
            </w:pPr>
            <w:r>
              <w:rPr>
                <w:b/>
                <w:color w:val="FFFFFF"/>
                <w:sz w:val="17"/>
              </w:rPr>
              <w:t xml:space="preserve">M</w:t>
            </w:r>
          </w:p>
        </w:tc>
        <w:tc>
          <w:tcPr>
            <w:shd w:val="clear" w:color="auto" w:fill="232C6B"/>
          </w:tcPr>
          <w:p>
            <w:pPr>
              <w:pStyle w:val="Compact"/>
            </w:pPr>
            <w:r>
              <w:rPr>
                <w:b/>
                <w:color w:val="FFFFFF"/>
                <w:sz w:val="17"/>
              </w:rPr>
              <w:t xml:space="preserve">Public</w:t>
            </w:r>
          </w:p>
        </w:tc>
      </w:tr>
      <w:tr>
        <w:tc>
          <w:tcPr/>
          <w:p>
            <w:pPr>
              <w:pStyle w:val="Compact"/>
            </w:pPr>
            <w:r>
              <w:rPr>
                <w:rStyle w:val="VerbatimChar"/>
                <w:sz w:val="17"/>
              </w:rPr>
              <w:t xml:space="preserve">approval.requested</w:t>
            </w:r>
          </w:p>
        </w:tc>
        <w:tc>
          <w:tcPr/>
          <w:p>
            <w:pPr>
              <w:pStyle w:val="Compact"/>
            </w:pPr>
            <w:r>
              <w:rPr>
                <w:sz w:val="17"/>
              </w:rPr>
              <w:t xml:space="preserve">Approbation demandée</w:t>
            </w:r>
          </w:p>
        </w:tc>
        <w:tc>
          <w:tcPr/>
          <w:p>
            <w:pPr>
              <w:pStyle w:val="Compact"/>
            </w:pPr>
            <w:r>
              <w:rPr>
                <w:sz w:val="17"/>
              </w:rPr>
              <w:t xml:space="preserve">Approbation requise : {{objet}}</w:t>
            </w:r>
          </w:p>
        </w:tc>
        <w:tc>
          <w:tcPr/>
          <w:p>
            <w:pPr>
              <w:pStyle w:val="Compact"/>
            </w:pPr>
            <w:r>
              <w:rPr>
                <w:sz w:val="17"/>
              </w:rPr>
              <w:t xml:space="preserve">warning</w:t>
            </w:r>
          </w:p>
        </w:tc>
        <w:tc>
          <w:tcPr/>
          <w:p>
            <w:pPr>
              <w:pStyle w:val="Compact"/>
            </w:pPr>
            <w:r>
              <w:rPr>
                <w:sz w:val="17"/>
              </w:rPr>
              <w:t xml:space="preserve">EAP</w:t>
            </w:r>
          </w:p>
        </w:tc>
        <w:tc>
          <w:tcPr/>
          <w:p>
            <w:pPr>
              <w:pStyle w:val="Compact"/>
            </w:pPr>
          </w:p>
        </w:tc>
        <w:tc>
          <w:tcPr/>
          <w:p>
            <w:pPr>
              <w:pStyle w:val="Compact"/>
            </w:pPr>
            <w:r>
              <w:rPr>
                <w:sz w:val="17"/>
              </w:rPr>
              <w:t xml:space="preserve">G</w:t>
            </w:r>
          </w:p>
        </w:tc>
      </w:tr>
      <w:tr>
        <w:tc>
          <w:tcPr>
            <w:shd w:val="clear" w:color="auto" w:fill="F5F7FB"/>
          </w:tcPr>
          <w:p>
            <w:pPr>
              <w:pStyle w:val="Compact"/>
            </w:pPr>
            <w:r>
              <w:rPr>
                <w:rStyle w:val="VerbatimChar"/>
                <w:sz w:val="17"/>
              </w:rPr>
              <w:t xml:space="preserve">approval.reminder</w:t>
            </w:r>
          </w:p>
        </w:tc>
        <w:tc>
          <w:tcPr>
            <w:shd w:val="clear" w:color="auto" w:fill="F5F7FB"/>
          </w:tcPr>
          <w:p>
            <w:pPr>
              <w:pStyle w:val="Compact"/>
            </w:pPr>
            <w:r>
              <w:rPr>
                <w:sz w:val="17"/>
              </w:rPr>
              <w:t xml:space="preserve">Relance d’approbation</w:t>
            </w:r>
          </w:p>
        </w:tc>
        <w:tc>
          <w:tcPr>
            <w:shd w:val="clear" w:color="auto" w:fill="F5F7FB"/>
          </w:tcPr>
          <w:p>
            <w:pPr>
              <w:pStyle w:val="Compact"/>
            </w:pPr>
            <w:r>
              <w:rPr>
                <w:sz w:val="17"/>
              </w:rPr>
              <w:t xml:space="preserve">Rappel : approbation en attente pour {{objet}}</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EAP</w:t>
            </w:r>
          </w:p>
        </w:tc>
        <w:tc>
          <w:tcPr>
            <w:shd w:val="clear" w:color="auto" w:fill="F5F7FB"/>
          </w:tcPr>
          <w:p>
            <w:pPr>
              <w:pStyle w:val="Compact"/>
            </w:pPr>
          </w:p>
        </w:tc>
        <w:tc>
          <w:tcPr>
            <w:shd w:val="clear" w:color="auto" w:fill="F5F7FB"/>
          </w:tcPr>
          <w:p>
            <w:pPr>
              <w:pStyle w:val="Compact"/>
            </w:pPr>
            <w:r>
              <w:rPr>
                <w:sz w:val="17"/>
              </w:rPr>
              <w:t xml:space="preserve">G</w:t>
            </w:r>
          </w:p>
        </w:tc>
      </w:tr>
      <w:tr>
        <w:tc>
          <w:tcPr/>
          <w:p>
            <w:pPr>
              <w:pStyle w:val="Compact"/>
            </w:pPr>
            <w:r>
              <w:rPr>
                <w:rStyle w:val="VerbatimChar"/>
                <w:sz w:val="17"/>
              </w:rPr>
              <w:t xml:space="preserve">approval.approved</w:t>
            </w:r>
          </w:p>
        </w:tc>
        <w:tc>
          <w:tcPr/>
          <w:p>
            <w:pPr>
              <w:pStyle w:val="Compact"/>
            </w:pPr>
            <w:r>
              <w:rPr>
                <w:sz w:val="17"/>
              </w:rPr>
              <w:t xml:space="preserve">Approuvé</w:t>
            </w:r>
          </w:p>
        </w:tc>
        <w:tc>
          <w:tcPr/>
          <w:p>
            <w:pPr>
              <w:pStyle w:val="Compact"/>
            </w:pPr>
            <w:r>
              <w:rPr>
                <w:sz w:val="17"/>
              </w:rPr>
              <w:t xml:space="preserve">{{objet}} approuvé</w:t>
            </w:r>
          </w:p>
        </w:tc>
        <w:tc>
          <w:tcPr/>
          <w:p>
            <w:pPr>
              <w:pStyle w:val="Compact"/>
            </w:pPr>
            <w:r>
              <w:rPr>
                <w:sz w:val="17"/>
              </w:rPr>
              <w:t xml:space="preserve">success</w:t>
            </w:r>
          </w:p>
        </w:tc>
        <w:tc>
          <w:tcPr/>
          <w:p>
            <w:pPr>
              <w:pStyle w:val="Compact"/>
            </w:pPr>
            <w:r>
              <w:rPr>
                <w:sz w:val="17"/>
              </w:rPr>
              <w:t xml:space="preserve">EAP</w:t>
            </w:r>
          </w:p>
        </w:tc>
        <w:tc>
          <w:tcPr/>
          <w:p>
            <w:pPr>
              <w:pStyle w:val="Compact"/>
            </w:pPr>
          </w:p>
        </w:tc>
        <w:tc>
          <w:tcPr/>
          <w:p>
            <w:pPr>
              <w:pStyle w:val="Compact"/>
            </w:pPr>
            <w:r>
              <w:rPr>
                <w:sz w:val="17"/>
              </w:rPr>
              <w:t xml:space="preserve">G</w:t>
            </w:r>
          </w:p>
        </w:tc>
      </w:tr>
      <w:tr>
        <w:tc>
          <w:tcPr>
            <w:shd w:val="clear" w:color="auto" w:fill="F5F7FB"/>
          </w:tcPr>
          <w:p>
            <w:pPr>
              <w:pStyle w:val="Compact"/>
            </w:pPr>
            <w:r>
              <w:rPr>
                <w:rStyle w:val="VerbatimChar"/>
                <w:sz w:val="17"/>
              </w:rPr>
              <w:t xml:space="preserve">approval.rejected</w:t>
            </w:r>
          </w:p>
        </w:tc>
        <w:tc>
          <w:tcPr>
            <w:shd w:val="clear" w:color="auto" w:fill="F5F7FB"/>
          </w:tcPr>
          <w:p>
            <w:pPr>
              <w:pStyle w:val="Compact"/>
            </w:pPr>
            <w:r>
              <w:rPr>
                <w:sz w:val="17"/>
              </w:rPr>
              <w:t xml:space="preserve">Rejeté</w:t>
            </w:r>
          </w:p>
        </w:tc>
        <w:tc>
          <w:tcPr>
            <w:shd w:val="clear" w:color="auto" w:fill="F5F7FB"/>
          </w:tcPr>
          <w:p>
            <w:pPr>
              <w:pStyle w:val="Compact"/>
            </w:pPr>
            <w:r>
              <w:rPr>
                <w:sz w:val="17"/>
              </w:rPr>
              <w:t xml:space="preserve">{{objet}} rejeté</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EAP</w:t>
            </w:r>
          </w:p>
        </w:tc>
        <w:tc>
          <w:tcPr>
            <w:shd w:val="clear" w:color="auto" w:fill="F5F7FB"/>
          </w:tcPr>
          <w:p>
            <w:pPr>
              <w:pStyle w:val="Compact"/>
            </w:pPr>
          </w:p>
        </w:tc>
        <w:tc>
          <w:tcPr>
            <w:shd w:val="clear" w:color="auto" w:fill="F5F7FB"/>
          </w:tcPr>
          <w:p>
            <w:pPr>
              <w:pStyle w:val="Compact"/>
            </w:pPr>
            <w:r>
              <w:rPr>
                <w:sz w:val="17"/>
              </w:rPr>
              <w:t xml:space="preserve">G</w:t>
            </w:r>
          </w:p>
        </w:tc>
      </w:tr>
      <w:tr>
        <w:tc>
          <w:tcPr/>
          <w:p>
            <w:pPr>
              <w:pStyle w:val="Compact"/>
            </w:pPr>
            <w:r>
              <w:rPr>
                <w:rStyle w:val="VerbatimChar"/>
                <w:sz w:val="17"/>
              </w:rPr>
              <w:t xml:space="preserve">approval.returned</w:t>
            </w:r>
          </w:p>
        </w:tc>
        <w:tc>
          <w:tcPr/>
          <w:p>
            <w:pPr>
              <w:pStyle w:val="Compact"/>
            </w:pPr>
            <w:r>
              <w:rPr>
                <w:sz w:val="17"/>
              </w:rPr>
              <w:t xml:space="preserve">Renvoyé pour correction</w:t>
            </w:r>
          </w:p>
        </w:tc>
        <w:tc>
          <w:tcPr/>
          <w:p>
            <w:pPr>
              <w:pStyle w:val="Compact"/>
            </w:pPr>
            <w:r>
              <w:rPr>
                <w:sz w:val="17"/>
              </w:rPr>
              <w:t xml:space="preserve">{{objet}} renvoyé pour correction</w:t>
            </w:r>
          </w:p>
        </w:tc>
        <w:tc>
          <w:tcPr/>
          <w:p>
            <w:pPr>
              <w:pStyle w:val="Compact"/>
            </w:pPr>
            <w:r>
              <w:rPr>
                <w:sz w:val="17"/>
              </w:rPr>
              <w:t xml:space="preserve">warning</w:t>
            </w:r>
          </w:p>
        </w:tc>
        <w:tc>
          <w:tcPr/>
          <w:p>
            <w:pPr>
              <w:pStyle w:val="Compact"/>
            </w:pPr>
            <w:r>
              <w:rPr>
                <w:sz w:val="17"/>
              </w:rPr>
              <w:t xml:space="preserve">EAP</w:t>
            </w:r>
          </w:p>
        </w:tc>
        <w:tc>
          <w:tcPr/>
          <w:p>
            <w:pPr>
              <w:pStyle w:val="Compact"/>
            </w:pPr>
          </w:p>
        </w:tc>
        <w:tc>
          <w:tcPr/>
          <w:p>
            <w:pPr>
              <w:pStyle w:val="Compact"/>
            </w:pPr>
            <w:r>
              <w:rPr>
                <w:sz w:val="17"/>
              </w:rPr>
              <w:t xml:space="preserve">G</w:t>
            </w:r>
          </w:p>
        </w:tc>
      </w:tr>
      <w:tr>
        <w:tc>
          <w:tcPr>
            <w:shd w:val="clear" w:color="auto" w:fill="F5F7FB"/>
          </w:tcPr>
          <w:p>
            <w:pPr>
              <w:pStyle w:val="Compact"/>
            </w:pPr>
            <w:r>
              <w:rPr>
                <w:rStyle w:val="VerbatimChar"/>
                <w:sz w:val="17"/>
              </w:rPr>
              <w:t xml:space="preserve">approval.escalated</w:t>
            </w:r>
          </w:p>
        </w:tc>
        <w:tc>
          <w:tcPr>
            <w:shd w:val="clear" w:color="auto" w:fill="F5F7FB"/>
          </w:tcPr>
          <w:p>
            <w:pPr>
              <w:pStyle w:val="Compact"/>
            </w:pPr>
            <w:r>
              <w:rPr>
                <w:sz w:val="17"/>
              </w:rPr>
              <w:t xml:space="preserve">Approbation escaladée</w:t>
            </w:r>
          </w:p>
        </w:tc>
        <w:tc>
          <w:tcPr>
            <w:shd w:val="clear" w:color="auto" w:fill="F5F7FB"/>
          </w:tcPr>
          <w:p>
            <w:pPr>
              <w:pStyle w:val="Compact"/>
            </w:pPr>
            <w:r>
              <w:rPr>
                <w:sz w:val="17"/>
              </w:rPr>
              <w:t xml:space="preserve">Approbation escaladée : {{objet}}</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EAP</w:t>
            </w:r>
          </w:p>
        </w:tc>
        <w:tc>
          <w:tcPr>
            <w:shd w:val="clear" w:color="auto" w:fill="F5F7FB"/>
          </w:tcPr>
          <w:p>
            <w:pPr>
              <w:pStyle w:val="Compact"/>
            </w:pPr>
          </w:p>
        </w:tc>
        <w:tc>
          <w:tcPr>
            <w:shd w:val="clear" w:color="auto" w:fill="F5F7FB"/>
          </w:tcPr>
          <w:p>
            <w:pPr>
              <w:pStyle w:val="Compact"/>
            </w:pPr>
            <w:r>
              <w:rPr>
                <w:sz w:val="17"/>
              </w:rPr>
              <w:t xml:space="preserve">G</w:t>
            </w:r>
          </w:p>
        </w:tc>
      </w:tr>
      <w:tr>
        <w:tc>
          <w:tcPr/>
          <w:p>
            <w:pPr>
              <w:pStyle w:val="Compact"/>
            </w:pPr>
            <w:r>
              <w:rPr>
                <w:rStyle w:val="VerbatimChar"/>
                <w:sz w:val="17"/>
              </w:rPr>
              <w:t xml:space="preserve">approval.sla_breach</w:t>
            </w:r>
          </w:p>
        </w:tc>
        <w:tc>
          <w:tcPr/>
          <w:p>
            <w:pPr>
              <w:pStyle w:val="Compact"/>
            </w:pPr>
            <w:r>
              <w:rPr>
                <w:sz w:val="17"/>
              </w:rPr>
              <w:t xml:space="preserve">Délai d’approbation dépassé</w:t>
            </w:r>
          </w:p>
        </w:tc>
        <w:tc>
          <w:tcPr/>
          <w:p>
            <w:pPr>
              <w:pStyle w:val="Compact"/>
            </w:pPr>
            <w:r>
              <w:rPr>
                <w:sz w:val="17"/>
              </w:rPr>
              <w:t xml:space="preserve">Délai dépassé : {{objet}}</w:t>
            </w:r>
          </w:p>
        </w:tc>
        <w:tc>
          <w:tcPr/>
          <w:p>
            <w:pPr>
              <w:pStyle w:val="Compact"/>
            </w:pPr>
            <w:r>
              <w:rPr>
                <w:sz w:val="17"/>
              </w:rPr>
              <w:t xml:space="preserve">critical</w:t>
            </w:r>
          </w:p>
        </w:tc>
        <w:tc>
          <w:tcPr/>
          <w:p>
            <w:pPr>
              <w:pStyle w:val="Compact"/>
            </w:pPr>
            <w:r>
              <w:rPr>
                <w:sz w:val="17"/>
              </w:rPr>
              <w:t xml:space="preserve">EAS</w:t>
            </w:r>
          </w:p>
        </w:tc>
        <w:tc>
          <w:tcPr/>
          <w:p>
            <w:pPr>
              <w:pStyle w:val="Compact"/>
            </w:pPr>
            <w:r>
              <w:rPr>
                <w:sz w:val="17"/>
              </w:rPr>
              <w:t xml:space="preserve">M</w:t>
            </w:r>
          </w:p>
        </w:tc>
        <w:tc>
          <w:tcPr/>
          <w:p>
            <w:pPr>
              <w:pStyle w:val="Compact"/>
            </w:pPr>
            <w:r>
              <w:rPr>
                <w:sz w:val="17"/>
              </w:rPr>
              <w:t xml:space="preserve">G</w:t>
            </w:r>
          </w:p>
        </w:tc>
      </w:tr>
      <w:tr>
        <w:tc>
          <w:tcPr>
            <w:shd w:val="clear" w:color="auto" w:fill="F5F7FB"/>
          </w:tcPr>
          <w:p>
            <w:pPr>
              <w:pStyle w:val="Compact"/>
            </w:pPr>
            <w:r>
              <w:rPr>
                <w:rStyle w:val="VerbatimChar"/>
                <w:sz w:val="17"/>
              </w:rPr>
              <w:t xml:space="preserve">approval.self_approval_blocked</w:t>
            </w:r>
          </w:p>
        </w:tc>
        <w:tc>
          <w:tcPr>
            <w:shd w:val="clear" w:color="auto" w:fill="F5F7FB"/>
          </w:tcPr>
          <w:p>
            <w:pPr>
              <w:pStyle w:val="Compact"/>
            </w:pPr>
            <w:r>
              <w:rPr>
                <w:sz w:val="17"/>
              </w:rPr>
              <w:t xml:space="preserve">Auto-approbation bloquée</w:t>
            </w:r>
          </w:p>
        </w:tc>
        <w:tc>
          <w:tcPr>
            <w:shd w:val="clear" w:color="auto" w:fill="F5F7FB"/>
          </w:tcPr>
          <w:p>
            <w:pPr>
              <w:pStyle w:val="Compact"/>
            </w:pPr>
            <w:r>
              <w:rPr>
                <w:sz w:val="17"/>
              </w:rPr>
              <w:t xml:space="preserve">Tentative d’auto-approbation bloquée</w:t>
            </w:r>
          </w:p>
        </w:tc>
        <w:tc>
          <w:tcPr>
            <w:shd w:val="clear" w:color="auto" w:fill="F5F7FB"/>
          </w:tcPr>
          <w:p>
            <w:pPr>
              <w:pStyle w:val="Compact"/>
            </w:pPr>
            <w:r>
              <w:rPr>
                <w:sz w:val="17"/>
              </w:rPr>
              <w:t xml:space="preserve">critical</w:t>
            </w:r>
          </w:p>
        </w:tc>
        <w:tc>
          <w:tcPr>
            <w:shd w:val="clear" w:color="auto" w:fill="F5F7FB"/>
          </w:tcPr>
          <w:p>
            <w:pPr>
              <w:pStyle w:val="Compact"/>
            </w:pPr>
            <w:r>
              <w:rPr>
                <w:sz w:val="17"/>
              </w:rPr>
              <w:t xml:space="preserve">EA</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G</w:t>
            </w:r>
          </w:p>
        </w:tc>
      </w:tr>
      <w:tr>
        <w:tc>
          <w:tcPr/>
          <w:p>
            <w:pPr>
              <w:pStyle w:val="Compact"/>
            </w:pPr>
            <w:r>
              <w:rPr>
                <w:rStyle w:val="VerbatimChar"/>
                <w:sz w:val="17"/>
              </w:rPr>
              <w:t xml:space="preserve">beneficiary.change.proposed</w:t>
            </w:r>
          </w:p>
        </w:tc>
        <w:tc>
          <w:tcPr/>
          <w:p>
            <w:pPr>
              <w:pStyle w:val="Compact"/>
            </w:pPr>
            <w:r>
              <w:rPr>
                <w:sz w:val="17"/>
              </w:rPr>
              <w:t xml:space="preserve">Changement de compte bénéficiaire proposé</w:t>
            </w:r>
          </w:p>
        </w:tc>
        <w:tc>
          <w:tcPr/>
          <w:p>
            <w:pPr>
              <w:pStyle w:val="Compact"/>
            </w:pPr>
            <w:r>
              <w:rPr>
                <w:sz w:val="17"/>
              </w:rPr>
              <w:t xml:space="preserve">Proposition de changement de compte public — quorum requis</w:t>
            </w:r>
          </w:p>
        </w:tc>
        <w:tc>
          <w:tcPr/>
          <w:p>
            <w:pPr>
              <w:pStyle w:val="Compact"/>
            </w:pPr>
            <w:r>
              <w:rPr>
                <w:sz w:val="17"/>
              </w:rPr>
              <w:t xml:space="preserve">critical</w:t>
            </w:r>
          </w:p>
        </w:tc>
        <w:tc>
          <w:tcPr/>
          <w:p>
            <w:pPr>
              <w:pStyle w:val="Compact"/>
            </w:pPr>
            <w:r>
              <w:rPr>
                <w:sz w:val="17"/>
              </w:rPr>
              <w:t xml:space="preserve">EASP</w:t>
            </w:r>
          </w:p>
        </w:tc>
        <w:tc>
          <w:tcPr/>
          <w:p>
            <w:pPr>
              <w:pStyle w:val="Compact"/>
            </w:pPr>
            <w:r>
              <w:rPr>
                <w:sz w:val="17"/>
              </w:rPr>
              <w:t xml:space="preserve">M</w:t>
            </w:r>
          </w:p>
        </w:tc>
        <w:tc>
          <w:tcPr/>
          <w:p>
            <w:pPr>
              <w:pStyle w:val="Compact"/>
            </w:pPr>
            <w:r>
              <w:rPr>
                <w:sz w:val="17"/>
              </w:rPr>
              <w:t xml:space="preserve">G</w:t>
            </w:r>
          </w:p>
        </w:tc>
      </w:tr>
      <w:tr>
        <w:tc>
          <w:tcPr>
            <w:shd w:val="clear" w:color="auto" w:fill="F5F7FB"/>
          </w:tcPr>
          <w:p>
            <w:pPr>
              <w:pStyle w:val="Compact"/>
            </w:pPr>
            <w:r>
              <w:rPr>
                <w:rStyle w:val="VerbatimChar"/>
                <w:sz w:val="17"/>
              </w:rPr>
              <w:t xml:space="preserve">beneficiary.change.cooling_off</w:t>
            </w:r>
          </w:p>
        </w:tc>
        <w:tc>
          <w:tcPr>
            <w:shd w:val="clear" w:color="auto" w:fill="F5F7FB"/>
          </w:tcPr>
          <w:p>
            <w:pPr>
              <w:pStyle w:val="Compact"/>
            </w:pPr>
            <w:r>
              <w:rPr>
                <w:sz w:val="17"/>
              </w:rPr>
              <w:t xml:space="preserve">Délai de refroidissement en cours</w:t>
            </w:r>
          </w:p>
        </w:tc>
        <w:tc>
          <w:tcPr>
            <w:shd w:val="clear" w:color="auto" w:fill="F5F7FB"/>
          </w:tcPr>
          <w:p>
            <w:pPr>
              <w:pStyle w:val="Compact"/>
            </w:pPr>
            <w:r>
              <w:rPr>
                <w:sz w:val="17"/>
              </w:rPr>
              <w:t xml:space="preserve">Changement de compte public effectif le {{date}} sauf opposition</w:t>
            </w:r>
          </w:p>
        </w:tc>
        <w:tc>
          <w:tcPr>
            <w:shd w:val="clear" w:color="auto" w:fill="F5F7FB"/>
          </w:tcPr>
          <w:p>
            <w:pPr>
              <w:pStyle w:val="Compact"/>
            </w:pPr>
            <w:r>
              <w:rPr>
                <w:sz w:val="17"/>
              </w:rPr>
              <w:t xml:space="preserve">critical</w:t>
            </w:r>
          </w:p>
        </w:tc>
        <w:tc>
          <w:tcPr>
            <w:shd w:val="clear" w:color="auto" w:fill="F5F7FB"/>
          </w:tcPr>
          <w:p>
            <w:pPr>
              <w:pStyle w:val="Compact"/>
            </w:pPr>
            <w:r>
              <w:rPr>
                <w:sz w:val="17"/>
              </w:rPr>
              <w:t xml:space="preserve">EAS</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G</w:t>
            </w:r>
          </w:p>
        </w:tc>
      </w:tr>
      <w:tr>
        <w:tc>
          <w:tcPr/>
          <w:p>
            <w:pPr>
              <w:pStyle w:val="Compact"/>
            </w:pPr>
            <w:r>
              <w:rPr>
                <w:rStyle w:val="VerbatimChar"/>
                <w:sz w:val="17"/>
              </w:rPr>
              <w:t xml:space="preserve">beneficiary.change.effective</w:t>
            </w:r>
          </w:p>
        </w:tc>
        <w:tc>
          <w:tcPr/>
          <w:p>
            <w:pPr>
              <w:pStyle w:val="Compact"/>
            </w:pPr>
            <w:r>
              <w:rPr>
                <w:sz w:val="17"/>
              </w:rPr>
              <w:t xml:space="preserve">Changement de compte bénéficiaire effectif</w:t>
            </w:r>
          </w:p>
        </w:tc>
        <w:tc>
          <w:tcPr/>
          <w:p>
            <w:pPr>
              <w:pStyle w:val="Compact"/>
            </w:pPr>
            <w:r>
              <w:rPr>
                <w:sz w:val="17"/>
              </w:rPr>
              <w:t xml:space="preserve">Compte public modifié</w:t>
            </w:r>
          </w:p>
        </w:tc>
        <w:tc>
          <w:tcPr/>
          <w:p>
            <w:pPr>
              <w:pStyle w:val="Compact"/>
            </w:pPr>
            <w:r>
              <w:rPr>
                <w:sz w:val="17"/>
              </w:rPr>
              <w:t xml:space="preserve">critical</w:t>
            </w:r>
          </w:p>
        </w:tc>
        <w:tc>
          <w:tcPr/>
          <w:p>
            <w:pPr>
              <w:pStyle w:val="Compact"/>
            </w:pPr>
            <w:r>
              <w:rPr>
                <w:sz w:val="17"/>
              </w:rPr>
              <w:t xml:space="preserve">EAS</w:t>
            </w:r>
          </w:p>
        </w:tc>
        <w:tc>
          <w:tcPr/>
          <w:p>
            <w:pPr>
              <w:pStyle w:val="Compact"/>
            </w:pPr>
            <w:r>
              <w:rPr>
                <w:sz w:val="17"/>
              </w:rPr>
              <w:t xml:space="preserve">M</w:t>
            </w:r>
          </w:p>
        </w:tc>
        <w:tc>
          <w:tcPr/>
          <w:p>
            <w:pPr>
              <w:pStyle w:val="Compact"/>
            </w:pPr>
            <w:r>
              <w:rPr>
                <w:sz w:val="17"/>
              </w:rPr>
              <w:t xml:space="preserve">G</w:t>
            </w:r>
          </w:p>
        </w:tc>
      </w:tr>
      <w:tr>
        <w:tc>
          <w:tcPr>
            <w:shd w:val="clear" w:color="auto" w:fill="F5F7FB"/>
          </w:tcPr>
          <w:p>
            <w:pPr>
              <w:pStyle w:val="Compact"/>
            </w:pPr>
            <w:r>
              <w:rPr>
                <w:rStyle w:val="VerbatimChar"/>
                <w:sz w:val="17"/>
              </w:rPr>
              <w:t xml:space="preserve">beneficiary.change.blocked</w:t>
            </w:r>
          </w:p>
        </w:tc>
        <w:tc>
          <w:tcPr>
            <w:shd w:val="clear" w:color="auto" w:fill="F5F7FB"/>
          </w:tcPr>
          <w:p>
            <w:pPr>
              <w:pStyle w:val="Compact"/>
            </w:pPr>
            <w:r>
              <w:rPr>
                <w:sz w:val="17"/>
              </w:rPr>
              <w:t xml:space="preserve">Changement de compte bloqué</w:t>
            </w:r>
          </w:p>
        </w:tc>
        <w:tc>
          <w:tcPr>
            <w:shd w:val="clear" w:color="auto" w:fill="F5F7FB"/>
          </w:tcPr>
          <w:p>
            <w:pPr>
              <w:pStyle w:val="Compact"/>
            </w:pPr>
            <w:r>
              <w:rPr>
                <w:sz w:val="17"/>
              </w:rPr>
              <w:t xml:space="preserve">Changement de compte public bloqué</w:t>
            </w:r>
          </w:p>
        </w:tc>
        <w:tc>
          <w:tcPr>
            <w:shd w:val="clear" w:color="auto" w:fill="F5F7FB"/>
          </w:tcPr>
          <w:p>
            <w:pPr>
              <w:pStyle w:val="Compact"/>
            </w:pPr>
            <w:r>
              <w:rPr>
                <w:sz w:val="17"/>
              </w:rPr>
              <w:t xml:space="preserve">critical</w:t>
            </w:r>
          </w:p>
        </w:tc>
        <w:tc>
          <w:tcPr>
            <w:shd w:val="clear" w:color="auto" w:fill="F5F7FB"/>
          </w:tcPr>
          <w:p>
            <w:pPr>
              <w:pStyle w:val="Compact"/>
            </w:pPr>
            <w:r>
              <w:rPr>
                <w:sz w:val="17"/>
              </w:rPr>
              <w:t xml:space="preserve">EAS</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G</w:t>
            </w:r>
          </w:p>
        </w:tc>
      </w:tr>
    </w:tbl>
    <w:bookmarkEnd w:id="598"/>
    <w:bookmarkStart w:id="599" w:name="g.15-registre-juridique-et-règles"/>
    <w:p>
      <w:pPr>
        <w:pStyle w:val="Heading2"/>
      </w:pPr>
      <w:r>
        <w:t xml:space="preserve">G.15 Registre juridique et règles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shd w:val="clear" w:color="auto" w:fill="232C6B"/>
          </w:tcPr>
          <w:p>
            <w:pPr>
              <w:pStyle w:val="Compact"/>
            </w:pPr>
            <w:r>
              <w:rPr>
                <w:b/>
                <w:color w:val="FFFFFF"/>
                <w:sz w:val="17"/>
              </w:rPr>
              <w:t xml:space="preserve">Code</w:t>
            </w:r>
          </w:p>
        </w:tc>
        <w:tc>
          <w:tcPr>
            <w:shd w:val="clear" w:color="auto" w:fill="232C6B"/>
          </w:tcPr>
          <w:p>
            <w:pPr>
              <w:pStyle w:val="Compact"/>
            </w:pPr>
            <w:r>
              <w:rPr>
                <w:b/>
                <w:color w:val="FFFFFF"/>
                <w:sz w:val="17"/>
              </w:rPr>
              <w:t xml:space="preserve">Événement</w:t>
            </w:r>
          </w:p>
        </w:tc>
        <w:tc>
          <w:tcPr>
            <w:shd w:val="clear" w:color="auto" w:fill="232C6B"/>
          </w:tcPr>
          <w:p>
            <w:pPr>
              <w:pStyle w:val="Compact"/>
            </w:pPr>
            <w:r>
              <w:rPr>
                <w:b/>
                <w:color w:val="FFFFFF"/>
                <w:sz w:val="17"/>
              </w:rPr>
              <w:t xml:space="preserve">Objet du message (fr)</w:t>
            </w:r>
          </w:p>
        </w:tc>
        <w:tc>
          <w:tcPr>
            <w:shd w:val="clear" w:color="auto" w:fill="232C6B"/>
          </w:tcPr>
          <w:p>
            <w:pPr>
              <w:pStyle w:val="Compact"/>
            </w:pPr>
            <w:r>
              <w:rPr>
                <w:b/>
                <w:color w:val="FFFFFF"/>
                <w:sz w:val="17"/>
              </w:rPr>
              <w:t xml:space="preserve">Gravité</w:t>
            </w:r>
          </w:p>
        </w:tc>
        <w:tc>
          <w:tcPr>
            <w:shd w:val="clear" w:color="auto" w:fill="232C6B"/>
          </w:tcPr>
          <w:p>
            <w:pPr>
              <w:pStyle w:val="Compact"/>
            </w:pPr>
            <w:r>
              <w:rPr>
                <w:b/>
                <w:color w:val="FFFFFF"/>
                <w:sz w:val="17"/>
              </w:rPr>
              <w:t xml:space="preserve">Canaux</w:t>
            </w:r>
          </w:p>
        </w:tc>
        <w:tc>
          <w:tcPr>
            <w:shd w:val="clear" w:color="auto" w:fill="232C6B"/>
          </w:tcPr>
          <w:p>
            <w:pPr>
              <w:pStyle w:val="Compact"/>
            </w:pPr>
            <w:r>
              <w:rPr>
                <w:b/>
                <w:color w:val="FFFFFF"/>
                <w:sz w:val="17"/>
              </w:rPr>
              <w:t xml:space="preserve">M</w:t>
            </w:r>
          </w:p>
        </w:tc>
        <w:tc>
          <w:tcPr>
            <w:shd w:val="clear" w:color="auto" w:fill="232C6B"/>
          </w:tcPr>
          <w:p>
            <w:pPr>
              <w:pStyle w:val="Compact"/>
            </w:pPr>
            <w:r>
              <w:rPr>
                <w:b/>
                <w:color w:val="FFFFFF"/>
                <w:sz w:val="17"/>
              </w:rPr>
              <w:t xml:space="preserve">Public</w:t>
            </w:r>
          </w:p>
        </w:tc>
      </w:tr>
      <w:tr>
        <w:tc>
          <w:tcPr/>
          <w:p>
            <w:pPr>
              <w:pStyle w:val="Compact"/>
            </w:pPr>
            <w:r>
              <w:rPr>
                <w:rStyle w:val="VerbatimChar"/>
                <w:sz w:val="17"/>
              </w:rPr>
              <w:t xml:space="preserve">rule.draft.submitted</w:t>
            </w:r>
          </w:p>
        </w:tc>
        <w:tc>
          <w:tcPr/>
          <w:p>
            <w:pPr>
              <w:pStyle w:val="Compact"/>
            </w:pPr>
            <w:r>
              <w:rPr>
                <w:sz w:val="17"/>
              </w:rPr>
              <w:t xml:space="preserve">Règle soumise</w:t>
            </w:r>
          </w:p>
        </w:tc>
        <w:tc>
          <w:tcPr/>
          <w:p>
            <w:pPr>
              <w:pStyle w:val="Compact"/>
            </w:pPr>
            <w:r>
              <w:rPr>
                <w:sz w:val="17"/>
              </w:rPr>
              <w:t xml:space="preserve">Règle {{regle}} soumise à revue</w:t>
            </w:r>
          </w:p>
        </w:tc>
        <w:tc>
          <w:tcPr/>
          <w:p>
            <w:pPr>
              <w:pStyle w:val="Compact"/>
            </w:pPr>
            <w:r>
              <w:rPr>
                <w:sz w:val="17"/>
              </w:rPr>
              <w:t xml:space="preserve">info</w:t>
            </w:r>
          </w:p>
        </w:tc>
        <w:tc>
          <w:tcPr/>
          <w:p>
            <w:pPr>
              <w:pStyle w:val="Compact"/>
            </w:pPr>
            <w:r>
              <w:rPr>
                <w:sz w:val="17"/>
              </w:rPr>
              <w:t xml:space="preserve">EA</w:t>
            </w:r>
          </w:p>
        </w:tc>
        <w:tc>
          <w:tcPr/>
          <w:p>
            <w:pPr>
              <w:pStyle w:val="Compact"/>
            </w:pPr>
          </w:p>
        </w:tc>
        <w:tc>
          <w:tcPr/>
          <w:p>
            <w:pPr>
              <w:pStyle w:val="Compact"/>
            </w:pPr>
            <w:r>
              <w:rPr>
                <w:sz w:val="17"/>
              </w:rPr>
              <w:t xml:space="preserve">G</w:t>
            </w:r>
          </w:p>
        </w:tc>
      </w:tr>
      <w:tr>
        <w:tc>
          <w:tcPr>
            <w:shd w:val="clear" w:color="auto" w:fill="F5F7FB"/>
          </w:tcPr>
          <w:p>
            <w:pPr>
              <w:pStyle w:val="Compact"/>
            </w:pPr>
            <w:r>
              <w:rPr>
                <w:rStyle w:val="VerbatimChar"/>
                <w:sz w:val="17"/>
              </w:rPr>
              <w:t xml:space="preserve">rule.legal_review.done</w:t>
            </w:r>
          </w:p>
        </w:tc>
        <w:tc>
          <w:tcPr>
            <w:shd w:val="clear" w:color="auto" w:fill="F5F7FB"/>
          </w:tcPr>
          <w:p>
            <w:pPr>
              <w:pStyle w:val="Compact"/>
            </w:pPr>
            <w:r>
              <w:rPr>
                <w:sz w:val="17"/>
              </w:rPr>
              <w:t xml:space="preserve">Visa juridique</w:t>
            </w:r>
          </w:p>
        </w:tc>
        <w:tc>
          <w:tcPr>
            <w:shd w:val="clear" w:color="auto" w:fill="F5F7FB"/>
          </w:tcPr>
          <w:p>
            <w:pPr>
              <w:pStyle w:val="Compact"/>
            </w:pPr>
            <w:r>
              <w:rPr>
                <w:sz w:val="17"/>
              </w:rPr>
              <w:t xml:space="preserve">Visa juridique : {{regle}}</w:t>
            </w:r>
          </w:p>
        </w:tc>
        <w:tc>
          <w:tcPr>
            <w:shd w:val="clear" w:color="auto" w:fill="F5F7FB"/>
          </w:tcPr>
          <w:p>
            <w:pPr>
              <w:pStyle w:val="Compact"/>
            </w:pPr>
            <w:r>
              <w:rPr>
                <w:sz w:val="17"/>
              </w:rPr>
              <w:t xml:space="preserve">info</w:t>
            </w:r>
          </w:p>
        </w:tc>
        <w:tc>
          <w:tcPr>
            <w:shd w:val="clear" w:color="auto" w:fill="F5F7FB"/>
          </w:tcPr>
          <w:p>
            <w:pPr>
              <w:pStyle w:val="Compact"/>
            </w:pPr>
            <w:r>
              <w:rPr>
                <w:sz w:val="17"/>
              </w:rPr>
              <w:t xml:space="preserve">EA</w:t>
            </w:r>
          </w:p>
        </w:tc>
        <w:tc>
          <w:tcPr>
            <w:shd w:val="clear" w:color="auto" w:fill="F5F7FB"/>
          </w:tcPr>
          <w:p>
            <w:pPr>
              <w:pStyle w:val="Compact"/>
            </w:pPr>
          </w:p>
        </w:tc>
        <w:tc>
          <w:tcPr>
            <w:shd w:val="clear" w:color="auto" w:fill="F5F7FB"/>
          </w:tcPr>
          <w:p>
            <w:pPr>
              <w:pStyle w:val="Compact"/>
            </w:pPr>
            <w:r>
              <w:rPr>
                <w:sz w:val="17"/>
              </w:rPr>
              <w:t xml:space="preserve">G</w:t>
            </w:r>
          </w:p>
        </w:tc>
      </w:tr>
      <w:tr>
        <w:tc>
          <w:tcPr/>
          <w:p>
            <w:pPr>
              <w:pStyle w:val="Compact"/>
            </w:pPr>
            <w:r>
              <w:rPr>
                <w:rStyle w:val="VerbatimChar"/>
                <w:sz w:val="17"/>
              </w:rPr>
              <w:t xml:space="preserve">rule.financial_review.done</w:t>
            </w:r>
          </w:p>
        </w:tc>
        <w:tc>
          <w:tcPr/>
          <w:p>
            <w:pPr>
              <w:pStyle w:val="Compact"/>
            </w:pPr>
            <w:r>
              <w:rPr>
                <w:sz w:val="17"/>
              </w:rPr>
              <w:t xml:space="preserve">Visa financier</w:t>
            </w:r>
          </w:p>
        </w:tc>
        <w:tc>
          <w:tcPr/>
          <w:p>
            <w:pPr>
              <w:pStyle w:val="Compact"/>
            </w:pPr>
            <w:r>
              <w:rPr>
                <w:sz w:val="17"/>
              </w:rPr>
              <w:t xml:space="preserve">Visa financier : {{regle}}</w:t>
            </w:r>
          </w:p>
        </w:tc>
        <w:tc>
          <w:tcPr/>
          <w:p>
            <w:pPr>
              <w:pStyle w:val="Compact"/>
            </w:pPr>
            <w:r>
              <w:rPr>
                <w:sz w:val="17"/>
              </w:rPr>
              <w:t xml:space="preserve">info</w:t>
            </w:r>
          </w:p>
        </w:tc>
        <w:tc>
          <w:tcPr/>
          <w:p>
            <w:pPr>
              <w:pStyle w:val="Compact"/>
            </w:pPr>
            <w:r>
              <w:rPr>
                <w:sz w:val="17"/>
              </w:rPr>
              <w:t xml:space="preserve">EA</w:t>
            </w:r>
          </w:p>
        </w:tc>
        <w:tc>
          <w:tcPr/>
          <w:p>
            <w:pPr>
              <w:pStyle w:val="Compact"/>
            </w:pPr>
          </w:p>
        </w:tc>
        <w:tc>
          <w:tcPr/>
          <w:p>
            <w:pPr>
              <w:pStyle w:val="Compact"/>
            </w:pPr>
            <w:r>
              <w:rPr>
                <w:sz w:val="17"/>
              </w:rPr>
              <w:t xml:space="preserve">G</w:t>
            </w:r>
          </w:p>
        </w:tc>
      </w:tr>
      <w:tr>
        <w:tc>
          <w:tcPr>
            <w:shd w:val="clear" w:color="auto" w:fill="F5F7FB"/>
          </w:tcPr>
          <w:p>
            <w:pPr>
              <w:pStyle w:val="Compact"/>
            </w:pPr>
            <w:r>
              <w:rPr>
                <w:rStyle w:val="VerbatimChar"/>
                <w:sz w:val="17"/>
              </w:rPr>
              <w:t xml:space="preserve">rule.published</w:t>
            </w:r>
          </w:p>
        </w:tc>
        <w:tc>
          <w:tcPr>
            <w:shd w:val="clear" w:color="auto" w:fill="F5F7FB"/>
          </w:tcPr>
          <w:p>
            <w:pPr>
              <w:pStyle w:val="Compact"/>
            </w:pPr>
            <w:r>
              <w:rPr>
                <w:sz w:val="17"/>
              </w:rPr>
              <w:t xml:space="preserve">Règle publiée</w:t>
            </w:r>
          </w:p>
        </w:tc>
        <w:tc>
          <w:tcPr>
            <w:shd w:val="clear" w:color="auto" w:fill="F5F7FB"/>
          </w:tcPr>
          <w:p>
            <w:pPr>
              <w:pStyle w:val="Compact"/>
            </w:pPr>
            <w:r>
              <w:rPr>
                <w:sz w:val="17"/>
              </w:rPr>
              <w:t xml:space="preserve">Règle {{regle}} publiée, effet au {{date}}</w:t>
            </w:r>
          </w:p>
        </w:tc>
        <w:tc>
          <w:tcPr>
            <w:shd w:val="clear" w:color="auto" w:fill="F5F7FB"/>
          </w:tcPr>
          <w:p>
            <w:pPr>
              <w:pStyle w:val="Compact"/>
            </w:pPr>
            <w:r>
              <w:rPr>
                <w:sz w:val="17"/>
              </w:rPr>
              <w:t xml:space="preserve">success</w:t>
            </w:r>
          </w:p>
        </w:tc>
        <w:tc>
          <w:tcPr>
            <w:shd w:val="clear" w:color="auto" w:fill="F5F7FB"/>
          </w:tcPr>
          <w:p>
            <w:pPr>
              <w:pStyle w:val="Compact"/>
            </w:pPr>
            <w:r>
              <w:rPr>
                <w:sz w:val="17"/>
              </w:rPr>
              <w:t xml:space="preserve">EA</w:t>
            </w:r>
          </w:p>
        </w:tc>
        <w:tc>
          <w:tcPr>
            <w:shd w:val="clear" w:color="auto" w:fill="F5F7FB"/>
          </w:tcPr>
          <w:p>
            <w:pPr>
              <w:pStyle w:val="Compact"/>
            </w:pPr>
          </w:p>
        </w:tc>
        <w:tc>
          <w:tcPr>
            <w:shd w:val="clear" w:color="auto" w:fill="F5F7FB"/>
          </w:tcPr>
          <w:p>
            <w:pPr>
              <w:pStyle w:val="Compact"/>
            </w:pPr>
            <w:r>
              <w:rPr>
                <w:sz w:val="17"/>
              </w:rPr>
              <w:t xml:space="preserve">G</w:t>
            </w:r>
          </w:p>
        </w:tc>
      </w:tr>
      <w:tr>
        <w:tc>
          <w:tcPr/>
          <w:p>
            <w:pPr>
              <w:pStyle w:val="Compact"/>
            </w:pPr>
            <w:r>
              <w:rPr>
                <w:rStyle w:val="VerbatimChar"/>
                <w:sz w:val="17"/>
              </w:rPr>
              <w:t xml:space="preserve">rule.activated</w:t>
            </w:r>
          </w:p>
        </w:tc>
        <w:tc>
          <w:tcPr/>
          <w:p>
            <w:pPr>
              <w:pStyle w:val="Compact"/>
            </w:pPr>
            <w:r>
              <w:rPr>
                <w:sz w:val="17"/>
              </w:rPr>
              <w:t xml:space="preserve">Règle active</w:t>
            </w:r>
          </w:p>
        </w:tc>
        <w:tc>
          <w:tcPr/>
          <w:p>
            <w:pPr>
              <w:pStyle w:val="Compact"/>
            </w:pPr>
            <w:r>
              <w:rPr>
                <w:sz w:val="17"/>
              </w:rPr>
              <w:t xml:space="preserve">Règle {{regle}} active</w:t>
            </w:r>
          </w:p>
        </w:tc>
        <w:tc>
          <w:tcPr/>
          <w:p>
            <w:pPr>
              <w:pStyle w:val="Compact"/>
            </w:pPr>
            <w:r>
              <w:rPr>
                <w:sz w:val="17"/>
              </w:rPr>
              <w:t xml:space="preserve">success</w:t>
            </w:r>
          </w:p>
        </w:tc>
        <w:tc>
          <w:tcPr/>
          <w:p>
            <w:pPr>
              <w:pStyle w:val="Compact"/>
            </w:pPr>
            <w:r>
              <w:rPr>
                <w:sz w:val="17"/>
              </w:rPr>
              <w:t xml:space="preserve">A</w:t>
            </w:r>
          </w:p>
        </w:tc>
        <w:tc>
          <w:tcPr/>
          <w:p>
            <w:pPr>
              <w:pStyle w:val="Compact"/>
            </w:pPr>
          </w:p>
        </w:tc>
        <w:tc>
          <w:tcPr/>
          <w:p>
            <w:pPr>
              <w:pStyle w:val="Compact"/>
            </w:pPr>
            <w:r>
              <w:rPr>
                <w:sz w:val="17"/>
              </w:rPr>
              <w:t xml:space="preserve">G</w:t>
            </w:r>
          </w:p>
        </w:tc>
      </w:tr>
      <w:tr>
        <w:tc>
          <w:tcPr>
            <w:shd w:val="clear" w:color="auto" w:fill="F5F7FB"/>
          </w:tcPr>
          <w:p>
            <w:pPr>
              <w:pStyle w:val="Compact"/>
            </w:pPr>
            <w:r>
              <w:rPr>
                <w:rStyle w:val="VerbatimChar"/>
                <w:sz w:val="17"/>
              </w:rPr>
              <w:t xml:space="preserve">rule.expiring</w:t>
            </w:r>
          </w:p>
        </w:tc>
        <w:tc>
          <w:tcPr>
            <w:shd w:val="clear" w:color="auto" w:fill="F5F7FB"/>
          </w:tcPr>
          <w:p>
            <w:pPr>
              <w:pStyle w:val="Compact"/>
            </w:pPr>
            <w:r>
              <w:rPr>
                <w:sz w:val="17"/>
              </w:rPr>
              <w:t xml:space="preserve">Règle bientôt expirée</w:t>
            </w:r>
          </w:p>
        </w:tc>
        <w:tc>
          <w:tcPr>
            <w:shd w:val="clear" w:color="auto" w:fill="F5F7FB"/>
          </w:tcPr>
          <w:p>
            <w:pPr>
              <w:pStyle w:val="Compact"/>
            </w:pPr>
            <w:r>
              <w:rPr>
                <w:sz w:val="17"/>
              </w:rPr>
              <w:t xml:space="preserve">Règle {{regle}} expire le {{date}}</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EAP</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G</w:t>
            </w:r>
          </w:p>
        </w:tc>
      </w:tr>
      <w:tr>
        <w:tc>
          <w:tcPr/>
          <w:p>
            <w:pPr>
              <w:pStyle w:val="Compact"/>
            </w:pPr>
            <w:r>
              <w:rPr>
                <w:rStyle w:val="VerbatimChar"/>
                <w:sz w:val="17"/>
              </w:rPr>
              <w:t xml:space="preserve">rule.suspended</w:t>
            </w:r>
          </w:p>
        </w:tc>
        <w:tc>
          <w:tcPr/>
          <w:p>
            <w:pPr>
              <w:pStyle w:val="Compact"/>
            </w:pPr>
            <w:r>
              <w:rPr>
                <w:sz w:val="17"/>
              </w:rPr>
              <w:t xml:space="preserve">Règle suspendue</w:t>
            </w:r>
          </w:p>
        </w:tc>
        <w:tc>
          <w:tcPr/>
          <w:p>
            <w:pPr>
              <w:pStyle w:val="Compact"/>
            </w:pPr>
            <w:r>
              <w:rPr>
                <w:sz w:val="17"/>
              </w:rPr>
              <w:t xml:space="preserve">Règle {{regle}} suspendue</w:t>
            </w:r>
          </w:p>
        </w:tc>
        <w:tc>
          <w:tcPr/>
          <w:p>
            <w:pPr>
              <w:pStyle w:val="Compact"/>
            </w:pPr>
            <w:r>
              <w:rPr>
                <w:sz w:val="17"/>
              </w:rPr>
              <w:t xml:space="preserve">critical</w:t>
            </w:r>
          </w:p>
        </w:tc>
        <w:tc>
          <w:tcPr/>
          <w:p>
            <w:pPr>
              <w:pStyle w:val="Compact"/>
            </w:pPr>
            <w:r>
              <w:rPr>
                <w:sz w:val="17"/>
              </w:rPr>
              <w:t xml:space="preserve">EAS</w:t>
            </w:r>
          </w:p>
        </w:tc>
        <w:tc>
          <w:tcPr/>
          <w:p>
            <w:pPr>
              <w:pStyle w:val="Compact"/>
            </w:pPr>
            <w:r>
              <w:rPr>
                <w:sz w:val="17"/>
              </w:rPr>
              <w:t xml:space="preserve">M</w:t>
            </w:r>
          </w:p>
        </w:tc>
        <w:tc>
          <w:tcPr/>
          <w:p>
            <w:pPr>
              <w:pStyle w:val="Compact"/>
            </w:pPr>
            <w:r>
              <w:rPr>
                <w:sz w:val="17"/>
              </w:rPr>
              <w:t xml:space="preserve">G</w:t>
            </w:r>
          </w:p>
        </w:tc>
      </w:tr>
      <w:tr>
        <w:tc>
          <w:tcPr>
            <w:shd w:val="clear" w:color="auto" w:fill="F5F7FB"/>
          </w:tcPr>
          <w:p>
            <w:pPr>
              <w:pStyle w:val="Compact"/>
            </w:pPr>
            <w:r>
              <w:rPr>
                <w:rStyle w:val="VerbatimChar"/>
                <w:sz w:val="17"/>
              </w:rPr>
              <w:t xml:space="preserve">rule.conflict.detected</w:t>
            </w:r>
          </w:p>
        </w:tc>
        <w:tc>
          <w:tcPr>
            <w:shd w:val="clear" w:color="auto" w:fill="F5F7FB"/>
          </w:tcPr>
          <w:p>
            <w:pPr>
              <w:pStyle w:val="Compact"/>
            </w:pPr>
            <w:r>
              <w:rPr>
                <w:sz w:val="17"/>
              </w:rPr>
              <w:t xml:space="preserve">Conflit de règles</w:t>
            </w:r>
          </w:p>
        </w:tc>
        <w:tc>
          <w:tcPr>
            <w:shd w:val="clear" w:color="auto" w:fill="F5F7FB"/>
          </w:tcPr>
          <w:p>
            <w:pPr>
              <w:pStyle w:val="Compact"/>
            </w:pPr>
            <w:r>
              <w:rPr>
                <w:sz w:val="17"/>
              </w:rPr>
              <w:t xml:space="preserve">Double revendication d’un fait générateur</w:t>
            </w:r>
          </w:p>
        </w:tc>
        <w:tc>
          <w:tcPr>
            <w:shd w:val="clear" w:color="auto" w:fill="F5F7FB"/>
          </w:tcPr>
          <w:p>
            <w:pPr>
              <w:pStyle w:val="Compact"/>
            </w:pPr>
            <w:r>
              <w:rPr>
                <w:sz w:val="17"/>
              </w:rPr>
              <w:t xml:space="preserve">critical</w:t>
            </w:r>
          </w:p>
        </w:tc>
        <w:tc>
          <w:tcPr>
            <w:shd w:val="clear" w:color="auto" w:fill="F5F7FB"/>
          </w:tcPr>
          <w:p>
            <w:pPr>
              <w:pStyle w:val="Compact"/>
            </w:pPr>
            <w:r>
              <w:rPr>
                <w:sz w:val="17"/>
              </w:rPr>
              <w:t xml:space="preserve">EA</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G</w:t>
            </w:r>
          </w:p>
        </w:tc>
      </w:tr>
      <w:tr>
        <w:tc>
          <w:tcPr/>
          <w:p>
            <w:pPr>
              <w:pStyle w:val="Compact"/>
            </w:pPr>
            <w:r>
              <w:rPr>
                <w:rStyle w:val="VerbatimChar"/>
                <w:sz w:val="17"/>
              </w:rPr>
              <w:t xml:space="preserve">legal.instrument.abrogated</w:t>
            </w:r>
          </w:p>
        </w:tc>
        <w:tc>
          <w:tcPr/>
          <w:p>
            <w:pPr>
              <w:pStyle w:val="Compact"/>
            </w:pPr>
            <w:r>
              <w:rPr>
                <w:sz w:val="17"/>
              </w:rPr>
              <w:t xml:space="preserve">Texte abrogé</w:t>
            </w:r>
          </w:p>
        </w:tc>
        <w:tc>
          <w:tcPr/>
          <w:p>
            <w:pPr>
              <w:pStyle w:val="Compact"/>
            </w:pPr>
            <w:r>
              <w:rPr>
                <w:sz w:val="17"/>
              </w:rPr>
              <w:t xml:space="preserve">Le texte {{texte}} est abrogé — règles impactées</w:t>
            </w:r>
          </w:p>
        </w:tc>
        <w:tc>
          <w:tcPr/>
          <w:p>
            <w:pPr>
              <w:pStyle w:val="Compact"/>
            </w:pPr>
            <w:r>
              <w:rPr>
                <w:sz w:val="17"/>
              </w:rPr>
              <w:t xml:space="preserve">critical</w:t>
            </w:r>
          </w:p>
        </w:tc>
        <w:tc>
          <w:tcPr/>
          <w:p>
            <w:pPr>
              <w:pStyle w:val="Compact"/>
            </w:pPr>
            <w:r>
              <w:rPr>
                <w:sz w:val="17"/>
              </w:rPr>
              <w:t xml:space="preserve">EA</w:t>
            </w:r>
          </w:p>
        </w:tc>
        <w:tc>
          <w:tcPr/>
          <w:p>
            <w:pPr>
              <w:pStyle w:val="Compact"/>
            </w:pPr>
            <w:r>
              <w:rPr>
                <w:sz w:val="17"/>
              </w:rPr>
              <w:t xml:space="preserve">M</w:t>
            </w:r>
          </w:p>
        </w:tc>
        <w:tc>
          <w:tcPr/>
          <w:p>
            <w:pPr>
              <w:pStyle w:val="Compact"/>
            </w:pPr>
            <w:r>
              <w:rPr>
                <w:sz w:val="17"/>
              </w:rPr>
              <w:t xml:space="preserve">G</w:t>
            </w:r>
          </w:p>
        </w:tc>
      </w:tr>
      <w:tr>
        <w:tc>
          <w:tcPr>
            <w:shd w:val="clear" w:color="auto" w:fill="F5F7FB"/>
          </w:tcPr>
          <w:p>
            <w:pPr>
              <w:pStyle w:val="Compact"/>
            </w:pPr>
            <w:r>
              <w:rPr>
                <w:rStyle w:val="VerbatimChar"/>
                <w:sz w:val="17"/>
              </w:rPr>
              <w:t xml:space="preserve">legal.change.public_notice</w:t>
            </w:r>
          </w:p>
        </w:tc>
        <w:tc>
          <w:tcPr>
            <w:shd w:val="clear" w:color="auto" w:fill="F5F7FB"/>
          </w:tcPr>
          <w:p>
            <w:pPr>
              <w:pStyle w:val="Compact"/>
            </w:pPr>
            <w:r>
              <w:rPr>
                <w:sz w:val="17"/>
              </w:rPr>
              <w:t xml:space="preserve">Information réglementaire</w:t>
            </w:r>
          </w:p>
        </w:tc>
        <w:tc>
          <w:tcPr>
            <w:shd w:val="clear" w:color="auto" w:fill="F5F7FB"/>
          </w:tcPr>
          <w:p>
            <w:pPr>
              <w:pStyle w:val="Compact"/>
            </w:pPr>
            <w:r>
              <w:rPr>
                <w:sz w:val="17"/>
              </w:rPr>
              <w:t xml:space="preserve">Changement de règle vous concernant</w:t>
            </w:r>
          </w:p>
        </w:tc>
        <w:tc>
          <w:tcPr>
            <w:shd w:val="clear" w:color="auto" w:fill="F5F7FB"/>
          </w:tcPr>
          <w:p>
            <w:pPr>
              <w:pStyle w:val="Compact"/>
            </w:pPr>
            <w:r>
              <w:rPr>
                <w:sz w:val="17"/>
              </w:rPr>
              <w:t xml:space="preserve">info</w:t>
            </w:r>
          </w:p>
        </w:tc>
        <w:tc>
          <w:tcPr>
            <w:shd w:val="clear" w:color="auto" w:fill="F5F7FB"/>
          </w:tcPr>
          <w:p>
            <w:pPr>
              <w:pStyle w:val="Compact"/>
            </w:pPr>
            <w:r>
              <w:rPr>
                <w:sz w:val="17"/>
              </w:rPr>
              <w:t xml:space="preserve">EASU+W</w:t>
            </w:r>
          </w:p>
        </w:tc>
        <w:tc>
          <w:tcPr>
            <w:shd w:val="clear" w:color="auto" w:fill="F5F7FB"/>
          </w:tcPr>
          <w:p>
            <w:pPr>
              <w:pStyle w:val="Compact"/>
            </w:pPr>
          </w:p>
        </w:tc>
        <w:tc>
          <w:tcPr>
            <w:shd w:val="clear" w:color="auto" w:fill="F5F7FB"/>
          </w:tcPr>
          <w:p>
            <w:pPr>
              <w:pStyle w:val="Compact"/>
            </w:pPr>
            <w:r>
              <w:rPr>
                <w:sz w:val="17"/>
              </w:rPr>
              <w:t xml:space="preserve">C</w:t>
            </w:r>
          </w:p>
        </w:tc>
      </w:tr>
      <w:tr>
        <w:tc>
          <w:tcPr/>
          <w:p>
            <w:pPr>
              <w:pStyle w:val="Compact"/>
            </w:pPr>
            <w:r>
              <w:rPr>
                <w:rStyle w:val="VerbatimChar"/>
                <w:sz w:val="17"/>
              </w:rPr>
              <w:t xml:space="preserve">rule.abrogated</w:t>
            </w:r>
          </w:p>
        </w:tc>
        <w:tc>
          <w:tcPr/>
          <w:p>
            <w:pPr>
              <w:pStyle w:val="Compact"/>
            </w:pPr>
            <w:r>
              <w:rPr>
                <w:sz w:val="17"/>
              </w:rPr>
              <w:t xml:space="preserve">Règle abrogée</w:t>
            </w:r>
          </w:p>
        </w:tc>
        <w:tc>
          <w:tcPr/>
          <w:p>
            <w:pPr>
              <w:pStyle w:val="Compact"/>
            </w:pPr>
            <w:r>
              <w:rPr>
                <w:sz w:val="17"/>
              </w:rPr>
              <w:t xml:space="preserve">La règle {{reference}} est abrogée à compter du {{date}}</w:t>
            </w:r>
          </w:p>
        </w:tc>
        <w:tc>
          <w:tcPr/>
          <w:p>
            <w:pPr>
              <w:pStyle w:val="Compact"/>
            </w:pPr>
            <w:r>
              <w:rPr>
                <w:sz w:val="17"/>
              </w:rPr>
              <w:t xml:space="preserve">warning</w:t>
            </w:r>
          </w:p>
        </w:tc>
        <w:tc>
          <w:tcPr/>
          <w:p>
            <w:pPr>
              <w:pStyle w:val="Compact"/>
            </w:pPr>
            <w:r>
              <w:rPr>
                <w:sz w:val="17"/>
              </w:rPr>
              <w:t xml:space="preserve">EA</w:t>
            </w:r>
          </w:p>
        </w:tc>
        <w:tc>
          <w:tcPr/>
          <w:p>
            <w:pPr>
              <w:pStyle w:val="Compact"/>
            </w:pPr>
            <w:r>
              <w:rPr>
                <w:sz w:val="17"/>
              </w:rPr>
              <w:t xml:space="preserve">M</w:t>
            </w:r>
          </w:p>
        </w:tc>
        <w:tc>
          <w:tcPr/>
          <w:p>
            <w:pPr>
              <w:pStyle w:val="Compact"/>
            </w:pPr>
            <w:r>
              <w:rPr>
                <w:sz w:val="17"/>
              </w:rPr>
              <w:t xml:space="preserve">G</w:t>
            </w:r>
          </w:p>
        </w:tc>
      </w:tr>
    </w:tbl>
    <w:bookmarkEnd w:id="599"/>
    <w:bookmarkStart w:id="600" w:name="g.16-trésor-règlement-et-rapprochement"/>
    <w:p>
      <w:pPr>
        <w:pStyle w:val="Heading2"/>
      </w:pPr>
      <w:r>
        <w:t xml:space="preserve">G.16 Trésor, règlement et rapprochement</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shd w:val="clear" w:color="auto" w:fill="232C6B"/>
          </w:tcPr>
          <w:p>
            <w:pPr>
              <w:pStyle w:val="Compact"/>
            </w:pPr>
            <w:r>
              <w:rPr>
                <w:b/>
                <w:color w:val="FFFFFF"/>
                <w:sz w:val="17"/>
              </w:rPr>
              <w:t xml:space="preserve">Code</w:t>
            </w:r>
          </w:p>
        </w:tc>
        <w:tc>
          <w:tcPr>
            <w:shd w:val="clear" w:color="auto" w:fill="232C6B"/>
          </w:tcPr>
          <w:p>
            <w:pPr>
              <w:pStyle w:val="Compact"/>
            </w:pPr>
            <w:r>
              <w:rPr>
                <w:b/>
                <w:color w:val="FFFFFF"/>
                <w:sz w:val="17"/>
              </w:rPr>
              <w:t xml:space="preserve">Événement</w:t>
            </w:r>
          </w:p>
        </w:tc>
        <w:tc>
          <w:tcPr>
            <w:shd w:val="clear" w:color="auto" w:fill="232C6B"/>
          </w:tcPr>
          <w:p>
            <w:pPr>
              <w:pStyle w:val="Compact"/>
            </w:pPr>
            <w:r>
              <w:rPr>
                <w:b/>
                <w:color w:val="FFFFFF"/>
                <w:sz w:val="17"/>
              </w:rPr>
              <w:t xml:space="preserve">Objet du message (fr)</w:t>
            </w:r>
          </w:p>
        </w:tc>
        <w:tc>
          <w:tcPr>
            <w:shd w:val="clear" w:color="auto" w:fill="232C6B"/>
          </w:tcPr>
          <w:p>
            <w:pPr>
              <w:pStyle w:val="Compact"/>
            </w:pPr>
            <w:r>
              <w:rPr>
                <w:b/>
                <w:color w:val="FFFFFF"/>
                <w:sz w:val="17"/>
              </w:rPr>
              <w:t xml:space="preserve">Gravité</w:t>
            </w:r>
          </w:p>
        </w:tc>
        <w:tc>
          <w:tcPr>
            <w:shd w:val="clear" w:color="auto" w:fill="232C6B"/>
          </w:tcPr>
          <w:p>
            <w:pPr>
              <w:pStyle w:val="Compact"/>
            </w:pPr>
            <w:r>
              <w:rPr>
                <w:b/>
                <w:color w:val="FFFFFF"/>
                <w:sz w:val="17"/>
              </w:rPr>
              <w:t xml:space="preserve">Canaux</w:t>
            </w:r>
          </w:p>
        </w:tc>
        <w:tc>
          <w:tcPr>
            <w:shd w:val="clear" w:color="auto" w:fill="232C6B"/>
          </w:tcPr>
          <w:p>
            <w:pPr>
              <w:pStyle w:val="Compact"/>
            </w:pPr>
            <w:r>
              <w:rPr>
                <w:b/>
                <w:color w:val="FFFFFF"/>
                <w:sz w:val="17"/>
              </w:rPr>
              <w:t xml:space="preserve">M</w:t>
            </w:r>
          </w:p>
        </w:tc>
        <w:tc>
          <w:tcPr>
            <w:shd w:val="clear" w:color="auto" w:fill="232C6B"/>
          </w:tcPr>
          <w:p>
            <w:pPr>
              <w:pStyle w:val="Compact"/>
            </w:pPr>
            <w:r>
              <w:rPr>
                <w:b/>
                <w:color w:val="FFFFFF"/>
                <w:sz w:val="17"/>
              </w:rPr>
              <w:t xml:space="preserve">Public</w:t>
            </w:r>
          </w:p>
        </w:tc>
      </w:tr>
      <w:tr>
        <w:tc>
          <w:tcPr/>
          <w:p>
            <w:pPr>
              <w:pStyle w:val="Compact"/>
            </w:pPr>
            <w:r>
              <w:rPr>
                <w:rStyle w:val="VerbatimChar"/>
                <w:sz w:val="17"/>
              </w:rPr>
              <w:t xml:space="preserve">settlement.received</w:t>
            </w:r>
          </w:p>
        </w:tc>
        <w:tc>
          <w:tcPr/>
          <w:p>
            <w:pPr>
              <w:pStyle w:val="Compact"/>
            </w:pPr>
            <w:r>
              <w:rPr>
                <w:sz w:val="17"/>
              </w:rPr>
              <w:t xml:space="preserve">Règlement reçu</w:t>
            </w:r>
          </w:p>
        </w:tc>
        <w:tc>
          <w:tcPr/>
          <w:p>
            <w:pPr>
              <w:pStyle w:val="Compact"/>
            </w:pPr>
            <w:r>
              <w:rPr>
                <w:sz w:val="17"/>
              </w:rPr>
              <w:t xml:space="preserve">Relevé {{banque}} du {{date}} intégré</w:t>
            </w:r>
          </w:p>
        </w:tc>
        <w:tc>
          <w:tcPr/>
          <w:p>
            <w:pPr>
              <w:pStyle w:val="Compact"/>
            </w:pPr>
            <w:r>
              <w:rPr>
                <w:sz w:val="17"/>
              </w:rPr>
              <w:t xml:space="preserve">info</w:t>
            </w:r>
          </w:p>
        </w:tc>
        <w:tc>
          <w:tcPr/>
          <w:p>
            <w:pPr>
              <w:pStyle w:val="Compact"/>
            </w:pPr>
            <w:r>
              <w:rPr>
                <w:sz w:val="17"/>
              </w:rPr>
              <w:t xml:space="preserve">A</w:t>
            </w:r>
          </w:p>
        </w:tc>
        <w:tc>
          <w:tcPr/>
          <w:p>
            <w:pPr>
              <w:pStyle w:val="Compact"/>
            </w:pPr>
          </w:p>
        </w:tc>
        <w:tc>
          <w:tcPr/>
          <w:p>
            <w:pPr>
              <w:pStyle w:val="Compact"/>
            </w:pPr>
            <w:r>
              <w:rPr>
                <w:sz w:val="17"/>
              </w:rPr>
              <w:t xml:space="preserve">G</w:t>
            </w:r>
          </w:p>
        </w:tc>
      </w:tr>
      <w:tr>
        <w:tc>
          <w:tcPr>
            <w:shd w:val="clear" w:color="auto" w:fill="F5F7FB"/>
          </w:tcPr>
          <w:p>
            <w:pPr>
              <w:pStyle w:val="Compact"/>
            </w:pPr>
            <w:r>
              <w:rPr>
                <w:rStyle w:val="VerbatimChar"/>
                <w:sz w:val="17"/>
              </w:rPr>
              <w:t xml:space="preserve">settlement.delayed</w:t>
            </w:r>
          </w:p>
        </w:tc>
        <w:tc>
          <w:tcPr>
            <w:shd w:val="clear" w:color="auto" w:fill="F5F7FB"/>
          </w:tcPr>
          <w:p>
            <w:pPr>
              <w:pStyle w:val="Compact"/>
            </w:pPr>
            <w:r>
              <w:rPr>
                <w:sz w:val="17"/>
              </w:rPr>
              <w:t xml:space="preserve">Règlement en retard</w:t>
            </w:r>
          </w:p>
        </w:tc>
        <w:tc>
          <w:tcPr>
            <w:shd w:val="clear" w:color="auto" w:fill="F5F7FB"/>
          </w:tcPr>
          <w:p>
            <w:pPr>
              <w:pStyle w:val="Compact"/>
            </w:pPr>
            <w:r>
              <w:rPr>
                <w:sz w:val="17"/>
              </w:rPr>
              <w:t xml:space="preserve">Règlement {{canal}} en retard de {{heures}} h</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EAP</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G</w:t>
            </w:r>
          </w:p>
        </w:tc>
      </w:tr>
      <w:tr>
        <w:tc>
          <w:tcPr/>
          <w:p>
            <w:pPr>
              <w:pStyle w:val="Compact"/>
            </w:pPr>
            <w:r>
              <w:rPr>
                <w:rStyle w:val="VerbatimChar"/>
                <w:sz w:val="17"/>
              </w:rPr>
              <w:t xml:space="preserve">reconciliation.daily_completed</w:t>
            </w:r>
          </w:p>
        </w:tc>
        <w:tc>
          <w:tcPr/>
          <w:p>
            <w:pPr>
              <w:pStyle w:val="Compact"/>
            </w:pPr>
            <w:r>
              <w:rPr>
                <w:sz w:val="17"/>
              </w:rPr>
              <w:t xml:space="preserve">Rapprochement journalier terminé</w:t>
            </w:r>
          </w:p>
        </w:tc>
        <w:tc>
          <w:tcPr/>
          <w:p>
            <w:pPr>
              <w:pStyle w:val="Compact"/>
            </w:pPr>
            <w:r>
              <w:rPr>
                <w:sz w:val="17"/>
              </w:rPr>
              <w:t xml:space="preserve">Rapprochement du {{date}} : {{taux}} %</w:t>
            </w:r>
          </w:p>
        </w:tc>
        <w:tc>
          <w:tcPr/>
          <w:p>
            <w:pPr>
              <w:pStyle w:val="Compact"/>
            </w:pPr>
            <w:r>
              <w:rPr>
                <w:sz w:val="17"/>
              </w:rPr>
              <w:t xml:space="preserve">info</w:t>
            </w:r>
          </w:p>
        </w:tc>
        <w:tc>
          <w:tcPr/>
          <w:p>
            <w:pPr>
              <w:pStyle w:val="Compact"/>
            </w:pPr>
            <w:r>
              <w:rPr>
                <w:sz w:val="17"/>
              </w:rPr>
              <w:t xml:space="preserve">EA</w:t>
            </w:r>
          </w:p>
        </w:tc>
        <w:tc>
          <w:tcPr/>
          <w:p>
            <w:pPr>
              <w:pStyle w:val="Compact"/>
            </w:pPr>
          </w:p>
        </w:tc>
        <w:tc>
          <w:tcPr/>
          <w:p>
            <w:pPr>
              <w:pStyle w:val="Compact"/>
            </w:pPr>
            <w:r>
              <w:rPr>
                <w:sz w:val="17"/>
              </w:rPr>
              <w:t xml:space="preserve">G</w:t>
            </w:r>
          </w:p>
        </w:tc>
      </w:tr>
      <w:tr>
        <w:tc>
          <w:tcPr>
            <w:shd w:val="clear" w:color="auto" w:fill="F5F7FB"/>
          </w:tcPr>
          <w:p>
            <w:pPr>
              <w:pStyle w:val="Compact"/>
            </w:pPr>
            <w:r>
              <w:rPr>
                <w:rStyle w:val="VerbatimChar"/>
                <w:sz w:val="17"/>
              </w:rPr>
              <w:t xml:space="preserve">reconciliation.exception.opened</w:t>
            </w:r>
          </w:p>
        </w:tc>
        <w:tc>
          <w:tcPr>
            <w:shd w:val="clear" w:color="auto" w:fill="F5F7FB"/>
          </w:tcPr>
          <w:p>
            <w:pPr>
              <w:pStyle w:val="Compact"/>
            </w:pPr>
            <w:r>
              <w:rPr>
                <w:sz w:val="17"/>
              </w:rPr>
              <w:t xml:space="preserve">Exception de rapprochement</w:t>
            </w:r>
          </w:p>
        </w:tc>
        <w:tc>
          <w:tcPr>
            <w:shd w:val="clear" w:color="auto" w:fill="F5F7FB"/>
          </w:tcPr>
          <w:p>
            <w:pPr>
              <w:pStyle w:val="Compact"/>
            </w:pPr>
            <w:r>
              <w:rPr>
                <w:sz w:val="17"/>
              </w:rPr>
              <w:t xml:space="preserve">Exception {{reference}} ouverte</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AP</w:t>
            </w:r>
          </w:p>
        </w:tc>
        <w:tc>
          <w:tcPr>
            <w:shd w:val="clear" w:color="auto" w:fill="F5F7FB"/>
          </w:tcPr>
          <w:p>
            <w:pPr>
              <w:pStyle w:val="Compact"/>
            </w:pPr>
          </w:p>
        </w:tc>
        <w:tc>
          <w:tcPr>
            <w:shd w:val="clear" w:color="auto" w:fill="F5F7FB"/>
          </w:tcPr>
          <w:p>
            <w:pPr>
              <w:pStyle w:val="Compact"/>
            </w:pPr>
            <w:r>
              <w:rPr>
                <w:sz w:val="17"/>
              </w:rPr>
              <w:t xml:space="preserve">G</w:t>
            </w:r>
          </w:p>
        </w:tc>
      </w:tr>
      <w:tr>
        <w:tc>
          <w:tcPr/>
          <w:p>
            <w:pPr>
              <w:pStyle w:val="Compact"/>
            </w:pPr>
            <w:r>
              <w:rPr>
                <w:rStyle w:val="VerbatimChar"/>
                <w:sz w:val="17"/>
              </w:rPr>
              <w:t xml:space="preserve">reconciliation.exception.aged</w:t>
            </w:r>
          </w:p>
        </w:tc>
        <w:tc>
          <w:tcPr/>
          <w:p>
            <w:pPr>
              <w:pStyle w:val="Compact"/>
            </w:pPr>
            <w:r>
              <w:rPr>
                <w:sz w:val="17"/>
              </w:rPr>
              <w:t xml:space="preserve">Exception ancienne</w:t>
            </w:r>
          </w:p>
        </w:tc>
        <w:tc>
          <w:tcPr/>
          <w:p>
            <w:pPr>
              <w:pStyle w:val="Compact"/>
            </w:pPr>
            <w:r>
              <w:rPr>
                <w:sz w:val="17"/>
              </w:rPr>
              <w:t xml:space="preserve">Exception {{reference}} ouverte depuis {{jours}} j</w:t>
            </w:r>
          </w:p>
        </w:tc>
        <w:tc>
          <w:tcPr/>
          <w:p>
            <w:pPr>
              <w:pStyle w:val="Compact"/>
            </w:pPr>
            <w:r>
              <w:rPr>
                <w:sz w:val="17"/>
              </w:rPr>
              <w:t xml:space="preserve">critical</w:t>
            </w:r>
          </w:p>
        </w:tc>
        <w:tc>
          <w:tcPr/>
          <w:p>
            <w:pPr>
              <w:pStyle w:val="Compact"/>
            </w:pPr>
            <w:r>
              <w:rPr>
                <w:sz w:val="17"/>
              </w:rPr>
              <w:t xml:space="preserve">EAS</w:t>
            </w:r>
          </w:p>
        </w:tc>
        <w:tc>
          <w:tcPr/>
          <w:p>
            <w:pPr>
              <w:pStyle w:val="Compact"/>
            </w:pPr>
            <w:r>
              <w:rPr>
                <w:sz w:val="17"/>
              </w:rPr>
              <w:t xml:space="preserve">M</w:t>
            </w:r>
          </w:p>
        </w:tc>
        <w:tc>
          <w:tcPr/>
          <w:p>
            <w:pPr>
              <w:pStyle w:val="Compact"/>
            </w:pPr>
            <w:r>
              <w:rPr>
                <w:sz w:val="17"/>
              </w:rPr>
              <w:t xml:space="preserve">G</w:t>
            </w:r>
          </w:p>
        </w:tc>
      </w:tr>
      <w:tr>
        <w:tc>
          <w:tcPr>
            <w:shd w:val="clear" w:color="auto" w:fill="F5F7FB"/>
          </w:tcPr>
          <w:p>
            <w:pPr>
              <w:pStyle w:val="Compact"/>
            </w:pPr>
            <w:r>
              <w:rPr>
                <w:rStyle w:val="VerbatimChar"/>
                <w:sz w:val="17"/>
              </w:rPr>
              <w:t xml:space="preserve">ledger.day_closed</w:t>
            </w:r>
          </w:p>
        </w:tc>
        <w:tc>
          <w:tcPr>
            <w:shd w:val="clear" w:color="auto" w:fill="F5F7FB"/>
          </w:tcPr>
          <w:p>
            <w:pPr>
              <w:pStyle w:val="Compact"/>
            </w:pPr>
            <w:r>
              <w:rPr>
                <w:sz w:val="17"/>
              </w:rPr>
              <w:t xml:space="preserve">Journée comptable clôturée</w:t>
            </w:r>
          </w:p>
        </w:tc>
        <w:tc>
          <w:tcPr>
            <w:shd w:val="clear" w:color="auto" w:fill="F5F7FB"/>
          </w:tcPr>
          <w:p>
            <w:pPr>
              <w:pStyle w:val="Compact"/>
            </w:pPr>
            <w:r>
              <w:rPr>
                <w:sz w:val="17"/>
              </w:rPr>
              <w:t xml:space="preserve">Clôture du {{date}} signée</w:t>
            </w:r>
          </w:p>
        </w:tc>
        <w:tc>
          <w:tcPr>
            <w:shd w:val="clear" w:color="auto" w:fill="F5F7FB"/>
          </w:tcPr>
          <w:p>
            <w:pPr>
              <w:pStyle w:val="Compact"/>
            </w:pPr>
            <w:r>
              <w:rPr>
                <w:sz w:val="17"/>
              </w:rPr>
              <w:t xml:space="preserve">success</w:t>
            </w:r>
          </w:p>
        </w:tc>
        <w:tc>
          <w:tcPr>
            <w:shd w:val="clear" w:color="auto" w:fill="F5F7FB"/>
          </w:tcPr>
          <w:p>
            <w:pPr>
              <w:pStyle w:val="Compact"/>
            </w:pPr>
            <w:r>
              <w:rPr>
                <w:sz w:val="17"/>
              </w:rPr>
              <w:t xml:space="preserve">A</w:t>
            </w:r>
          </w:p>
        </w:tc>
        <w:tc>
          <w:tcPr>
            <w:shd w:val="clear" w:color="auto" w:fill="F5F7FB"/>
          </w:tcPr>
          <w:p>
            <w:pPr>
              <w:pStyle w:val="Compact"/>
            </w:pPr>
          </w:p>
        </w:tc>
        <w:tc>
          <w:tcPr>
            <w:shd w:val="clear" w:color="auto" w:fill="F5F7FB"/>
          </w:tcPr>
          <w:p>
            <w:pPr>
              <w:pStyle w:val="Compact"/>
            </w:pPr>
            <w:r>
              <w:rPr>
                <w:sz w:val="17"/>
              </w:rPr>
              <w:t xml:space="preserve">G</w:t>
            </w:r>
          </w:p>
        </w:tc>
      </w:tr>
      <w:tr>
        <w:tc>
          <w:tcPr/>
          <w:p>
            <w:pPr>
              <w:pStyle w:val="Compact"/>
            </w:pPr>
            <w:r>
              <w:rPr>
                <w:rStyle w:val="VerbatimChar"/>
                <w:sz w:val="17"/>
              </w:rPr>
              <w:t xml:space="preserve">ledger.imbalance</w:t>
            </w:r>
          </w:p>
        </w:tc>
        <w:tc>
          <w:tcPr/>
          <w:p>
            <w:pPr>
              <w:pStyle w:val="Compact"/>
            </w:pPr>
            <w:r>
              <w:rPr>
                <w:sz w:val="17"/>
              </w:rPr>
              <w:t xml:space="preserve">Déséquilibre du grand livre</w:t>
            </w:r>
          </w:p>
        </w:tc>
        <w:tc>
          <w:tcPr/>
          <w:p>
            <w:pPr>
              <w:pStyle w:val="Compact"/>
            </w:pPr>
            <w:r>
              <w:rPr>
                <w:sz w:val="17"/>
              </w:rPr>
              <w:t xml:space="preserve">Déséquilibre détecté</w:t>
            </w:r>
          </w:p>
        </w:tc>
        <w:tc>
          <w:tcPr/>
          <w:p>
            <w:pPr>
              <w:pStyle w:val="Compact"/>
            </w:pPr>
            <w:r>
              <w:rPr>
                <w:sz w:val="17"/>
              </w:rPr>
              <w:t xml:space="preserve">critical</w:t>
            </w:r>
          </w:p>
        </w:tc>
        <w:tc>
          <w:tcPr/>
          <w:p>
            <w:pPr>
              <w:pStyle w:val="Compact"/>
            </w:pPr>
            <w:r>
              <w:rPr>
                <w:sz w:val="17"/>
              </w:rPr>
              <w:t xml:space="preserve">EAS</w:t>
            </w:r>
          </w:p>
        </w:tc>
        <w:tc>
          <w:tcPr/>
          <w:p>
            <w:pPr>
              <w:pStyle w:val="Compact"/>
            </w:pPr>
            <w:r>
              <w:rPr>
                <w:sz w:val="17"/>
              </w:rPr>
              <w:t xml:space="preserve">M</w:t>
            </w:r>
          </w:p>
        </w:tc>
        <w:tc>
          <w:tcPr/>
          <w:p>
            <w:pPr>
              <w:pStyle w:val="Compact"/>
            </w:pPr>
            <w:r>
              <w:rPr>
                <w:sz w:val="17"/>
              </w:rPr>
              <w:t xml:space="preserve">G</w:t>
            </w:r>
          </w:p>
        </w:tc>
      </w:tr>
      <w:tr>
        <w:tc>
          <w:tcPr>
            <w:shd w:val="clear" w:color="auto" w:fill="F5F7FB"/>
          </w:tcPr>
          <w:p>
            <w:pPr>
              <w:pStyle w:val="Compact"/>
            </w:pPr>
            <w:r>
              <w:rPr>
                <w:rStyle w:val="VerbatimChar"/>
                <w:sz w:val="17"/>
              </w:rPr>
              <w:t xml:space="preserve">fx.rate.published</w:t>
            </w:r>
          </w:p>
        </w:tc>
        <w:tc>
          <w:tcPr>
            <w:shd w:val="clear" w:color="auto" w:fill="F5F7FB"/>
          </w:tcPr>
          <w:p>
            <w:pPr>
              <w:pStyle w:val="Compact"/>
            </w:pPr>
            <w:r>
              <w:rPr>
                <w:sz w:val="17"/>
              </w:rPr>
              <w:t xml:space="preserve">Taux de change officiel intégré</w:t>
            </w:r>
          </w:p>
        </w:tc>
        <w:tc>
          <w:tcPr>
            <w:shd w:val="clear" w:color="auto" w:fill="F5F7FB"/>
          </w:tcPr>
          <w:p>
            <w:pPr>
              <w:pStyle w:val="Compact"/>
            </w:pPr>
            <w:r>
              <w:rPr>
                <w:sz w:val="17"/>
              </w:rPr>
              <w:t xml:space="preserve">Taux officiel du {{date}} intégré</w:t>
            </w:r>
          </w:p>
        </w:tc>
        <w:tc>
          <w:tcPr>
            <w:shd w:val="clear" w:color="auto" w:fill="F5F7FB"/>
          </w:tcPr>
          <w:p>
            <w:pPr>
              <w:pStyle w:val="Compact"/>
            </w:pPr>
            <w:r>
              <w:rPr>
                <w:sz w:val="17"/>
              </w:rPr>
              <w:t xml:space="preserve">info</w:t>
            </w:r>
          </w:p>
        </w:tc>
        <w:tc>
          <w:tcPr>
            <w:shd w:val="clear" w:color="auto" w:fill="F5F7FB"/>
          </w:tcPr>
          <w:p>
            <w:pPr>
              <w:pStyle w:val="Compact"/>
            </w:pPr>
            <w:r>
              <w:rPr>
                <w:sz w:val="17"/>
              </w:rPr>
              <w:t xml:space="preserve">A</w:t>
            </w:r>
          </w:p>
        </w:tc>
        <w:tc>
          <w:tcPr>
            <w:shd w:val="clear" w:color="auto" w:fill="F5F7FB"/>
          </w:tcPr>
          <w:p>
            <w:pPr>
              <w:pStyle w:val="Compact"/>
            </w:pPr>
          </w:p>
        </w:tc>
        <w:tc>
          <w:tcPr>
            <w:shd w:val="clear" w:color="auto" w:fill="F5F7FB"/>
          </w:tcPr>
          <w:p>
            <w:pPr>
              <w:pStyle w:val="Compact"/>
            </w:pPr>
            <w:r>
              <w:rPr>
                <w:sz w:val="17"/>
              </w:rPr>
              <w:t xml:space="preserve">G</w:t>
            </w:r>
          </w:p>
        </w:tc>
      </w:tr>
      <w:tr>
        <w:tc>
          <w:tcPr/>
          <w:p>
            <w:pPr>
              <w:pStyle w:val="Compact"/>
            </w:pPr>
            <w:r>
              <w:rPr>
                <w:rStyle w:val="VerbatimChar"/>
                <w:sz w:val="17"/>
              </w:rPr>
              <w:t xml:space="preserve">fx.rate.missing</w:t>
            </w:r>
          </w:p>
        </w:tc>
        <w:tc>
          <w:tcPr/>
          <w:p>
            <w:pPr>
              <w:pStyle w:val="Compact"/>
            </w:pPr>
            <w:r>
              <w:rPr>
                <w:sz w:val="17"/>
              </w:rPr>
              <w:t xml:space="preserve">Taux de change manquant</w:t>
            </w:r>
          </w:p>
        </w:tc>
        <w:tc>
          <w:tcPr/>
          <w:p>
            <w:pPr>
              <w:pStyle w:val="Compact"/>
            </w:pPr>
            <w:r>
              <w:rPr>
                <w:sz w:val="17"/>
              </w:rPr>
              <w:t xml:space="preserve">Taux officiel du {{date}} absent</w:t>
            </w:r>
          </w:p>
        </w:tc>
        <w:tc>
          <w:tcPr/>
          <w:p>
            <w:pPr>
              <w:pStyle w:val="Compact"/>
            </w:pPr>
            <w:r>
              <w:rPr>
                <w:sz w:val="17"/>
              </w:rPr>
              <w:t xml:space="preserve">critical</w:t>
            </w:r>
          </w:p>
        </w:tc>
        <w:tc>
          <w:tcPr/>
          <w:p>
            <w:pPr>
              <w:pStyle w:val="Compact"/>
            </w:pPr>
            <w:r>
              <w:rPr>
                <w:sz w:val="17"/>
              </w:rPr>
              <w:t xml:space="preserve">EAS</w:t>
            </w:r>
          </w:p>
        </w:tc>
        <w:tc>
          <w:tcPr/>
          <w:p>
            <w:pPr>
              <w:pStyle w:val="Compact"/>
            </w:pPr>
            <w:r>
              <w:rPr>
                <w:sz w:val="17"/>
              </w:rPr>
              <w:t xml:space="preserve">M</w:t>
            </w:r>
          </w:p>
        </w:tc>
        <w:tc>
          <w:tcPr/>
          <w:p>
            <w:pPr>
              <w:pStyle w:val="Compact"/>
            </w:pPr>
            <w:r>
              <w:rPr>
                <w:sz w:val="17"/>
              </w:rPr>
              <w:t xml:space="preserve">G</w:t>
            </w:r>
          </w:p>
        </w:tc>
      </w:tr>
      <w:tr>
        <w:tc>
          <w:tcPr>
            <w:shd w:val="clear" w:color="auto" w:fill="F5F7FB"/>
          </w:tcPr>
          <w:p>
            <w:pPr>
              <w:pStyle w:val="Compact"/>
            </w:pPr>
            <w:r>
              <w:rPr>
                <w:rStyle w:val="VerbatimChar"/>
                <w:sz w:val="17"/>
              </w:rPr>
              <w:t xml:space="preserve">ledger.month_closed</w:t>
            </w:r>
          </w:p>
        </w:tc>
        <w:tc>
          <w:tcPr>
            <w:shd w:val="clear" w:color="auto" w:fill="F5F7FB"/>
          </w:tcPr>
          <w:p>
            <w:pPr>
              <w:pStyle w:val="Compact"/>
            </w:pPr>
            <w:r>
              <w:rPr>
                <w:sz w:val="17"/>
              </w:rPr>
              <w:t xml:space="preserve">Clôture mensuelle</w:t>
            </w:r>
          </w:p>
        </w:tc>
        <w:tc>
          <w:tcPr>
            <w:shd w:val="clear" w:color="auto" w:fill="F5F7FB"/>
          </w:tcPr>
          <w:p>
            <w:pPr>
              <w:pStyle w:val="Compact"/>
            </w:pPr>
            <w:r>
              <w:rPr>
                <w:sz w:val="17"/>
              </w:rPr>
              <w:t xml:space="preserve">Clôture mensuelle signée du grand livre</w:t>
            </w:r>
          </w:p>
        </w:tc>
        <w:tc>
          <w:tcPr>
            <w:shd w:val="clear" w:color="auto" w:fill="F5F7FB"/>
          </w:tcPr>
          <w:p>
            <w:pPr>
              <w:pStyle w:val="Compact"/>
            </w:pPr>
            <w:r>
              <w:rPr>
                <w:sz w:val="17"/>
              </w:rPr>
              <w:t xml:space="preserve">info</w:t>
            </w:r>
          </w:p>
        </w:tc>
        <w:tc>
          <w:tcPr>
            <w:shd w:val="clear" w:color="auto" w:fill="F5F7FB"/>
          </w:tcPr>
          <w:p>
            <w:pPr>
              <w:pStyle w:val="Compact"/>
            </w:pPr>
            <w:r>
              <w:rPr>
                <w:sz w:val="17"/>
              </w:rPr>
              <w:t xml:space="preserve">EA</w:t>
            </w:r>
          </w:p>
        </w:tc>
        <w:tc>
          <w:tcPr>
            <w:shd w:val="clear" w:color="auto" w:fill="F5F7FB"/>
          </w:tcPr>
          <w:p>
            <w:pPr>
              <w:pStyle w:val="Compact"/>
            </w:pPr>
          </w:p>
        </w:tc>
        <w:tc>
          <w:tcPr>
            <w:shd w:val="clear" w:color="auto" w:fill="F5F7FB"/>
          </w:tcPr>
          <w:p>
            <w:pPr>
              <w:pStyle w:val="Compact"/>
            </w:pPr>
            <w:r>
              <w:rPr>
                <w:sz w:val="17"/>
              </w:rPr>
              <w:t xml:space="preserve">G</w:t>
            </w:r>
          </w:p>
        </w:tc>
      </w:tr>
      <w:tr>
        <w:tc>
          <w:tcPr/>
          <w:p>
            <w:pPr>
              <w:pStyle w:val="Compact"/>
            </w:pPr>
            <w:r>
              <w:rPr>
                <w:rStyle w:val="VerbatimChar"/>
                <w:sz w:val="17"/>
              </w:rPr>
              <w:t xml:space="preserve">suspense.opened</w:t>
            </w:r>
          </w:p>
        </w:tc>
        <w:tc>
          <w:tcPr/>
          <w:p>
            <w:pPr>
              <w:pStyle w:val="Compact"/>
            </w:pPr>
            <w:r>
              <w:rPr>
                <w:sz w:val="17"/>
              </w:rPr>
              <w:t xml:space="preserve">Suspens ouvert</w:t>
            </w:r>
          </w:p>
        </w:tc>
        <w:tc>
          <w:tcPr/>
          <w:p>
            <w:pPr>
              <w:pStyle w:val="Compact"/>
            </w:pPr>
            <w:r>
              <w:rPr>
                <w:sz w:val="17"/>
              </w:rPr>
              <w:t xml:space="preserve">Suspens {{reference}} ouvert — justification requise</w:t>
            </w:r>
          </w:p>
        </w:tc>
        <w:tc>
          <w:tcPr/>
          <w:p>
            <w:pPr>
              <w:pStyle w:val="Compact"/>
            </w:pPr>
            <w:r>
              <w:rPr>
                <w:sz w:val="17"/>
              </w:rPr>
              <w:t xml:space="preserve">warning</w:t>
            </w:r>
          </w:p>
        </w:tc>
        <w:tc>
          <w:tcPr/>
          <w:p>
            <w:pPr>
              <w:pStyle w:val="Compact"/>
            </w:pPr>
            <w:r>
              <w:rPr>
                <w:sz w:val="17"/>
              </w:rPr>
              <w:t xml:space="preserve">EA</w:t>
            </w:r>
          </w:p>
        </w:tc>
        <w:tc>
          <w:tcPr/>
          <w:p>
            <w:pPr>
              <w:pStyle w:val="Compact"/>
            </w:pPr>
          </w:p>
        </w:tc>
        <w:tc>
          <w:tcPr/>
          <w:p>
            <w:pPr>
              <w:pStyle w:val="Compact"/>
            </w:pPr>
            <w:r>
              <w:rPr>
                <w:sz w:val="17"/>
              </w:rPr>
              <w:t xml:space="preserve">G</w:t>
            </w:r>
          </w:p>
        </w:tc>
      </w:tr>
    </w:tbl>
    <w:bookmarkEnd w:id="600"/>
    <w:bookmarkStart w:id="601" w:name="g.17-anti-fraude-et-audit"/>
    <w:p>
      <w:pPr>
        <w:pStyle w:val="Heading2"/>
      </w:pPr>
      <w:r>
        <w:t xml:space="preserve">G.17 Anti-fraude et audit</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shd w:val="clear" w:color="auto" w:fill="232C6B"/>
          </w:tcPr>
          <w:p>
            <w:pPr>
              <w:pStyle w:val="Compact"/>
            </w:pPr>
            <w:r>
              <w:rPr>
                <w:b/>
                <w:color w:val="FFFFFF"/>
                <w:sz w:val="17"/>
              </w:rPr>
              <w:t xml:space="preserve">Code</w:t>
            </w:r>
          </w:p>
        </w:tc>
        <w:tc>
          <w:tcPr>
            <w:shd w:val="clear" w:color="auto" w:fill="232C6B"/>
          </w:tcPr>
          <w:p>
            <w:pPr>
              <w:pStyle w:val="Compact"/>
            </w:pPr>
            <w:r>
              <w:rPr>
                <w:b/>
                <w:color w:val="FFFFFF"/>
                <w:sz w:val="17"/>
              </w:rPr>
              <w:t xml:space="preserve">Événement</w:t>
            </w:r>
          </w:p>
        </w:tc>
        <w:tc>
          <w:tcPr>
            <w:shd w:val="clear" w:color="auto" w:fill="232C6B"/>
          </w:tcPr>
          <w:p>
            <w:pPr>
              <w:pStyle w:val="Compact"/>
            </w:pPr>
            <w:r>
              <w:rPr>
                <w:b/>
                <w:color w:val="FFFFFF"/>
                <w:sz w:val="17"/>
              </w:rPr>
              <w:t xml:space="preserve">Objet du message (fr)</w:t>
            </w:r>
          </w:p>
        </w:tc>
        <w:tc>
          <w:tcPr>
            <w:shd w:val="clear" w:color="auto" w:fill="232C6B"/>
          </w:tcPr>
          <w:p>
            <w:pPr>
              <w:pStyle w:val="Compact"/>
            </w:pPr>
            <w:r>
              <w:rPr>
                <w:b/>
                <w:color w:val="FFFFFF"/>
                <w:sz w:val="17"/>
              </w:rPr>
              <w:t xml:space="preserve">Gravité</w:t>
            </w:r>
          </w:p>
        </w:tc>
        <w:tc>
          <w:tcPr>
            <w:shd w:val="clear" w:color="auto" w:fill="232C6B"/>
          </w:tcPr>
          <w:p>
            <w:pPr>
              <w:pStyle w:val="Compact"/>
            </w:pPr>
            <w:r>
              <w:rPr>
                <w:b/>
                <w:color w:val="FFFFFF"/>
                <w:sz w:val="17"/>
              </w:rPr>
              <w:t xml:space="preserve">Canaux</w:t>
            </w:r>
          </w:p>
        </w:tc>
        <w:tc>
          <w:tcPr>
            <w:shd w:val="clear" w:color="auto" w:fill="232C6B"/>
          </w:tcPr>
          <w:p>
            <w:pPr>
              <w:pStyle w:val="Compact"/>
            </w:pPr>
            <w:r>
              <w:rPr>
                <w:b/>
                <w:color w:val="FFFFFF"/>
                <w:sz w:val="17"/>
              </w:rPr>
              <w:t xml:space="preserve">M</w:t>
            </w:r>
          </w:p>
        </w:tc>
        <w:tc>
          <w:tcPr>
            <w:shd w:val="clear" w:color="auto" w:fill="232C6B"/>
          </w:tcPr>
          <w:p>
            <w:pPr>
              <w:pStyle w:val="Compact"/>
            </w:pPr>
            <w:r>
              <w:rPr>
                <w:b/>
                <w:color w:val="FFFFFF"/>
                <w:sz w:val="17"/>
              </w:rPr>
              <w:t xml:space="preserve">Public</w:t>
            </w:r>
          </w:p>
        </w:tc>
      </w:tr>
      <w:tr>
        <w:tc>
          <w:tcPr/>
          <w:p>
            <w:pPr>
              <w:pStyle w:val="Compact"/>
            </w:pPr>
            <w:r>
              <w:rPr>
                <w:rStyle w:val="VerbatimChar"/>
                <w:sz w:val="17"/>
              </w:rPr>
              <w:t xml:space="preserve">fraud.alert.raised</w:t>
            </w:r>
          </w:p>
        </w:tc>
        <w:tc>
          <w:tcPr/>
          <w:p>
            <w:pPr>
              <w:pStyle w:val="Compact"/>
            </w:pPr>
            <w:r>
              <w:rPr>
                <w:sz w:val="17"/>
              </w:rPr>
              <w:t xml:space="preserve">Alerte de fraude</w:t>
            </w:r>
          </w:p>
        </w:tc>
        <w:tc>
          <w:tcPr/>
          <w:p>
            <w:pPr>
              <w:pStyle w:val="Compact"/>
            </w:pPr>
            <w:r>
              <w:rPr>
                <w:sz w:val="17"/>
              </w:rPr>
              <w:t xml:space="preserve">Alerte {{reference}} — score {{score}}</w:t>
            </w:r>
          </w:p>
        </w:tc>
        <w:tc>
          <w:tcPr/>
          <w:p>
            <w:pPr>
              <w:pStyle w:val="Compact"/>
            </w:pPr>
            <w:r>
              <w:rPr>
                <w:sz w:val="17"/>
              </w:rPr>
              <w:t xml:space="preserve">critical</w:t>
            </w:r>
          </w:p>
        </w:tc>
        <w:tc>
          <w:tcPr/>
          <w:p>
            <w:pPr>
              <w:pStyle w:val="Compact"/>
            </w:pPr>
            <w:r>
              <w:rPr>
                <w:sz w:val="17"/>
              </w:rPr>
              <w:t xml:space="preserve">EAP</w:t>
            </w:r>
          </w:p>
        </w:tc>
        <w:tc>
          <w:tcPr/>
          <w:p>
            <w:pPr>
              <w:pStyle w:val="Compact"/>
            </w:pPr>
            <w:r>
              <w:rPr>
                <w:sz w:val="17"/>
              </w:rPr>
              <w:t xml:space="preserve">M</w:t>
            </w:r>
          </w:p>
        </w:tc>
        <w:tc>
          <w:tcPr/>
          <w:p>
            <w:pPr>
              <w:pStyle w:val="Compact"/>
            </w:pPr>
            <w:r>
              <w:rPr>
                <w:sz w:val="17"/>
              </w:rPr>
              <w:t xml:space="preserve">G</w:t>
            </w:r>
          </w:p>
        </w:tc>
      </w:tr>
      <w:tr>
        <w:tc>
          <w:tcPr>
            <w:shd w:val="clear" w:color="auto" w:fill="F5F7FB"/>
          </w:tcPr>
          <w:p>
            <w:pPr>
              <w:pStyle w:val="Compact"/>
            </w:pPr>
            <w:r>
              <w:rPr>
                <w:rStyle w:val="VerbatimChar"/>
                <w:sz w:val="17"/>
              </w:rPr>
              <w:t xml:space="preserve">fraud.case.opened</w:t>
            </w:r>
          </w:p>
        </w:tc>
        <w:tc>
          <w:tcPr>
            <w:shd w:val="clear" w:color="auto" w:fill="F5F7FB"/>
          </w:tcPr>
          <w:p>
            <w:pPr>
              <w:pStyle w:val="Compact"/>
            </w:pPr>
            <w:r>
              <w:rPr>
                <w:sz w:val="17"/>
              </w:rPr>
              <w:t xml:space="preserve">Dossier d’enquête ouvert</w:t>
            </w:r>
          </w:p>
        </w:tc>
        <w:tc>
          <w:tcPr>
            <w:shd w:val="clear" w:color="auto" w:fill="F5F7FB"/>
          </w:tcPr>
          <w:p>
            <w:pPr>
              <w:pStyle w:val="Compact"/>
            </w:pPr>
            <w:r>
              <w:rPr>
                <w:sz w:val="17"/>
              </w:rPr>
              <w:t xml:space="preserve">Enquête {{reference}} ouverte</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EA</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G</w:t>
            </w:r>
          </w:p>
        </w:tc>
      </w:tr>
      <w:tr>
        <w:tc>
          <w:tcPr/>
          <w:p>
            <w:pPr>
              <w:pStyle w:val="Compact"/>
            </w:pPr>
            <w:r>
              <w:rPr>
                <w:rStyle w:val="VerbatimChar"/>
                <w:sz w:val="17"/>
              </w:rPr>
              <w:t xml:space="preserve">fraud.case.closed</w:t>
            </w:r>
          </w:p>
        </w:tc>
        <w:tc>
          <w:tcPr/>
          <w:p>
            <w:pPr>
              <w:pStyle w:val="Compact"/>
            </w:pPr>
            <w:r>
              <w:rPr>
                <w:sz w:val="17"/>
              </w:rPr>
              <w:t xml:space="preserve">Dossier d’enquête clos</w:t>
            </w:r>
          </w:p>
        </w:tc>
        <w:tc>
          <w:tcPr/>
          <w:p>
            <w:pPr>
              <w:pStyle w:val="Compact"/>
            </w:pPr>
            <w:r>
              <w:rPr>
                <w:sz w:val="17"/>
              </w:rPr>
              <w:t xml:space="preserve">Enquête {{reference}} close</w:t>
            </w:r>
          </w:p>
        </w:tc>
        <w:tc>
          <w:tcPr/>
          <w:p>
            <w:pPr>
              <w:pStyle w:val="Compact"/>
            </w:pPr>
            <w:r>
              <w:rPr>
                <w:sz w:val="17"/>
              </w:rPr>
              <w:t xml:space="preserve">info</w:t>
            </w:r>
          </w:p>
        </w:tc>
        <w:tc>
          <w:tcPr/>
          <w:p>
            <w:pPr>
              <w:pStyle w:val="Compact"/>
            </w:pPr>
            <w:r>
              <w:rPr>
                <w:sz w:val="17"/>
              </w:rPr>
              <w:t xml:space="preserve">EA</w:t>
            </w:r>
          </w:p>
        </w:tc>
        <w:tc>
          <w:tcPr/>
          <w:p>
            <w:pPr>
              <w:pStyle w:val="Compact"/>
            </w:pPr>
            <w:r>
              <w:rPr>
                <w:sz w:val="17"/>
              </w:rPr>
              <w:t xml:space="preserve">M</w:t>
            </w:r>
          </w:p>
        </w:tc>
        <w:tc>
          <w:tcPr/>
          <w:p>
            <w:pPr>
              <w:pStyle w:val="Compact"/>
            </w:pPr>
            <w:r>
              <w:rPr>
                <w:sz w:val="17"/>
              </w:rPr>
              <w:t xml:space="preserve">G</w:t>
            </w:r>
          </w:p>
        </w:tc>
      </w:tr>
      <w:tr>
        <w:tc>
          <w:tcPr>
            <w:shd w:val="clear" w:color="auto" w:fill="F5F7FB"/>
          </w:tcPr>
          <w:p>
            <w:pPr>
              <w:pStyle w:val="Compact"/>
            </w:pPr>
            <w:r>
              <w:rPr>
                <w:rStyle w:val="VerbatimChar"/>
                <w:sz w:val="17"/>
              </w:rPr>
              <w:t xml:space="preserve">fraud.exemption_concentration</w:t>
            </w:r>
          </w:p>
        </w:tc>
        <w:tc>
          <w:tcPr>
            <w:shd w:val="clear" w:color="auto" w:fill="F5F7FB"/>
          </w:tcPr>
          <w:p>
            <w:pPr>
              <w:pStyle w:val="Compact"/>
            </w:pPr>
            <w:r>
              <w:rPr>
                <w:sz w:val="17"/>
              </w:rPr>
              <w:t xml:space="preserve">Concentration d’exonérations</w:t>
            </w:r>
          </w:p>
        </w:tc>
        <w:tc>
          <w:tcPr>
            <w:shd w:val="clear" w:color="auto" w:fill="F5F7FB"/>
          </w:tcPr>
          <w:p>
            <w:pPr>
              <w:pStyle w:val="Compact"/>
            </w:pPr>
            <w:r>
              <w:rPr>
                <w:sz w:val="17"/>
              </w:rPr>
              <w:t xml:space="preserve">Concentration anormale d’exonérations</w:t>
            </w:r>
          </w:p>
        </w:tc>
        <w:tc>
          <w:tcPr>
            <w:shd w:val="clear" w:color="auto" w:fill="F5F7FB"/>
          </w:tcPr>
          <w:p>
            <w:pPr>
              <w:pStyle w:val="Compact"/>
            </w:pPr>
            <w:r>
              <w:rPr>
                <w:sz w:val="17"/>
              </w:rPr>
              <w:t xml:space="preserve">critical</w:t>
            </w:r>
          </w:p>
        </w:tc>
        <w:tc>
          <w:tcPr>
            <w:shd w:val="clear" w:color="auto" w:fill="F5F7FB"/>
          </w:tcPr>
          <w:p>
            <w:pPr>
              <w:pStyle w:val="Compact"/>
            </w:pPr>
            <w:r>
              <w:rPr>
                <w:sz w:val="17"/>
              </w:rPr>
              <w:t xml:space="preserve">EA</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G</w:t>
            </w:r>
          </w:p>
        </w:tc>
      </w:tr>
      <w:tr>
        <w:tc>
          <w:tcPr/>
          <w:p>
            <w:pPr>
              <w:pStyle w:val="Compact"/>
            </w:pPr>
            <w:r>
              <w:rPr>
                <w:rStyle w:val="VerbatimChar"/>
                <w:sz w:val="17"/>
              </w:rPr>
              <w:t xml:space="preserve">fraud.cancellation_spike</w:t>
            </w:r>
          </w:p>
        </w:tc>
        <w:tc>
          <w:tcPr/>
          <w:p>
            <w:pPr>
              <w:pStyle w:val="Compact"/>
            </w:pPr>
            <w:r>
              <w:rPr>
                <w:sz w:val="17"/>
              </w:rPr>
              <w:t xml:space="preserve">Pic d’annulations</w:t>
            </w:r>
          </w:p>
        </w:tc>
        <w:tc>
          <w:tcPr/>
          <w:p>
            <w:pPr>
              <w:pStyle w:val="Compact"/>
            </w:pPr>
            <w:r>
              <w:rPr>
                <w:sz w:val="17"/>
              </w:rPr>
              <w:t xml:space="preserve">Pic d’annulations sur {{perimetre}}</w:t>
            </w:r>
          </w:p>
        </w:tc>
        <w:tc>
          <w:tcPr/>
          <w:p>
            <w:pPr>
              <w:pStyle w:val="Compact"/>
            </w:pPr>
            <w:r>
              <w:rPr>
                <w:sz w:val="17"/>
              </w:rPr>
              <w:t xml:space="preserve">critical</w:t>
            </w:r>
          </w:p>
        </w:tc>
        <w:tc>
          <w:tcPr/>
          <w:p>
            <w:pPr>
              <w:pStyle w:val="Compact"/>
            </w:pPr>
            <w:r>
              <w:rPr>
                <w:sz w:val="17"/>
              </w:rPr>
              <w:t xml:space="preserve">EA</w:t>
            </w:r>
          </w:p>
        </w:tc>
        <w:tc>
          <w:tcPr/>
          <w:p>
            <w:pPr>
              <w:pStyle w:val="Compact"/>
            </w:pPr>
            <w:r>
              <w:rPr>
                <w:sz w:val="17"/>
              </w:rPr>
              <w:t xml:space="preserve">M</w:t>
            </w:r>
          </w:p>
        </w:tc>
        <w:tc>
          <w:tcPr/>
          <w:p>
            <w:pPr>
              <w:pStyle w:val="Compact"/>
            </w:pPr>
            <w:r>
              <w:rPr>
                <w:sz w:val="17"/>
              </w:rPr>
              <w:t xml:space="preserve">G</w:t>
            </w:r>
          </w:p>
        </w:tc>
      </w:tr>
      <w:tr>
        <w:tc>
          <w:tcPr>
            <w:shd w:val="clear" w:color="auto" w:fill="F5F7FB"/>
          </w:tcPr>
          <w:p>
            <w:pPr>
              <w:pStyle w:val="Compact"/>
            </w:pPr>
            <w:r>
              <w:rPr>
                <w:rStyle w:val="VerbatimChar"/>
                <w:sz w:val="17"/>
              </w:rPr>
              <w:t xml:space="preserve">fraud.fake_agent_reported</w:t>
            </w:r>
          </w:p>
        </w:tc>
        <w:tc>
          <w:tcPr>
            <w:shd w:val="clear" w:color="auto" w:fill="F5F7FB"/>
          </w:tcPr>
          <w:p>
            <w:pPr>
              <w:pStyle w:val="Compact"/>
            </w:pPr>
            <w:r>
              <w:rPr>
                <w:sz w:val="17"/>
              </w:rPr>
              <w:t xml:space="preserve">Faux agent signalé</w:t>
            </w:r>
          </w:p>
        </w:tc>
        <w:tc>
          <w:tcPr>
            <w:shd w:val="clear" w:color="auto" w:fill="F5F7FB"/>
          </w:tcPr>
          <w:p>
            <w:pPr>
              <w:pStyle w:val="Compact"/>
            </w:pPr>
            <w:r>
              <w:rPr>
                <w:sz w:val="17"/>
              </w:rPr>
              <w:t xml:space="preserve">Signalement de faux agent à {{lieu}}</w:t>
            </w:r>
          </w:p>
        </w:tc>
        <w:tc>
          <w:tcPr>
            <w:shd w:val="clear" w:color="auto" w:fill="F5F7FB"/>
          </w:tcPr>
          <w:p>
            <w:pPr>
              <w:pStyle w:val="Compact"/>
            </w:pPr>
            <w:r>
              <w:rPr>
                <w:sz w:val="17"/>
              </w:rPr>
              <w:t xml:space="preserve">critical</w:t>
            </w:r>
          </w:p>
        </w:tc>
        <w:tc>
          <w:tcPr>
            <w:shd w:val="clear" w:color="auto" w:fill="F5F7FB"/>
          </w:tcPr>
          <w:p>
            <w:pPr>
              <w:pStyle w:val="Compact"/>
            </w:pPr>
            <w:r>
              <w:rPr>
                <w:sz w:val="17"/>
              </w:rPr>
              <w:t xml:space="preserve">EAS</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G</w:t>
            </w:r>
          </w:p>
        </w:tc>
      </w:tr>
      <w:tr>
        <w:tc>
          <w:tcPr/>
          <w:p>
            <w:pPr>
              <w:pStyle w:val="Compact"/>
            </w:pPr>
            <w:r>
              <w:rPr>
                <w:rStyle w:val="VerbatimChar"/>
                <w:sz w:val="17"/>
              </w:rPr>
              <w:t xml:space="preserve">fraud.cash_request_reported</w:t>
            </w:r>
          </w:p>
        </w:tc>
        <w:tc>
          <w:tcPr/>
          <w:p>
            <w:pPr>
              <w:pStyle w:val="Compact"/>
            </w:pPr>
            <w:r>
              <w:rPr>
                <w:sz w:val="17"/>
              </w:rPr>
              <w:t xml:space="preserve">Demande d’espèces signalée</w:t>
            </w:r>
          </w:p>
        </w:tc>
        <w:tc>
          <w:tcPr/>
          <w:p>
            <w:pPr>
              <w:pStyle w:val="Compact"/>
            </w:pPr>
            <w:r>
              <w:rPr>
                <w:sz w:val="17"/>
              </w:rPr>
              <w:t xml:space="preserve">Signalement de demande d’espèces</w:t>
            </w:r>
          </w:p>
        </w:tc>
        <w:tc>
          <w:tcPr/>
          <w:p>
            <w:pPr>
              <w:pStyle w:val="Compact"/>
            </w:pPr>
            <w:r>
              <w:rPr>
                <w:sz w:val="17"/>
              </w:rPr>
              <w:t xml:space="preserve">critical</w:t>
            </w:r>
          </w:p>
        </w:tc>
        <w:tc>
          <w:tcPr/>
          <w:p>
            <w:pPr>
              <w:pStyle w:val="Compact"/>
            </w:pPr>
            <w:r>
              <w:rPr>
                <w:sz w:val="17"/>
              </w:rPr>
              <w:t xml:space="preserve">EAS</w:t>
            </w:r>
          </w:p>
        </w:tc>
        <w:tc>
          <w:tcPr/>
          <w:p>
            <w:pPr>
              <w:pStyle w:val="Compact"/>
            </w:pPr>
            <w:r>
              <w:rPr>
                <w:sz w:val="17"/>
              </w:rPr>
              <w:t xml:space="preserve">M</w:t>
            </w:r>
          </w:p>
        </w:tc>
        <w:tc>
          <w:tcPr/>
          <w:p>
            <w:pPr>
              <w:pStyle w:val="Compact"/>
            </w:pPr>
            <w:r>
              <w:rPr>
                <w:sz w:val="17"/>
              </w:rPr>
              <w:t xml:space="preserve">G</w:t>
            </w:r>
          </w:p>
        </w:tc>
      </w:tr>
      <w:tr>
        <w:tc>
          <w:tcPr>
            <w:shd w:val="clear" w:color="auto" w:fill="F5F7FB"/>
          </w:tcPr>
          <w:p>
            <w:pPr>
              <w:pStyle w:val="Compact"/>
            </w:pPr>
            <w:r>
              <w:rPr>
                <w:rStyle w:val="VerbatimChar"/>
                <w:sz w:val="17"/>
              </w:rPr>
              <w:t xml:space="preserve">audit.log.integrity_failure</w:t>
            </w:r>
          </w:p>
        </w:tc>
        <w:tc>
          <w:tcPr>
            <w:shd w:val="clear" w:color="auto" w:fill="F5F7FB"/>
          </w:tcPr>
          <w:p>
            <w:pPr>
              <w:pStyle w:val="Compact"/>
            </w:pPr>
            <w:r>
              <w:rPr>
                <w:sz w:val="17"/>
              </w:rPr>
              <w:t xml:space="preserve">Rupture de la chaîne d’audit</w:t>
            </w:r>
          </w:p>
        </w:tc>
        <w:tc>
          <w:tcPr>
            <w:shd w:val="clear" w:color="auto" w:fill="F5F7FB"/>
          </w:tcPr>
          <w:p>
            <w:pPr>
              <w:pStyle w:val="Compact"/>
            </w:pPr>
            <w:r>
              <w:rPr>
                <w:sz w:val="17"/>
              </w:rPr>
              <w:t xml:space="preserve">Rupture d’intégrité du journal</w:t>
            </w:r>
          </w:p>
        </w:tc>
        <w:tc>
          <w:tcPr>
            <w:shd w:val="clear" w:color="auto" w:fill="F5F7FB"/>
          </w:tcPr>
          <w:p>
            <w:pPr>
              <w:pStyle w:val="Compact"/>
            </w:pPr>
            <w:r>
              <w:rPr>
                <w:sz w:val="17"/>
              </w:rPr>
              <w:t xml:space="preserve">critical</w:t>
            </w:r>
          </w:p>
        </w:tc>
        <w:tc>
          <w:tcPr>
            <w:shd w:val="clear" w:color="auto" w:fill="F5F7FB"/>
          </w:tcPr>
          <w:p>
            <w:pPr>
              <w:pStyle w:val="Compact"/>
            </w:pPr>
            <w:r>
              <w:rPr>
                <w:sz w:val="17"/>
              </w:rPr>
              <w:t xml:space="preserve">EAS</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G</w:t>
            </w:r>
          </w:p>
        </w:tc>
      </w:tr>
      <w:tr>
        <w:tc>
          <w:tcPr/>
          <w:p>
            <w:pPr>
              <w:pStyle w:val="Compact"/>
            </w:pPr>
            <w:r>
              <w:rPr>
                <w:rStyle w:val="VerbatimChar"/>
                <w:sz w:val="17"/>
              </w:rPr>
              <w:t xml:space="preserve">audit.policy_violation</w:t>
            </w:r>
          </w:p>
        </w:tc>
        <w:tc>
          <w:tcPr/>
          <w:p>
            <w:pPr>
              <w:pStyle w:val="Compact"/>
            </w:pPr>
            <w:r>
              <w:rPr>
                <w:sz w:val="17"/>
              </w:rPr>
              <w:t xml:space="preserve">Violation de politique</w:t>
            </w:r>
          </w:p>
        </w:tc>
        <w:tc>
          <w:tcPr/>
          <w:p>
            <w:pPr>
              <w:pStyle w:val="Compact"/>
            </w:pPr>
            <w:r>
              <w:rPr>
                <w:sz w:val="17"/>
              </w:rPr>
              <w:t xml:space="preserve">Violation de politique détectée</w:t>
            </w:r>
          </w:p>
        </w:tc>
        <w:tc>
          <w:tcPr/>
          <w:p>
            <w:pPr>
              <w:pStyle w:val="Compact"/>
            </w:pPr>
            <w:r>
              <w:rPr>
                <w:sz w:val="17"/>
              </w:rPr>
              <w:t xml:space="preserve">critical</w:t>
            </w:r>
          </w:p>
        </w:tc>
        <w:tc>
          <w:tcPr/>
          <w:p>
            <w:pPr>
              <w:pStyle w:val="Compact"/>
            </w:pPr>
            <w:r>
              <w:rPr>
                <w:sz w:val="17"/>
              </w:rPr>
              <w:t xml:space="preserve">EAS</w:t>
            </w:r>
          </w:p>
        </w:tc>
        <w:tc>
          <w:tcPr/>
          <w:p>
            <w:pPr>
              <w:pStyle w:val="Compact"/>
            </w:pPr>
            <w:r>
              <w:rPr>
                <w:sz w:val="17"/>
              </w:rPr>
              <w:t xml:space="preserve">M</w:t>
            </w:r>
          </w:p>
        </w:tc>
        <w:tc>
          <w:tcPr/>
          <w:p>
            <w:pPr>
              <w:pStyle w:val="Compact"/>
            </w:pPr>
            <w:r>
              <w:rPr>
                <w:sz w:val="17"/>
              </w:rPr>
              <w:t xml:space="preserve">G</w:t>
            </w:r>
          </w:p>
        </w:tc>
      </w:tr>
      <w:tr>
        <w:tc>
          <w:tcPr>
            <w:shd w:val="clear" w:color="auto" w:fill="F5F7FB"/>
          </w:tcPr>
          <w:p>
            <w:pPr>
              <w:pStyle w:val="Compact"/>
            </w:pPr>
            <w:r>
              <w:rPr>
                <w:rStyle w:val="VerbatimChar"/>
                <w:sz w:val="17"/>
              </w:rPr>
              <w:t xml:space="preserve">audit.access_review.due</w:t>
            </w:r>
          </w:p>
        </w:tc>
        <w:tc>
          <w:tcPr>
            <w:shd w:val="clear" w:color="auto" w:fill="F5F7FB"/>
          </w:tcPr>
          <w:p>
            <w:pPr>
              <w:pStyle w:val="Compact"/>
            </w:pPr>
            <w:r>
              <w:rPr>
                <w:sz w:val="17"/>
              </w:rPr>
              <w:t xml:space="preserve">Revue d’accès due</w:t>
            </w:r>
          </w:p>
        </w:tc>
        <w:tc>
          <w:tcPr>
            <w:shd w:val="clear" w:color="auto" w:fill="F5F7FB"/>
          </w:tcPr>
          <w:p>
            <w:pPr>
              <w:pStyle w:val="Compact"/>
            </w:pPr>
            <w:r>
              <w:rPr>
                <w:sz w:val="17"/>
              </w:rPr>
              <w:t xml:space="preserve">Revue trimestrielle des accès à réaliser</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EA</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G</w:t>
            </w:r>
          </w:p>
        </w:tc>
      </w:tr>
      <w:tr>
        <w:tc>
          <w:tcPr/>
          <w:p>
            <w:pPr>
              <w:pStyle w:val="Compact"/>
            </w:pPr>
            <w:r>
              <w:rPr>
                <w:rStyle w:val="VerbatimChar"/>
                <w:sz w:val="17"/>
              </w:rPr>
              <w:t xml:space="preserve">whistleblower.report.received</w:t>
            </w:r>
          </w:p>
        </w:tc>
        <w:tc>
          <w:tcPr/>
          <w:p>
            <w:pPr>
              <w:pStyle w:val="Compact"/>
            </w:pPr>
            <w:r>
              <w:rPr>
                <w:sz w:val="17"/>
              </w:rPr>
              <w:t xml:space="preserve">Signalement reçu</w:t>
            </w:r>
          </w:p>
        </w:tc>
        <w:tc>
          <w:tcPr/>
          <w:p>
            <w:pPr>
              <w:pStyle w:val="Compact"/>
            </w:pPr>
            <w:r>
              <w:rPr>
                <w:sz w:val="17"/>
              </w:rPr>
              <w:t xml:space="preserve">Votre signalement {{reference}} est enregistré</w:t>
            </w:r>
          </w:p>
        </w:tc>
        <w:tc>
          <w:tcPr/>
          <w:p>
            <w:pPr>
              <w:pStyle w:val="Compact"/>
            </w:pPr>
            <w:r>
              <w:rPr>
                <w:sz w:val="17"/>
              </w:rPr>
              <w:t xml:space="preserve">info</w:t>
            </w:r>
          </w:p>
        </w:tc>
        <w:tc>
          <w:tcPr/>
          <w:p>
            <w:pPr>
              <w:pStyle w:val="Compact"/>
            </w:pPr>
            <w:r>
              <w:rPr>
                <w:sz w:val="17"/>
              </w:rPr>
              <w:t xml:space="preserve">SUV</w:t>
            </w:r>
          </w:p>
        </w:tc>
        <w:tc>
          <w:tcPr/>
          <w:p>
            <w:pPr>
              <w:pStyle w:val="Compact"/>
            </w:pPr>
            <w:r>
              <w:rPr>
                <w:sz w:val="17"/>
              </w:rPr>
              <w:t xml:space="preserve">M</w:t>
            </w:r>
          </w:p>
        </w:tc>
        <w:tc>
          <w:tcPr/>
          <w:p>
            <w:pPr>
              <w:pStyle w:val="Compact"/>
            </w:pPr>
            <w:r>
              <w:rPr>
                <w:sz w:val="17"/>
              </w:rPr>
              <w:t xml:space="preserve">C</w:t>
            </w:r>
          </w:p>
        </w:tc>
      </w:tr>
      <w:tr>
        <w:tc>
          <w:tcPr>
            <w:shd w:val="clear" w:color="auto" w:fill="F5F7FB"/>
          </w:tcPr>
          <w:p>
            <w:pPr>
              <w:pStyle w:val="Compact"/>
            </w:pPr>
            <w:r>
              <w:rPr>
                <w:rStyle w:val="VerbatimChar"/>
                <w:sz w:val="17"/>
              </w:rPr>
              <w:t xml:space="preserve">incident.declared</w:t>
            </w:r>
          </w:p>
        </w:tc>
        <w:tc>
          <w:tcPr>
            <w:shd w:val="clear" w:color="auto" w:fill="F5F7FB"/>
          </w:tcPr>
          <w:p>
            <w:pPr>
              <w:pStyle w:val="Compact"/>
            </w:pPr>
            <w:r>
              <w:rPr>
                <w:sz w:val="17"/>
              </w:rPr>
              <w:t xml:space="preserve">Incident de sécurité déclaré</w:t>
            </w:r>
          </w:p>
        </w:tc>
        <w:tc>
          <w:tcPr>
            <w:shd w:val="clear" w:color="auto" w:fill="F5F7FB"/>
          </w:tcPr>
          <w:p>
            <w:pPr>
              <w:pStyle w:val="Compact"/>
            </w:pPr>
            <w:r>
              <w:rPr>
                <w:sz w:val="17"/>
              </w:rPr>
              <w:t xml:space="preserve">Incident {{reference}} déclaré — gravité {{gravite}}</w:t>
            </w:r>
          </w:p>
        </w:tc>
        <w:tc>
          <w:tcPr>
            <w:shd w:val="clear" w:color="auto" w:fill="F5F7FB"/>
          </w:tcPr>
          <w:p>
            <w:pPr>
              <w:pStyle w:val="Compact"/>
            </w:pPr>
            <w:r>
              <w:rPr>
                <w:sz w:val="17"/>
              </w:rPr>
              <w:t xml:space="preserve">critical</w:t>
            </w:r>
          </w:p>
        </w:tc>
        <w:tc>
          <w:tcPr>
            <w:shd w:val="clear" w:color="auto" w:fill="F5F7FB"/>
          </w:tcPr>
          <w:p>
            <w:pPr>
              <w:pStyle w:val="Compact"/>
            </w:pPr>
            <w:r>
              <w:rPr>
                <w:sz w:val="17"/>
              </w:rPr>
              <w:t xml:space="preserve">EAP</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G</w:t>
            </w:r>
          </w:p>
        </w:tc>
      </w:tr>
      <w:tr>
        <w:tc>
          <w:tcPr/>
          <w:p>
            <w:pPr>
              <w:pStyle w:val="Compact"/>
            </w:pPr>
            <w:r>
              <w:rPr>
                <w:rStyle w:val="VerbatimChar"/>
                <w:sz w:val="17"/>
              </w:rPr>
              <w:t xml:space="preserve">whistleblower.report.updated</w:t>
            </w:r>
          </w:p>
        </w:tc>
        <w:tc>
          <w:tcPr/>
          <w:p>
            <w:pPr>
              <w:pStyle w:val="Compact"/>
            </w:pPr>
            <w:r>
              <w:rPr>
                <w:sz w:val="17"/>
              </w:rPr>
              <w:t xml:space="preserve">Signalement mis à jour</w:t>
            </w:r>
          </w:p>
        </w:tc>
        <w:tc>
          <w:tcPr/>
          <w:p>
            <w:pPr>
              <w:pStyle w:val="Compact"/>
            </w:pPr>
            <w:r>
              <w:rPr>
                <w:sz w:val="17"/>
              </w:rPr>
              <w:t xml:space="preserve">Votre signalement a évolué — consultez-le avec votre code de suivi</w:t>
            </w:r>
          </w:p>
        </w:tc>
        <w:tc>
          <w:tcPr/>
          <w:p>
            <w:pPr>
              <w:pStyle w:val="Compact"/>
            </w:pPr>
            <w:r>
              <w:rPr>
                <w:sz w:val="17"/>
              </w:rPr>
              <w:t xml:space="preserve">info</w:t>
            </w:r>
          </w:p>
        </w:tc>
        <w:tc>
          <w:tcPr/>
          <w:p>
            <w:pPr>
              <w:pStyle w:val="Compact"/>
            </w:pPr>
            <w:r>
              <w:rPr>
                <w:sz w:val="17"/>
              </w:rPr>
              <w:t xml:space="preserve">SA+W</w:t>
            </w:r>
          </w:p>
        </w:tc>
        <w:tc>
          <w:tcPr/>
          <w:p>
            <w:pPr>
              <w:pStyle w:val="Compact"/>
            </w:pPr>
          </w:p>
        </w:tc>
        <w:tc>
          <w:tcPr/>
          <w:p>
            <w:pPr>
              <w:pStyle w:val="Compact"/>
            </w:pPr>
            <w:r>
              <w:rPr>
                <w:sz w:val="17"/>
              </w:rPr>
              <w:t xml:space="preserve">C</w:t>
            </w:r>
          </w:p>
        </w:tc>
      </w:tr>
    </w:tbl>
    <w:bookmarkEnd w:id="601"/>
    <w:bookmarkStart w:id="602" w:name="g.18-agents-dintelligence-artificielle"/>
    <w:p>
      <w:pPr>
        <w:pStyle w:val="Heading2"/>
      </w:pPr>
      <w:r>
        <w:t xml:space="preserve">G.18 Agents d’intelligence artificielle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shd w:val="clear" w:color="auto" w:fill="232C6B"/>
          </w:tcPr>
          <w:p>
            <w:pPr>
              <w:pStyle w:val="Compact"/>
            </w:pPr>
            <w:r>
              <w:rPr>
                <w:b/>
                <w:color w:val="FFFFFF"/>
                <w:sz w:val="17"/>
              </w:rPr>
              <w:t xml:space="preserve">Code</w:t>
            </w:r>
          </w:p>
        </w:tc>
        <w:tc>
          <w:tcPr>
            <w:shd w:val="clear" w:color="auto" w:fill="232C6B"/>
          </w:tcPr>
          <w:p>
            <w:pPr>
              <w:pStyle w:val="Compact"/>
            </w:pPr>
            <w:r>
              <w:rPr>
                <w:b/>
                <w:color w:val="FFFFFF"/>
                <w:sz w:val="17"/>
              </w:rPr>
              <w:t xml:space="preserve">Événement</w:t>
            </w:r>
          </w:p>
        </w:tc>
        <w:tc>
          <w:tcPr>
            <w:shd w:val="clear" w:color="auto" w:fill="232C6B"/>
          </w:tcPr>
          <w:p>
            <w:pPr>
              <w:pStyle w:val="Compact"/>
            </w:pPr>
            <w:r>
              <w:rPr>
                <w:b/>
                <w:color w:val="FFFFFF"/>
                <w:sz w:val="17"/>
              </w:rPr>
              <w:t xml:space="preserve">Objet du message (fr)</w:t>
            </w:r>
          </w:p>
        </w:tc>
        <w:tc>
          <w:tcPr>
            <w:shd w:val="clear" w:color="auto" w:fill="232C6B"/>
          </w:tcPr>
          <w:p>
            <w:pPr>
              <w:pStyle w:val="Compact"/>
            </w:pPr>
            <w:r>
              <w:rPr>
                <w:b/>
                <w:color w:val="FFFFFF"/>
                <w:sz w:val="17"/>
              </w:rPr>
              <w:t xml:space="preserve">Gravité</w:t>
            </w:r>
          </w:p>
        </w:tc>
        <w:tc>
          <w:tcPr>
            <w:shd w:val="clear" w:color="auto" w:fill="232C6B"/>
          </w:tcPr>
          <w:p>
            <w:pPr>
              <w:pStyle w:val="Compact"/>
            </w:pPr>
            <w:r>
              <w:rPr>
                <w:b/>
                <w:color w:val="FFFFFF"/>
                <w:sz w:val="17"/>
              </w:rPr>
              <w:t xml:space="preserve">Canaux</w:t>
            </w:r>
          </w:p>
        </w:tc>
        <w:tc>
          <w:tcPr>
            <w:shd w:val="clear" w:color="auto" w:fill="232C6B"/>
          </w:tcPr>
          <w:p>
            <w:pPr>
              <w:pStyle w:val="Compact"/>
            </w:pPr>
            <w:r>
              <w:rPr>
                <w:b/>
                <w:color w:val="FFFFFF"/>
                <w:sz w:val="17"/>
              </w:rPr>
              <w:t xml:space="preserve">M</w:t>
            </w:r>
          </w:p>
        </w:tc>
        <w:tc>
          <w:tcPr>
            <w:shd w:val="clear" w:color="auto" w:fill="232C6B"/>
          </w:tcPr>
          <w:p>
            <w:pPr>
              <w:pStyle w:val="Compact"/>
            </w:pPr>
            <w:r>
              <w:rPr>
                <w:b/>
                <w:color w:val="FFFFFF"/>
                <w:sz w:val="17"/>
              </w:rPr>
              <w:t xml:space="preserve">Public</w:t>
            </w:r>
          </w:p>
        </w:tc>
      </w:tr>
      <w:tr>
        <w:tc>
          <w:tcPr/>
          <w:p>
            <w:pPr>
              <w:pStyle w:val="Compact"/>
            </w:pPr>
            <w:r>
              <w:rPr>
                <w:rStyle w:val="VerbatimChar"/>
                <w:sz w:val="17"/>
              </w:rPr>
              <w:t xml:space="preserve">ai.insight_generated</w:t>
            </w:r>
          </w:p>
        </w:tc>
        <w:tc>
          <w:tcPr/>
          <w:p>
            <w:pPr>
              <w:pStyle w:val="Compact"/>
            </w:pPr>
            <w:r>
              <w:rPr>
                <w:sz w:val="17"/>
              </w:rPr>
              <w:t xml:space="preserve">Analyse produite</w:t>
            </w:r>
          </w:p>
        </w:tc>
        <w:tc>
          <w:tcPr/>
          <w:p>
            <w:pPr>
              <w:pStyle w:val="Compact"/>
            </w:pPr>
            <w:r>
              <w:rPr>
                <w:sz w:val="17"/>
              </w:rPr>
              <w:t xml:space="preserve">Nouvelle analyse de {{agent}}</w:t>
            </w:r>
          </w:p>
        </w:tc>
        <w:tc>
          <w:tcPr/>
          <w:p>
            <w:pPr>
              <w:pStyle w:val="Compact"/>
            </w:pPr>
            <w:r>
              <w:rPr>
                <w:sz w:val="17"/>
              </w:rPr>
              <w:t xml:space="preserve">info</w:t>
            </w:r>
          </w:p>
        </w:tc>
        <w:tc>
          <w:tcPr/>
          <w:p>
            <w:pPr>
              <w:pStyle w:val="Compact"/>
            </w:pPr>
            <w:r>
              <w:rPr>
                <w:sz w:val="17"/>
              </w:rPr>
              <w:t xml:space="preserve">AP</w:t>
            </w:r>
          </w:p>
        </w:tc>
        <w:tc>
          <w:tcPr/>
          <w:p>
            <w:pPr>
              <w:pStyle w:val="Compact"/>
            </w:pPr>
          </w:p>
        </w:tc>
        <w:tc>
          <w:tcPr/>
          <w:p>
            <w:pPr>
              <w:pStyle w:val="Compact"/>
            </w:pPr>
            <w:r>
              <w:rPr>
                <w:sz w:val="17"/>
              </w:rPr>
              <w:t xml:space="preserve">G</w:t>
            </w:r>
          </w:p>
        </w:tc>
      </w:tr>
      <w:tr>
        <w:tc>
          <w:tcPr>
            <w:shd w:val="clear" w:color="auto" w:fill="F5F7FB"/>
          </w:tcPr>
          <w:p>
            <w:pPr>
              <w:pStyle w:val="Compact"/>
            </w:pPr>
            <w:r>
              <w:rPr>
                <w:rStyle w:val="VerbatimChar"/>
                <w:sz w:val="17"/>
              </w:rPr>
              <w:t xml:space="preserve">ai.recommendation_available</w:t>
            </w:r>
          </w:p>
        </w:tc>
        <w:tc>
          <w:tcPr>
            <w:shd w:val="clear" w:color="auto" w:fill="F5F7FB"/>
          </w:tcPr>
          <w:p>
            <w:pPr>
              <w:pStyle w:val="Compact"/>
            </w:pPr>
            <w:r>
              <w:rPr>
                <w:sz w:val="17"/>
              </w:rPr>
              <w:t xml:space="preserve">Recommandation disponible</w:t>
            </w:r>
          </w:p>
        </w:tc>
        <w:tc>
          <w:tcPr>
            <w:shd w:val="clear" w:color="auto" w:fill="F5F7FB"/>
          </w:tcPr>
          <w:p>
            <w:pPr>
              <w:pStyle w:val="Compact"/>
            </w:pPr>
            <w:r>
              <w:rPr>
                <w:sz w:val="17"/>
              </w:rPr>
              <w:t xml:space="preserve">Recommandation à examiner</w:t>
            </w:r>
          </w:p>
        </w:tc>
        <w:tc>
          <w:tcPr>
            <w:shd w:val="clear" w:color="auto" w:fill="F5F7FB"/>
          </w:tcPr>
          <w:p>
            <w:pPr>
              <w:pStyle w:val="Compact"/>
            </w:pPr>
            <w:r>
              <w:rPr>
                <w:sz w:val="17"/>
              </w:rPr>
              <w:t xml:space="preserve">info</w:t>
            </w:r>
          </w:p>
        </w:tc>
        <w:tc>
          <w:tcPr>
            <w:shd w:val="clear" w:color="auto" w:fill="F5F7FB"/>
          </w:tcPr>
          <w:p>
            <w:pPr>
              <w:pStyle w:val="Compact"/>
            </w:pPr>
            <w:r>
              <w:rPr>
                <w:sz w:val="17"/>
              </w:rPr>
              <w:t xml:space="preserve">AP</w:t>
            </w:r>
          </w:p>
        </w:tc>
        <w:tc>
          <w:tcPr>
            <w:shd w:val="clear" w:color="auto" w:fill="F5F7FB"/>
          </w:tcPr>
          <w:p>
            <w:pPr>
              <w:pStyle w:val="Compact"/>
            </w:pPr>
          </w:p>
        </w:tc>
        <w:tc>
          <w:tcPr>
            <w:shd w:val="clear" w:color="auto" w:fill="F5F7FB"/>
          </w:tcPr>
          <w:p>
            <w:pPr>
              <w:pStyle w:val="Compact"/>
            </w:pPr>
            <w:r>
              <w:rPr>
                <w:sz w:val="17"/>
              </w:rPr>
              <w:t xml:space="preserve">G</w:t>
            </w:r>
          </w:p>
        </w:tc>
      </w:tr>
      <w:tr>
        <w:tc>
          <w:tcPr/>
          <w:p>
            <w:pPr>
              <w:pStyle w:val="Compact"/>
            </w:pPr>
            <w:r>
              <w:rPr>
                <w:rStyle w:val="VerbatimChar"/>
                <w:sz w:val="17"/>
              </w:rPr>
              <w:t xml:space="preserve">ai.opportunity_identified</w:t>
            </w:r>
          </w:p>
        </w:tc>
        <w:tc>
          <w:tcPr/>
          <w:p>
            <w:pPr>
              <w:pStyle w:val="Compact"/>
            </w:pPr>
            <w:r>
              <w:rPr>
                <w:sz w:val="17"/>
              </w:rPr>
              <w:t xml:space="preserve">Gisement identifié</w:t>
            </w:r>
          </w:p>
        </w:tc>
        <w:tc>
          <w:tcPr/>
          <w:p>
            <w:pPr>
              <w:pStyle w:val="Compact"/>
            </w:pPr>
            <w:r>
              <w:rPr>
                <w:sz w:val="17"/>
              </w:rPr>
              <w:t xml:space="preserve">Gisement de recettes identifié</w:t>
            </w:r>
          </w:p>
        </w:tc>
        <w:tc>
          <w:tcPr/>
          <w:p>
            <w:pPr>
              <w:pStyle w:val="Compact"/>
            </w:pPr>
            <w:r>
              <w:rPr>
                <w:sz w:val="17"/>
              </w:rPr>
              <w:t xml:space="preserve">success</w:t>
            </w:r>
          </w:p>
        </w:tc>
        <w:tc>
          <w:tcPr/>
          <w:p>
            <w:pPr>
              <w:pStyle w:val="Compact"/>
            </w:pPr>
            <w:r>
              <w:rPr>
                <w:sz w:val="17"/>
              </w:rPr>
              <w:t xml:space="preserve">EA</w:t>
            </w:r>
          </w:p>
        </w:tc>
        <w:tc>
          <w:tcPr/>
          <w:p>
            <w:pPr>
              <w:pStyle w:val="Compact"/>
            </w:pPr>
          </w:p>
        </w:tc>
        <w:tc>
          <w:tcPr/>
          <w:p>
            <w:pPr>
              <w:pStyle w:val="Compact"/>
            </w:pPr>
            <w:r>
              <w:rPr>
                <w:sz w:val="17"/>
              </w:rPr>
              <w:t xml:space="preserve">G</w:t>
            </w:r>
          </w:p>
        </w:tc>
      </w:tr>
      <w:tr>
        <w:tc>
          <w:tcPr>
            <w:shd w:val="clear" w:color="auto" w:fill="F5F7FB"/>
          </w:tcPr>
          <w:p>
            <w:pPr>
              <w:pStyle w:val="Compact"/>
            </w:pPr>
            <w:r>
              <w:rPr>
                <w:rStyle w:val="VerbatimChar"/>
                <w:sz w:val="17"/>
              </w:rPr>
              <w:t xml:space="preserve">ai.risk_detected</w:t>
            </w:r>
          </w:p>
        </w:tc>
        <w:tc>
          <w:tcPr>
            <w:shd w:val="clear" w:color="auto" w:fill="F5F7FB"/>
          </w:tcPr>
          <w:p>
            <w:pPr>
              <w:pStyle w:val="Compact"/>
            </w:pPr>
            <w:r>
              <w:rPr>
                <w:sz w:val="17"/>
              </w:rPr>
              <w:t xml:space="preserve">Risque détecté</w:t>
            </w:r>
          </w:p>
        </w:tc>
        <w:tc>
          <w:tcPr>
            <w:shd w:val="clear" w:color="auto" w:fill="F5F7FB"/>
          </w:tcPr>
          <w:p>
            <w:pPr>
              <w:pStyle w:val="Compact"/>
            </w:pPr>
            <w:r>
              <w:rPr>
                <w:sz w:val="17"/>
              </w:rPr>
              <w:t xml:space="preserve">Alerte de risque</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EAP</w:t>
            </w:r>
          </w:p>
        </w:tc>
        <w:tc>
          <w:tcPr>
            <w:shd w:val="clear" w:color="auto" w:fill="F5F7FB"/>
          </w:tcPr>
          <w:p>
            <w:pPr>
              <w:pStyle w:val="Compact"/>
            </w:pPr>
          </w:p>
        </w:tc>
        <w:tc>
          <w:tcPr>
            <w:shd w:val="clear" w:color="auto" w:fill="F5F7FB"/>
          </w:tcPr>
          <w:p>
            <w:pPr>
              <w:pStyle w:val="Compact"/>
            </w:pPr>
            <w:r>
              <w:rPr>
                <w:sz w:val="17"/>
              </w:rPr>
              <w:t xml:space="preserve">G</w:t>
            </w:r>
          </w:p>
        </w:tc>
      </w:tr>
      <w:tr>
        <w:tc>
          <w:tcPr/>
          <w:p>
            <w:pPr>
              <w:pStyle w:val="Compact"/>
            </w:pPr>
            <w:r>
              <w:rPr>
                <w:rStyle w:val="VerbatimChar"/>
                <w:sz w:val="17"/>
              </w:rPr>
              <w:t xml:space="preserve">ai.forecast.updated</w:t>
            </w:r>
          </w:p>
        </w:tc>
        <w:tc>
          <w:tcPr/>
          <w:p>
            <w:pPr>
              <w:pStyle w:val="Compact"/>
            </w:pPr>
            <w:r>
              <w:rPr>
                <w:sz w:val="17"/>
              </w:rPr>
              <w:t xml:space="preserve">Prévision mise à jour</w:t>
            </w:r>
          </w:p>
        </w:tc>
        <w:tc>
          <w:tcPr/>
          <w:p>
            <w:pPr>
              <w:pStyle w:val="Compact"/>
            </w:pPr>
            <w:r>
              <w:rPr>
                <w:sz w:val="17"/>
              </w:rPr>
              <w:t xml:space="preserve">Prévision {{periode}} mise à jour</w:t>
            </w:r>
          </w:p>
        </w:tc>
        <w:tc>
          <w:tcPr/>
          <w:p>
            <w:pPr>
              <w:pStyle w:val="Compact"/>
            </w:pPr>
            <w:r>
              <w:rPr>
                <w:sz w:val="17"/>
              </w:rPr>
              <w:t xml:space="preserve">info</w:t>
            </w:r>
          </w:p>
        </w:tc>
        <w:tc>
          <w:tcPr/>
          <w:p>
            <w:pPr>
              <w:pStyle w:val="Compact"/>
            </w:pPr>
            <w:r>
              <w:rPr>
                <w:sz w:val="17"/>
              </w:rPr>
              <w:t xml:space="preserve">A</w:t>
            </w:r>
          </w:p>
        </w:tc>
        <w:tc>
          <w:tcPr/>
          <w:p>
            <w:pPr>
              <w:pStyle w:val="Compact"/>
            </w:pPr>
          </w:p>
        </w:tc>
        <w:tc>
          <w:tcPr/>
          <w:p>
            <w:pPr>
              <w:pStyle w:val="Compact"/>
            </w:pPr>
            <w:r>
              <w:rPr>
                <w:sz w:val="17"/>
              </w:rPr>
              <w:t xml:space="preserve">G</w:t>
            </w:r>
          </w:p>
        </w:tc>
      </w:tr>
      <w:tr>
        <w:tc>
          <w:tcPr>
            <w:shd w:val="clear" w:color="auto" w:fill="F5F7FB"/>
          </w:tcPr>
          <w:p>
            <w:pPr>
              <w:pStyle w:val="Compact"/>
            </w:pPr>
            <w:r>
              <w:rPr>
                <w:rStyle w:val="VerbatimChar"/>
                <w:sz w:val="17"/>
              </w:rPr>
              <w:t xml:space="preserve">ai.human_intervention_required</w:t>
            </w:r>
          </w:p>
        </w:tc>
        <w:tc>
          <w:tcPr>
            <w:shd w:val="clear" w:color="auto" w:fill="F5F7FB"/>
          </w:tcPr>
          <w:p>
            <w:pPr>
              <w:pStyle w:val="Compact"/>
            </w:pPr>
            <w:r>
              <w:rPr>
                <w:sz w:val="17"/>
              </w:rPr>
              <w:t xml:space="preserve">Décision humaine requise</w:t>
            </w:r>
          </w:p>
        </w:tc>
        <w:tc>
          <w:tcPr>
            <w:shd w:val="clear" w:color="auto" w:fill="F5F7FB"/>
          </w:tcPr>
          <w:p>
            <w:pPr>
              <w:pStyle w:val="Compact"/>
            </w:pPr>
            <w:r>
              <w:rPr>
                <w:sz w:val="17"/>
              </w:rPr>
              <w:t xml:space="preserve">Action requise : {{objet}}</w:t>
            </w:r>
          </w:p>
        </w:tc>
        <w:tc>
          <w:tcPr>
            <w:shd w:val="clear" w:color="auto" w:fill="F5F7FB"/>
          </w:tcPr>
          <w:p>
            <w:pPr>
              <w:pStyle w:val="Compact"/>
            </w:pPr>
            <w:r>
              <w:rPr>
                <w:sz w:val="17"/>
              </w:rPr>
              <w:t xml:space="preserve">critical</w:t>
            </w:r>
          </w:p>
        </w:tc>
        <w:tc>
          <w:tcPr>
            <w:shd w:val="clear" w:color="auto" w:fill="F5F7FB"/>
          </w:tcPr>
          <w:p>
            <w:pPr>
              <w:pStyle w:val="Compact"/>
            </w:pPr>
            <w:r>
              <w:rPr>
                <w:sz w:val="17"/>
              </w:rPr>
              <w:t xml:space="preserve">EAP</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G</w:t>
            </w:r>
          </w:p>
        </w:tc>
      </w:tr>
      <w:tr>
        <w:tc>
          <w:tcPr/>
          <w:p>
            <w:pPr>
              <w:pStyle w:val="Compact"/>
            </w:pPr>
            <w:r>
              <w:rPr>
                <w:rStyle w:val="VerbatimChar"/>
                <w:sz w:val="17"/>
              </w:rPr>
              <w:t xml:space="preserve">ai.model.drift_detected</w:t>
            </w:r>
          </w:p>
        </w:tc>
        <w:tc>
          <w:tcPr/>
          <w:p>
            <w:pPr>
              <w:pStyle w:val="Compact"/>
            </w:pPr>
            <w:r>
              <w:rPr>
                <w:sz w:val="17"/>
              </w:rPr>
              <w:t xml:space="preserve">Dérive de modèle</w:t>
            </w:r>
          </w:p>
        </w:tc>
        <w:tc>
          <w:tcPr/>
          <w:p>
            <w:pPr>
              <w:pStyle w:val="Compact"/>
            </w:pPr>
            <w:r>
              <w:rPr>
                <w:sz w:val="17"/>
              </w:rPr>
              <w:t xml:space="preserve">Dérive détectée sur {{modele}}</w:t>
            </w:r>
          </w:p>
        </w:tc>
        <w:tc>
          <w:tcPr/>
          <w:p>
            <w:pPr>
              <w:pStyle w:val="Compact"/>
            </w:pPr>
            <w:r>
              <w:rPr>
                <w:sz w:val="17"/>
              </w:rPr>
              <w:t xml:space="preserve">warning</w:t>
            </w:r>
          </w:p>
        </w:tc>
        <w:tc>
          <w:tcPr/>
          <w:p>
            <w:pPr>
              <w:pStyle w:val="Compact"/>
            </w:pPr>
            <w:r>
              <w:rPr>
                <w:sz w:val="17"/>
              </w:rPr>
              <w:t xml:space="preserve">EA</w:t>
            </w:r>
          </w:p>
        </w:tc>
        <w:tc>
          <w:tcPr/>
          <w:p>
            <w:pPr>
              <w:pStyle w:val="Compact"/>
            </w:pPr>
            <w:r>
              <w:rPr>
                <w:sz w:val="17"/>
              </w:rPr>
              <w:t xml:space="preserve">M</w:t>
            </w:r>
          </w:p>
        </w:tc>
        <w:tc>
          <w:tcPr/>
          <w:p>
            <w:pPr>
              <w:pStyle w:val="Compact"/>
            </w:pPr>
            <w:r>
              <w:rPr>
                <w:sz w:val="17"/>
              </w:rPr>
              <w:t xml:space="preserve">G</w:t>
            </w:r>
          </w:p>
        </w:tc>
      </w:tr>
      <w:tr>
        <w:tc>
          <w:tcPr>
            <w:shd w:val="clear" w:color="auto" w:fill="F5F7FB"/>
          </w:tcPr>
          <w:p>
            <w:pPr>
              <w:pStyle w:val="Compact"/>
            </w:pPr>
            <w:r>
              <w:rPr>
                <w:rStyle w:val="VerbatimChar"/>
                <w:sz w:val="17"/>
              </w:rPr>
              <w:t xml:space="preserve">ai.model.rollback</w:t>
            </w:r>
          </w:p>
        </w:tc>
        <w:tc>
          <w:tcPr>
            <w:shd w:val="clear" w:color="auto" w:fill="F5F7FB"/>
          </w:tcPr>
          <w:p>
            <w:pPr>
              <w:pStyle w:val="Compact"/>
            </w:pPr>
            <w:r>
              <w:rPr>
                <w:sz w:val="17"/>
              </w:rPr>
              <w:t xml:space="preserve">Retour arrière de modèle</w:t>
            </w:r>
          </w:p>
        </w:tc>
        <w:tc>
          <w:tcPr>
            <w:shd w:val="clear" w:color="auto" w:fill="F5F7FB"/>
          </w:tcPr>
          <w:p>
            <w:pPr>
              <w:pStyle w:val="Compact"/>
            </w:pPr>
            <w:r>
              <w:rPr>
                <w:sz w:val="17"/>
              </w:rPr>
              <w:t xml:space="preserve">Modèle {{modele}} rétabli en version {{version}}</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EA</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G</w:t>
            </w:r>
          </w:p>
        </w:tc>
      </w:tr>
      <w:tr>
        <w:tc>
          <w:tcPr/>
          <w:p>
            <w:pPr>
              <w:pStyle w:val="Compact"/>
            </w:pPr>
            <w:r>
              <w:rPr>
                <w:rStyle w:val="VerbatimChar"/>
                <w:sz w:val="17"/>
              </w:rPr>
              <w:t xml:space="preserve">ai.workflow_failed</w:t>
            </w:r>
          </w:p>
        </w:tc>
        <w:tc>
          <w:tcPr/>
          <w:p>
            <w:pPr>
              <w:pStyle w:val="Compact"/>
            </w:pPr>
            <w:r>
              <w:rPr>
                <w:sz w:val="17"/>
              </w:rPr>
              <w:t xml:space="preserve">Traitement IA échoué</w:t>
            </w:r>
          </w:p>
        </w:tc>
        <w:tc>
          <w:tcPr/>
          <w:p>
            <w:pPr>
              <w:pStyle w:val="Compact"/>
            </w:pPr>
            <w:r>
              <w:rPr>
                <w:sz w:val="17"/>
              </w:rPr>
              <w:t xml:space="preserve">Traitement {{objet}} échoué</w:t>
            </w:r>
          </w:p>
        </w:tc>
        <w:tc>
          <w:tcPr/>
          <w:p>
            <w:pPr>
              <w:pStyle w:val="Compact"/>
            </w:pPr>
            <w:r>
              <w:rPr>
                <w:sz w:val="17"/>
              </w:rPr>
              <w:t xml:space="preserve">warning</w:t>
            </w:r>
          </w:p>
        </w:tc>
        <w:tc>
          <w:tcPr/>
          <w:p>
            <w:pPr>
              <w:pStyle w:val="Compact"/>
            </w:pPr>
            <w:r>
              <w:rPr>
                <w:sz w:val="17"/>
              </w:rPr>
              <w:t xml:space="preserve">EA</w:t>
            </w:r>
          </w:p>
        </w:tc>
        <w:tc>
          <w:tcPr/>
          <w:p>
            <w:pPr>
              <w:pStyle w:val="Compact"/>
            </w:pPr>
          </w:p>
        </w:tc>
        <w:tc>
          <w:tcPr/>
          <w:p>
            <w:pPr>
              <w:pStyle w:val="Compact"/>
            </w:pPr>
            <w:r>
              <w:rPr>
                <w:sz w:val="17"/>
              </w:rPr>
              <w:t xml:space="preserve">G</w:t>
            </w:r>
          </w:p>
        </w:tc>
      </w:tr>
    </w:tbl>
    <w:bookmarkEnd w:id="602"/>
    <w:bookmarkStart w:id="603" w:name="g.19-pilotage-et-tableaux-de-bord"/>
    <w:p>
      <w:pPr>
        <w:pStyle w:val="Heading2"/>
      </w:pPr>
      <w:r>
        <w:t xml:space="preserve">G.19 Pilotage et tableaux de bord</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shd w:val="clear" w:color="auto" w:fill="232C6B"/>
          </w:tcPr>
          <w:p>
            <w:pPr>
              <w:pStyle w:val="Compact"/>
            </w:pPr>
            <w:r>
              <w:rPr>
                <w:b/>
                <w:color w:val="FFFFFF"/>
                <w:sz w:val="17"/>
              </w:rPr>
              <w:t xml:space="preserve">Code</w:t>
            </w:r>
          </w:p>
        </w:tc>
        <w:tc>
          <w:tcPr>
            <w:shd w:val="clear" w:color="auto" w:fill="232C6B"/>
          </w:tcPr>
          <w:p>
            <w:pPr>
              <w:pStyle w:val="Compact"/>
            </w:pPr>
            <w:r>
              <w:rPr>
                <w:b/>
                <w:color w:val="FFFFFF"/>
                <w:sz w:val="17"/>
              </w:rPr>
              <w:t xml:space="preserve">Événement</w:t>
            </w:r>
          </w:p>
        </w:tc>
        <w:tc>
          <w:tcPr>
            <w:shd w:val="clear" w:color="auto" w:fill="232C6B"/>
          </w:tcPr>
          <w:p>
            <w:pPr>
              <w:pStyle w:val="Compact"/>
            </w:pPr>
            <w:r>
              <w:rPr>
                <w:b/>
                <w:color w:val="FFFFFF"/>
                <w:sz w:val="17"/>
              </w:rPr>
              <w:t xml:space="preserve">Objet du message (fr)</w:t>
            </w:r>
          </w:p>
        </w:tc>
        <w:tc>
          <w:tcPr>
            <w:shd w:val="clear" w:color="auto" w:fill="232C6B"/>
          </w:tcPr>
          <w:p>
            <w:pPr>
              <w:pStyle w:val="Compact"/>
            </w:pPr>
            <w:r>
              <w:rPr>
                <w:b/>
                <w:color w:val="FFFFFF"/>
                <w:sz w:val="17"/>
              </w:rPr>
              <w:t xml:space="preserve">Gravité</w:t>
            </w:r>
          </w:p>
        </w:tc>
        <w:tc>
          <w:tcPr>
            <w:shd w:val="clear" w:color="auto" w:fill="232C6B"/>
          </w:tcPr>
          <w:p>
            <w:pPr>
              <w:pStyle w:val="Compact"/>
            </w:pPr>
            <w:r>
              <w:rPr>
                <w:b/>
                <w:color w:val="FFFFFF"/>
                <w:sz w:val="17"/>
              </w:rPr>
              <w:t xml:space="preserve">Canaux</w:t>
            </w:r>
          </w:p>
        </w:tc>
        <w:tc>
          <w:tcPr>
            <w:shd w:val="clear" w:color="auto" w:fill="232C6B"/>
          </w:tcPr>
          <w:p>
            <w:pPr>
              <w:pStyle w:val="Compact"/>
            </w:pPr>
            <w:r>
              <w:rPr>
                <w:b/>
                <w:color w:val="FFFFFF"/>
                <w:sz w:val="17"/>
              </w:rPr>
              <w:t xml:space="preserve">M</w:t>
            </w:r>
          </w:p>
        </w:tc>
        <w:tc>
          <w:tcPr>
            <w:shd w:val="clear" w:color="auto" w:fill="232C6B"/>
          </w:tcPr>
          <w:p>
            <w:pPr>
              <w:pStyle w:val="Compact"/>
            </w:pPr>
            <w:r>
              <w:rPr>
                <w:b/>
                <w:color w:val="FFFFFF"/>
                <w:sz w:val="17"/>
              </w:rPr>
              <w:t xml:space="preserve">Public</w:t>
            </w:r>
          </w:p>
        </w:tc>
      </w:tr>
      <w:tr>
        <w:tc>
          <w:tcPr/>
          <w:p>
            <w:pPr>
              <w:pStyle w:val="Compact"/>
            </w:pPr>
            <w:r>
              <w:rPr>
                <w:rStyle w:val="VerbatimChar"/>
                <w:sz w:val="17"/>
              </w:rPr>
              <w:t xml:space="preserve">report.generated</w:t>
            </w:r>
          </w:p>
        </w:tc>
        <w:tc>
          <w:tcPr/>
          <w:p>
            <w:pPr>
              <w:pStyle w:val="Compact"/>
            </w:pPr>
            <w:r>
              <w:rPr>
                <w:sz w:val="17"/>
              </w:rPr>
              <w:t xml:space="preserve">Rapport produit</w:t>
            </w:r>
          </w:p>
        </w:tc>
        <w:tc>
          <w:tcPr/>
          <w:p>
            <w:pPr>
              <w:pStyle w:val="Compact"/>
            </w:pPr>
            <w:r>
              <w:rPr>
                <w:sz w:val="17"/>
              </w:rPr>
              <w:t xml:space="preserve">Rapport disponible : {{rapport}}</w:t>
            </w:r>
          </w:p>
        </w:tc>
        <w:tc>
          <w:tcPr/>
          <w:p>
            <w:pPr>
              <w:pStyle w:val="Compact"/>
            </w:pPr>
            <w:r>
              <w:rPr>
                <w:sz w:val="17"/>
              </w:rPr>
              <w:t xml:space="preserve">info</w:t>
            </w:r>
          </w:p>
        </w:tc>
        <w:tc>
          <w:tcPr/>
          <w:p>
            <w:pPr>
              <w:pStyle w:val="Compact"/>
            </w:pPr>
            <w:r>
              <w:rPr>
                <w:sz w:val="17"/>
              </w:rPr>
              <w:t xml:space="preserve">A</w:t>
            </w:r>
          </w:p>
        </w:tc>
        <w:tc>
          <w:tcPr/>
          <w:p>
            <w:pPr>
              <w:pStyle w:val="Compact"/>
            </w:pPr>
          </w:p>
        </w:tc>
        <w:tc>
          <w:tcPr/>
          <w:p>
            <w:pPr>
              <w:pStyle w:val="Compact"/>
            </w:pPr>
            <w:r>
              <w:rPr>
                <w:sz w:val="17"/>
              </w:rPr>
              <w:t xml:space="preserve">G</w:t>
            </w:r>
          </w:p>
        </w:tc>
      </w:tr>
      <w:tr>
        <w:tc>
          <w:tcPr>
            <w:shd w:val="clear" w:color="auto" w:fill="F5F7FB"/>
          </w:tcPr>
          <w:p>
            <w:pPr>
              <w:pStyle w:val="Compact"/>
            </w:pPr>
            <w:r>
              <w:rPr>
                <w:rStyle w:val="VerbatimChar"/>
                <w:sz w:val="17"/>
              </w:rPr>
              <w:t xml:space="preserve">report.scheduled_ready</w:t>
            </w:r>
          </w:p>
        </w:tc>
        <w:tc>
          <w:tcPr>
            <w:shd w:val="clear" w:color="auto" w:fill="F5F7FB"/>
          </w:tcPr>
          <w:p>
            <w:pPr>
              <w:pStyle w:val="Compact"/>
            </w:pPr>
            <w:r>
              <w:rPr>
                <w:sz w:val="17"/>
              </w:rPr>
              <w:t xml:space="preserve">Rapport périodique prêt</w:t>
            </w:r>
          </w:p>
        </w:tc>
        <w:tc>
          <w:tcPr>
            <w:shd w:val="clear" w:color="auto" w:fill="F5F7FB"/>
          </w:tcPr>
          <w:p>
            <w:pPr>
              <w:pStyle w:val="Compact"/>
            </w:pPr>
            <w:r>
              <w:rPr>
                <w:sz w:val="17"/>
              </w:rPr>
              <w:t xml:space="preserve">Votre rapport {{periode}} est prêt</w:t>
            </w:r>
          </w:p>
        </w:tc>
        <w:tc>
          <w:tcPr>
            <w:shd w:val="clear" w:color="auto" w:fill="F5F7FB"/>
          </w:tcPr>
          <w:p>
            <w:pPr>
              <w:pStyle w:val="Compact"/>
            </w:pPr>
            <w:r>
              <w:rPr>
                <w:sz w:val="17"/>
              </w:rPr>
              <w:t xml:space="preserve">info</w:t>
            </w:r>
          </w:p>
        </w:tc>
        <w:tc>
          <w:tcPr>
            <w:shd w:val="clear" w:color="auto" w:fill="F5F7FB"/>
          </w:tcPr>
          <w:p>
            <w:pPr>
              <w:pStyle w:val="Compact"/>
            </w:pPr>
            <w:r>
              <w:rPr>
                <w:sz w:val="17"/>
              </w:rPr>
              <w:t xml:space="preserve">EA</w:t>
            </w:r>
          </w:p>
        </w:tc>
        <w:tc>
          <w:tcPr>
            <w:shd w:val="clear" w:color="auto" w:fill="F5F7FB"/>
          </w:tcPr>
          <w:p>
            <w:pPr>
              <w:pStyle w:val="Compact"/>
            </w:pPr>
          </w:p>
        </w:tc>
        <w:tc>
          <w:tcPr>
            <w:shd w:val="clear" w:color="auto" w:fill="F5F7FB"/>
          </w:tcPr>
          <w:p>
            <w:pPr>
              <w:pStyle w:val="Compact"/>
            </w:pPr>
            <w:r>
              <w:rPr>
                <w:sz w:val="17"/>
              </w:rPr>
              <w:t xml:space="preserve">G</w:t>
            </w:r>
          </w:p>
        </w:tc>
      </w:tr>
      <w:tr>
        <w:tc>
          <w:tcPr/>
          <w:p>
            <w:pPr>
              <w:pStyle w:val="Compact"/>
            </w:pPr>
            <w:r>
              <w:rPr>
                <w:rStyle w:val="VerbatimChar"/>
                <w:sz w:val="17"/>
              </w:rPr>
              <w:t xml:space="preserve">kpi.threshold_breached</w:t>
            </w:r>
          </w:p>
        </w:tc>
        <w:tc>
          <w:tcPr/>
          <w:p>
            <w:pPr>
              <w:pStyle w:val="Compact"/>
            </w:pPr>
            <w:r>
              <w:rPr>
                <w:sz w:val="17"/>
              </w:rPr>
              <w:t xml:space="preserve">Seuil d’indicateur franchi</w:t>
            </w:r>
          </w:p>
        </w:tc>
        <w:tc>
          <w:tcPr/>
          <w:p>
            <w:pPr>
              <w:pStyle w:val="Compact"/>
            </w:pPr>
            <w:r>
              <w:rPr>
                <w:sz w:val="17"/>
              </w:rPr>
              <w:t xml:space="preserve">Alerte indicateur : {{kpi}}</w:t>
            </w:r>
          </w:p>
        </w:tc>
        <w:tc>
          <w:tcPr/>
          <w:p>
            <w:pPr>
              <w:pStyle w:val="Compact"/>
            </w:pPr>
            <w:r>
              <w:rPr>
                <w:sz w:val="17"/>
              </w:rPr>
              <w:t xml:space="preserve">warning</w:t>
            </w:r>
          </w:p>
        </w:tc>
        <w:tc>
          <w:tcPr/>
          <w:p>
            <w:pPr>
              <w:pStyle w:val="Compact"/>
            </w:pPr>
            <w:r>
              <w:rPr>
                <w:sz w:val="17"/>
              </w:rPr>
              <w:t xml:space="preserve">EAP</w:t>
            </w:r>
          </w:p>
        </w:tc>
        <w:tc>
          <w:tcPr/>
          <w:p>
            <w:pPr>
              <w:pStyle w:val="Compact"/>
            </w:pPr>
          </w:p>
        </w:tc>
        <w:tc>
          <w:tcPr/>
          <w:p>
            <w:pPr>
              <w:pStyle w:val="Compact"/>
            </w:pPr>
            <w:r>
              <w:rPr>
                <w:sz w:val="17"/>
              </w:rPr>
              <w:t xml:space="preserve">G</w:t>
            </w:r>
          </w:p>
        </w:tc>
      </w:tr>
      <w:tr>
        <w:tc>
          <w:tcPr>
            <w:shd w:val="clear" w:color="auto" w:fill="F5F7FB"/>
          </w:tcPr>
          <w:p>
            <w:pPr>
              <w:pStyle w:val="Compact"/>
            </w:pPr>
            <w:r>
              <w:rPr>
                <w:rStyle w:val="VerbatimChar"/>
                <w:sz w:val="17"/>
              </w:rPr>
              <w:t xml:space="preserve">kpi.recovered</w:t>
            </w:r>
          </w:p>
        </w:tc>
        <w:tc>
          <w:tcPr>
            <w:shd w:val="clear" w:color="auto" w:fill="F5F7FB"/>
          </w:tcPr>
          <w:p>
            <w:pPr>
              <w:pStyle w:val="Compact"/>
            </w:pPr>
            <w:r>
              <w:rPr>
                <w:sz w:val="17"/>
              </w:rPr>
              <w:t xml:space="preserve">Indicateur rétabli</w:t>
            </w:r>
          </w:p>
        </w:tc>
        <w:tc>
          <w:tcPr>
            <w:shd w:val="clear" w:color="auto" w:fill="F5F7FB"/>
          </w:tcPr>
          <w:p>
            <w:pPr>
              <w:pStyle w:val="Compact"/>
            </w:pPr>
            <w:r>
              <w:rPr>
                <w:sz w:val="17"/>
              </w:rPr>
              <w:t xml:space="preserve">Indicateur rétabli : {{kpi}}</w:t>
            </w:r>
          </w:p>
        </w:tc>
        <w:tc>
          <w:tcPr>
            <w:shd w:val="clear" w:color="auto" w:fill="F5F7FB"/>
          </w:tcPr>
          <w:p>
            <w:pPr>
              <w:pStyle w:val="Compact"/>
            </w:pPr>
            <w:r>
              <w:rPr>
                <w:sz w:val="17"/>
              </w:rPr>
              <w:t xml:space="preserve">success</w:t>
            </w:r>
          </w:p>
        </w:tc>
        <w:tc>
          <w:tcPr>
            <w:shd w:val="clear" w:color="auto" w:fill="F5F7FB"/>
          </w:tcPr>
          <w:p>
            <w:pPr>
              <w:pStyle w:val="Compact"/>
            </w:pPr>
            <w:r>
              <w:rPr>
                <w:sz w:val="17"/>
              </w:rPr>
              <w:t xml:space="preserve">A</w:t>
            </w:r>
          </w:p>
        </w:tc>
        <w:tc>
          <w:tcPr>
            <w:shd w:val="clear" w:color="auto" w:fill="F5F7FB"/>
          </w:tcPr>
          <w:p>
            <w:pPr>
              <w:pStyle w:val="Compact"/>
            </w:pPr>
          </w:p>
        </w:tc>
        <w:tc>
          <w:tcPr>
            <w:shd w:val="clear" w:color="auto" w:fill="F5F7FB"/>
          </w:tcPr>
          <w:p>
            <w:pPr>
              <w:pStyle w:val="Compact"/>
            </w:pPr>
            <w:r>
              <w:rPr>
                <w:sz w:val="17"/>
              </w:rPr>
              <w:t xml:space="preserve">G</w:t>
            </w:r>
          </w:p>
        </w:tc>
      </w:tr>
      <w:tr>
        <w:tc>
          <w:tcPr/>
          <w:p>
            <w:pPr>
              <w:pStyle w:val="Compact"/>
            </w:pPr>
            <w:r>
              <w:rPr>
                <w:rStyle w:val="VerbatimChar"/>
                <w:sz w:val="17"/>
              </w:rPr>
              <w:t xml:space="preserve">executive.alert</w:t>
            </w:r>
          </w:p>
        </w:tc>
        <w:tc>
          <w:tcPr/>
          <w:p>
            <w:pPr>
              <w:pStyle w:val="Compact"/>
            </w:pPr>
            <w:r>
              <w:rPr>
                <w:sz w:val="17"/>
              </w:rPr>
              <w:t xml:space="preserve">Alerte exécutive</w:t>
            </w:r>
          </w:p>
        </w:tc>
        <w:tc>
          <w:tcPr/>
          <w:p>
            <w:pPr>
              <w:pStyle w:val="Compact"/>
            </w:pPr>
            <w:r>
              <w:rPr>
                <w:sz w:val="17"/>
              </w:rPr>
              <w:t xml:space="preserve">Alerte exécutive : {{objet}}</w:t>
            </w:r>
          </w:p>
        </w:tc>
        <w:tc>
          <w:tcPr/>
          <w:p>
            <w:pPr>
              <w:pStyle w:val="Compact"/>
            </w:pPr>
            <w:r>
              <w:rPr>
                <w:sz w:val="17"/>
              </w:rPr>
              <w:t xml:space="preserve">critical</w:t>
            </w:r>
          </w:p>
        </w:tc>
        <w:tc>
          <w:tcPr/>
          <w:p>
            <w:pPr>
              <w:pStyle w:val="Compact"/>
            </w:pPr>
            <w:r>
              <w:rPr>
                <w:sz w:val="17"/>
              </w:rPr>
              <w:t xml:space="preserve">EAS</w:t>
            </w:r>
          </w:p>
        </w:tc>
        <w:tc>
          <w:tcPr/>
          <w:p>
            <w:pPr>
              <w:pStyle w:val="Compact"/>
            </w:pPr>
            <w:r>
              <w:rPr>
                <w:sz w:val="17"/>
              </w:rPr>
              <w:t xml:space="preserve">M</w:t>
            </w:r>
          </w:p>
        </w:tc>
        <w:tc>
          <w:tcPr/>
          <w:p>
            <w:pPr>
              <w:pStyle w:val="Compact"/>
            </w:pPr>
            <w:r>
              <w:rPr>
                <w:sz w:val="17"/>
              </w:rPr>
              <w:t xml:space="preserve">G</w:t>
            </w:r>
          </w:p>
        </w:tc>
      </w:tr>
      <w:tr>
        <w:tc>
          <w:tcPr>
            <w:shd w:val="clear" w:color="auto" w:fill="F5F7FB"/>
          </w:tcPr>
          <w:p>
            <w:pPr>
              <w:pStyle w:val="Compact"/>
            </w:pPr>
            <w:r>
              <w:rPr>
                <w:rStyle w:val="VerbatimChar"/>
                <w:sz w:val="17"/>
              </w:rPr>
              <w:t xml:space="preserve">executive.daily_brief</w:t>
            </w:r>
          </w:p>
        </w:tc>
        <w:tc>
          <w:tcPr>
            <w:shd w:val="clear" w:color="auto" w:fill="F5F7FB"/>
          </w:tcPr>
          <w:p>
            <w:pPr>
              <w:pStyle w:val="Compact"/>
            </w:pPr>
            <w:r>
              <w:rPr>
                <w:sz w:val="17"/>
              </w:rPr>
              <w:t xml:space="preserve">Note quotidienne</w:t>
            </w:r>
          </w:p>
        </w:tc>
        <w:tc>
          <w:tcPr>
            <w:shd w:val="clear" w:color="auto" w:fill="F5F7FB"/>
          </w:tcPr>
          <w:p>
            <w:pPr>
              <w:pStyle w:val="Compact"/>
            </w:pPr>
            <w:r>
              <w:rPr>
                <w:sz w:val="17"/>
              </w:rPr>
              <w:t xml:space="preserve">Note quotidienne des recettes du {{date}}</w:t>
            </w:r>
          </w:p>
        </w:tc>
        <w:tc>
          <w:tcPr>
            <w:shd w:val="clear" w:color="auto" w:fill="F5F7FB"/>
          </w:tcPr>
          <w:p>
            <w:pPr>
              <w:pStyle w:val="Compact"/>
            </w:pPr>
            <w:r>
              <w:rPr>
                <w:sz w:val="17"/>
              </w:rPr>
              <w:t xml:space="preserve">info</w:t>
            </w:r>
          </w:p>
        </w:tc>
        <w:tc>
          <w:tcPr>
            <w:shd w:val="clear" w:color="auto" w:fill="F5F7FB"/>
          </w:tcPr>
          <w:p>
            <w:pPr>
              <w:pStyle w:val="Compact"/>
            </w:pPr>
            <w:r>
              <w:rPr>
                <w:sz w:val="17"/>
              </w:rPr>
              <w:t xml:space="preserve">EAP</w:t>
            </w:r>
          </w:p>
        </w:tc>
        <w:tc>
          <w:tcPr>
            <w:shd w:val="clear" w:color="auto" w:fill="F5F7FB"/>
          </w:tcPr>
          <w:p>
            <w:pPr>
              <w:pStyle w:val="Compact"/>
            </w:pPr>
          </w:p>
        </w:tc>
        <w:tc>
          <w:tcPr>
            <w:shd w:val="clear" w:color="auto" w:fill="F5F7FB"/>
          </w:tcPr>
          <w:p>
            <w:pPr>
              <w:pStyle w:val="Compact"/>
            </w:pPr>
            <w:r>
              <w:rPr>
                <w:sz w:val="17"/>
              </w:rPr>
              <w:t xml:space="preserve">G</w:t>
            </w:r>
          </w:p>
        </w:tc>
      </w:tr>
      <w:tr>
        <w:tc>
          <w:tcPr/>
          <w:p>
            <w:pPr>
              <w:pStyle w:val="Compact"/>
            </w:pPr>
            <w:r>
              <w:rPr>
                <w:rStyle w:val="VerbatimChar"/>
                <w:sz w:val="17"/>
              </w:rPr>
              <w:t xml:space="preserve">decision.follow_up_due</w:t>
            </w:r>
          </w:p>
        </w:tc>
        <w:tc>
          <w:tcPr/>
          <w:p>
            <w:pPr>
              <w:pStyle w:val="Compact"/>
            </w:pPr>
            <w:r>
              <w:rPr>
                <w:sz w:val="17"/>
              </w:rPr>
              <w:t xml:space="preserve">Suivi de décision</w:t>
            </w:r>
          </w:p>
        </w:tc>
        <w:tc>
          <w:tcPr/>
          <w:p>
            <w:pPr>
              <w:pStyle w:val="Compact"/>
            </w:pPr>
            <w:r>
              <w:rPr>
                <w:sz w:val="17"/>
              </w:rPr>
              <w:t xml:space="preserve">Décision {{reference}} : échéance de mise en œuvre</w:t>
            </w:r>
          </w:p>
        </w:tc>
        <w:tc>
          <w:tcPr/>
          <w:p>
            <w:pPr>
              <w:pStyle w:val="Compact"/>
            </w:pPr>
            <w:r>
              <w:rPr>
                <w:sz w:val="17"/>
              </w:rPr>
              <w:t xml:space="preserve">warning</w:t>
            </w:r>
          </w:p>
        </w:tc>
        <w:tc>
          <w:tcPr/>
          <w:p>
            <w:pPr>
              <w:pStyle w:val="Compact"/>
            </w:pPr>
            <w:r>
              <w:rPr>
                <w:sz w:val="17"/>
              </w:rPr>
              <w:t xml:space="preserve">EA</w:t>
            </w:r>
          </w:p>
        </w:tc>
        <w:tc>
          <w:tcPr/>
          <w:p>
            <w:pPr>
              <w:pStyle w:val="Compact"/>
            </w:pPr>
          </w:p>
        </w:tc>
        <w:tc>
          <w:tcPr/>
          <w:p>
            <w:pPr>
              <w:pStyle w:val="Compact"/>
            </w:pPr>
            <w:r>
              <w:rPr>
                <w:sz w:val="17"/>
              </w:rPr>
              <w:t xml:space="preserve">G</w:t>
            </w:r>
          </w:p>
        </w:tc>
      </w:tr>
      <w:tr>
        <w:tc>
          <w:tcPr>
            <w:shd w:val="clear" w:color="auto" w:fill="F5F7FB"/>
          </w:tcPr>
          <w:p>
            <w:pPr>
              <w:pStyle w:val="Compact"/>
            </w:pPr>
            <w:r>
              <w:rPr>
                <w:rStyle w:val="VerbatimChar"/>
                <w:sz w:val="17"/>
              </w:rPr>
              <w:t xml:space="preserve">transparency.published</w:t>
            </w:r>
          </w:p>
        </w:tc>
        <w:tc>
          <w:tcPr>
            <w:shd w:val="clear" w:color="auto" w:fill="F5F7FB"/>
          </w:tcPr>
          <w:p>
            <w:pPr>
              <w:pStyle w:val="Compact"/>
            </w:pPr>
            <w:r>
              <w:rPr>
                <w:sz w:val="17"/>
              </w:rPr>
              <w:t xml:space="preserve">Publication de transparence</w:t>
            </w:r>
          </w:p>
        </w:tc>
        <w:tc>
          <w:tcPr>
            <w:shd w:val="clear" w:color="auto" w:fill="F5F7FB"/>
          </w:tcPr>
          <w:p>
            <w:pPr>
              <w:pStyle w:val="Compact"/>
            </w:pPr>
            <w:r>
              <w:rPr>
                <w:sz w:val="17"/>
              </w:rPr>
              <w:t xml:space="preserve">Tableau de transparence {{periode}} publié</w:t>
            </w:r>
          </w:p>
        </w:tc>
        <w:tc>
          <w:tcPr>
            <w:shd w:val="clear" w:color="auto" w:fill="F5F7FB"/>
          </w:tcPr>
          <w:p>
            <w:pPr>
              <w:pStyle w:val="Compact"/>
            </w:pPr>
            <w:r>
              <w:rPr>
                <w:sz w:val="17"/>
              </w:rPr>
              <w:t xml:space="preserve">info</w:t>
            </w:r>
          </w:p>
        </w:tc>
        <w:tc>
          <w:tcPr>
            <w:shd w:val="clear" w:color="auto" w:fill="F5F7FB"/>
          </w:tcPr>
          <w:p>
            <w:pPr>
              <w:pStyle w:val="Compact"/>
            </w:pPr>
            <w:r>
              <w:rPr>
                <w:sz w:val="17"/>
              </w:rPr>
              <w:t xml:space="preserve">EA+W</w:t>
            </w:r>
          </w:p>
        </w:tc>
        <w:tc>
          <w:tcPr>
            <w:shd w:val="clear" w:color="auto" w:fill="F5F7FB"/>
          </w:tcPr>
          <w:p>
            <w:pPr>
              <w:pStyle w:val="Compact"/>
            </w:pPr>
          </w:p>
        </w:tc>
        <w:tc>
          <w:tcPr>
            <w:shd w:val="clear" w:color="auto" w:fill="F5F7FB"/>
          </w:tcPr>
          <w:p>
            <w:pPr>
              <w:pStyle w:val="Compact"/>
            </w:pPr>
            <w:r>
              <w:rPr>
                <w:sz w:val="17"/>
              </w:rPr>
              <w:t xml:space="preserve">CG</w:t>
            </w:r>
          </w:p>
        </w:tc>
      </w:tr>
    </w:tbl>
    <w:bookmarkEnd w:id="603"/>
    <w:bookmarkStart w:id="604" w:name="X7ff4e6db1e3b775d2549eff35b9bf5405977943"/>
    <w:p>
      <w:pPr>
        <w:pStyle w:val="Heading2"/>
      </w:pPr>
      <w:r>
        <w:t xml:space="preserve">G.20 Invitations et accès des agents publics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shd w:val="clear" w:color="auto" w:fill="232C6B"/>
          </w:tcPr>
          <w:p>
            <w:pPr>
              <w:pStyle w:val="Compact"/>
            </w:pPr>
            <w:r>
              <w:rPr>
                <w:b/>
                <w:color w:val="FFFFFF"/>
                <w:sz w:val="17"/>
              </w:rPr>
              <w:t xml:space="preserve">Code</w:t>
            </w:r>
          </w:p>
        </w:tc>
        <w:tc>
          <w:tcPr>
            <w:shd w:val="clear" w:color="auto" w:fill="232C6B"/>
          </w:tcPr>
          <w:p>
            <w:pPr>
              <w:pStyle w:val="Compact"/>
            </w:pPr>
            <w:r>
              <w:rPr>
                <w:b/>
                <w:color w:val="FFFFFF"/>
                <w:sz w:val="17"/>
              </w:rPr>
              <w:t xml:space="preserve">Événement</w:t>
            </w:r>
          </w:p>
        </w:tc>
        <w:tc>
          <w:tcPr>
            <w:shd w:val="clear" w:color="auto" w:fill="232C6B"/>
          </w:tcPr>
          <w:p>
            <w:pPr>
              <w:pStyle w:val="Compact"/>
            </w:pPr>
            <w:r>
              <w:rPr>
                <w:b/>
                <w:color w:val="FFFFFF"/>
                <w:sz w:val="17"/>
              </w:rPr>
              <w:t xml:space="preserve">Objet du message (fr)</w:t>
            </w:r>
          </w:p>
        </w:tc>
        <w:tc>
          <w:tcPr>
            <w:shd w:val="clear" w:color="auto" w:fill="232C6B"/>
          </w:tcPr>
          <w:p>
            <w:pPr>
              <w:pStyle w:val="Compact"/>
            </w:pPr>
            <w:r>
              <w:rPr>
                <w:b/>
                <w:color w:val="FFFFFF"/>
                <w:sz w:val="17"/>
              </w:rPr>
              <w:t xml:space="preserve">Gravité</w:t>
            </w:r>
          </w:p>
        </w:tc>
        <w:tc>
          <w:tcPr>
            <w:shd w:val="clear" w:color="auto" w:fill="232C6B"/>
          </w:tcPr>
          <w:p>
            <w:pPr>
              <w:pStyle w:val="Compact"/>
            </w:pPr>
            <w:r>
              <w:rPr>
                <w:b/>
                <w:color w:val="FFFFFF"/>
                <w:sz w:val="17"/>
              </w:rPr>
              <w:t xml:space="preserve">Canaux</w:t>
            </w:r>
          </w:p>
        </w:tc>
        <w:tc>
          <w:tcPr>
            <w:shd w:val="clear" w:color="auto" w:fill="232C6B"/>
          </w:tcPr>
          <w:p>
            <w:pPr>
              <w:pStyle w:val="Compact"/>
            </w:pPr>
            <w:r>
              <w:rPr>
                <w:b/>
                <w:color w:val="FFFFFF"/>
                <w:sz w:val="17"/>
              </w:rPr>
              <w:t xml:space="preserve">M</w:t>
            </w:r>
          </w:p>
        </w:tc>
        <w:tc>
          <w:tcPr>
            <w:shd w:val="clear" w:color="auto" w:fill="232C6B"/>
          </w:tcPr>
          <w:p>
            <w:pPr>
              <w:pStyle w:val="Compact"/>
            </w:pPr>
            <w:r>
              <w:rPr>
                <w:b/>
                <w:color w:val="FFFFFF"/>
                <w:sz w:val="17"/>
              </w:rPr>
              <w:t xml:space="preserve">Public</w:t>
            </w:r>
          </w:p>
        </w:tc>
      </w:tr>
      <w:tr>
        <w:tc>
          <w:tcPr/>
          <w:p>
            <w:pPr>
              <w:pStyle w:val="Compact"/>
            </w:pPr>
            <w:r>
              <w:rPr>
                <w:rStyle w:val="VerbatimChar"/>
                <w:sz w:val="17"/>
              </w:rPr>
              <w:t xml:space="preserve">invitation.sent</w:t>
            </w:r>
          </w:p>
        </w:tc>
        <w:tc>
          <w:tcPr/>
          <w:p>
            <w:pPr>
              <w:pStyle w:val="Compact"/>
            </w:pPr>
            <w:r>
              <w:rPr>
                <w:sz w:val="17"/>
              </w:rPr>
              <w:t xml:space="preserve">Invitation envoyée</w:t>
            </w:r>
          </w:p>
        </w:tc>
        <w:tc>
          <w:tcPr/>
          <w:p>
            <w:pPr>
              <w:pStyle w:val="Compact"/>
            </w:pPr>
            <w:r>
              <w:rPr>
                <w:sz w:val="17"/>
              </w:rPr>
              <w:t xml:space="preserve">{{acteur}} vous invite à rejoindre {{entite}} sur MOSOLO</w:t>
            </w:r>
          </w:p>
        </w:tc>
        <w:tc>
          <w:tcPr/>
          <w:p>
            <w:pPr>
              <w:pStyle w:val="Compact"/>
            </w:pPr>
            <w:r>
              <w:rPr>
                <w:sz w:val="17"/>
              </w:rPr>
              <w:t xml:space="preserve">info</w:t>
            </w:r>
          </w:p>
        </w:tc>
        <w:tc>
          <w:tcPr/>
          <w:p>
            <w:pPr>
              <w:pStyle w:val="Compact"/>
            </w:pPr>
            <w:r>
              <w:rPr>
                <w:sz w:val="17"/>
              </w:rPr>
              <w:t xml:space="preserve">EAS</w:t>
            </w:r>
          </w:p>
        </w:tc>
        <w:tc>
          <w:tcPr/>
          <w:p>
            <w:pPr>
              <w:pStyle w:val="Compact"/>
            </w:pPr>
          </w:p>
        </w:tc>
        <w:tc>
          <w:tcPr/>
          <w:p>
            <w:pPr>
              <w:pStyle w:val="Compact"/>
            </w:pPr>
            <w:r>
              <w:rPr>
                <w:sz w:val="17"/>
              </w:rPr>
              <w:t xml:space="preserve">G</w:t>
            </w:r>
          </w:p>
        </w:tc>
      </w:tr>
      <w:tr>
        <w:tc>
          <w:tcPr>
            <w:shd w:val="clear" w:color="auto" w:fill="F5F7FB"/>
          </w:tcPr>
          <w:p>
            <w:pPr>
              <w:pStyle w:val="Compact"/>
            </w:pPr>
            <w:r>
              <w:rPr>
                <w:rStyle w:val="VerbatimChar"/>
                <w:sz w:val="17"/>
              </w:rPr>
              <w:t xml:space="preserve">invitation.reminder</w:t>
            </w:r>
          </w:p>
        </w:tc>
        <w:tc>
          <w:tcPr>
            <w:shd w:val="clear" w:color="auto" w:fill="F5F7FB"/>
          </w:tcPr>
          <w:p>
            <w:pPr>
              <w:pStyle w:val="Compact"/>
            </w:pPr>
            <w:r>
              <w:rPr>
                <w:sz w:val="17"/>
              </w:rPr>
              <w:t xml:space="preserve">Rappel d’invitation</w:t>
            </w:r>
          </w:p>
        </w:tc>
        <w:tc>
          <w:tcPr>
            <w:shd w:val="clear" w:color="auto" w:fill="F5F7FB"/>
          </w:tcPr>
          <w:p>
            <w:pPr>
              <w:pStyle w:val="Compact"/>
            </w:pPr>
            <w:r>
              <w:rPr>
                <w:sz w:val="17"/>
              </w:rPr>
              <w:t xml:space="preserve">Rappel : invitation à {{entite}}</w:t>
            </w:r>
          </w:p>
        </w:tc>
        <w:tc>
          <w:tcPr>
            <w:shd w:val="clear" w:color="auto" w:fill="F5F7FB"/>
          </w:tcPr>
          <w:p>
            <w:pPr>
              <w:pStyle w:val="Compact"/>
            </w:pPr>
            <w:r>
              <w:rPr>
                <w:sz w:val="17"/>
              </w:rPr>
              <w:t xml:space="preserve">info</w:t>
            </w:r>
          </w:p>
        </w:tc>
        <w:tc>
          <w:tcPr>
            <w:shd w:val="clear" w:color="auto" w:fill="F5F7FB"/>
          </w:tcPr>
          <w:p>
            <w:pPr>
              <w:pStyle w:val="Compact"/>
            </w:pPr>
            <w:r>
              <w:rPr>
                <w:sz w:val="17"/>
              </w:rPr>
              <w:t xml:space="preserve">EA</w:t>
            </w:r>
          </w:p>
        </w:tc>
        <w:tc>
          <w:tcPr>
            <w:shd w:val="clear" w:color="auto" w:fill="F5F7FB"/>
          </w:tcPr>
          <w:p>
            <w:pPr>
              <w:pStyle w:val="Compact"/>
            </w:pPr>
          </w:p>
        </w:tc>
        <w:tc>
          <w:tcPr>
            <w:shd w:val="clear" w:color="auto" w:fill="F5F7FB"/>
          </w:tcPr>
          <w:p>
            <w:pPr>
              <w:pStyle w:val="Compact"/>
            </w:pPr>
            <w:r>
              <w:rPr>
                <w:sz w:val="17"/>
              </w:rPr>
              <w:t xml:space="preserve">G</w:t>
            </w:r>
          </w:p>
        </w:tc>
      </w:tr>
      <w:tr>
        <w:tc>
          <w:tcPr/>
          <w:p>
            <w:pPr>
              <w:pStyle w:val="Compact"/>
            </w:pPr>
            <w:r>
              <w:rPr>
                <w:rStyle w:val="VerbatimChar"/>
                <w:sz w:val="17"/>
              </w:rPr>
              <w:t xml:space="preserve">invitation.accepted</w:t>
            </w:r>
          </w:p>
        </w:tc>
        <w:tc>
          <w:tcPr/>
          <w:p>
            <w:pPr>
              <w:pStyle w:val="Compact"/>
            </w:pPr>
            <w:r>
              <w:rPr>
                <w:sz w:val="17"/>
              </w:rPr>
              <w:t xml:space="preserve">Invitation acceptée</w:t>
            </w:r>
          </w:p>
        </w:tc>
        <w:tc>
          <w:tcPr/>
          <w:p>
            <w:pPr>
              <w:pStyle w:val="Compact"/>
            </w:pPr>
            <w:r>
              <w:rPr>
                <w:sz w:val="17"/>
              </w:rPr>
              <w:t xml:space="preserve">{{nom}} a accepté votre invitation</w:t>
            </w:r>
          </w:p>
        </w:tc>
        <w:tc>
          <w:tcPr/>
          <w:p>
            <w:pPr>
              <w:pStyle w:val="Compact"/>
            </w:pPr>
            <w:r>
              <w:rPr>
                <w:sz w:val="17"/>
              </w:rPr>
              <w:t xml:space="preserve">success</w:t>
            </w:r>
          </w:p>
        </w:tc>
        <w:tc>
          <w:tcPr/>
          <w:p>
            <w:pPr>
              <w:pStyle w:val="Compact"/>
            </w:pPr>
            <w:r>
              <w:rPr>
                <w:sz w:val="17"/>
              </w:rPr>
              <w:t xml:space="preserve">A</w:t>
            </w:r>
          </w:p>
        </w:tc>
        <w:tc>
          <w:tcPr/>
          <w:p>
            <w:pPr>
              <w:pStyle w:val="Compact"/>
            </w:pPr>
          </w:p>
        </w:tc>
        <w:tc>
          <w:tcPr/>
          <w:p>
            <w:pPr>
              <w:pStyle w:val="Compact"/>
            </w:pPr>
            <w:r>
              <w:rPr>
                <w:sz w:val="17"/>
              </w:rPr>
              <w:t xml:space="preserve">G</w:t>
            </w:r>
          </w:p>
        </w:tc>
      </w:tr>
      <w:tr>
        <w:tc>
          <w:tcPr>
            <w:shd w:val="clear" w:color="auto" w:fill="F5F7FB"/>
          </w:tcPr>
          <w:p>
            <w:pPr>
              <w:pStyle w:val="Compact"/>
            </w:pPr>
            <w:r>
              <w:rPr>
                <w:rStyle w:val="VerbatimChar"/>
                <w:sz w:val="17"/>
              </w:rPr>
              <w:t xml:space="preserve">invitation.declined</w:t>
            </w:r>
          </w:p>
        </w:tc>
        <w:tc>
          <w:tcPr>
            <w:shd w:val="clear" w:color="auto" w:fill="F5F7FB"/>
          </w:tcPr>
          <w:p>
            <w:pPr>
              <w:pStyle w:val="Compact"/>
            </w:pPr>
            <w:r>
              <w:rPr>
                <w:sz w:val="17"/>
              </w:rPr>
              <w:t xml:space="preserve">Invitation déclinée</w:t>
            </w:r>
          </w:p>
        </w:tc>
        <w:tc>
          <w:tcPr>
            <w:shd w:val="clear" w:color="auto" w:fill="F5F7FB"/>
          </w:tcPr>
          <w:p>
            <w:pPr>
              <w:pStyle w:val="Compact"/>
            </w:pPr>
            <w:r>
              <w:rPr>
                <w:sz w:val="17"/>
              </w:rPr>
              <w:t xml:space="preserve">{{nom}} a décliné l’invitation</w:t>
            </w:r>
          </w:p>
        </w:tc>
        <w:tc>
          <w:tcPr>
            <w:shd w:val="clear" w:color="auto" w:fill="F5F7FB"/>
          </w:tcPr>
          <w:p>
            <w:pPr>
              <w:pStyle w:val="Compact"/>
            </w:pPr>
            <w:r>
              <w:rPr>
                <w:sz w:val="17"/>
              </w:rPr>
              <w:t xml:space="preserve">info</w:t>
            </w:r>
          </w:p>
        </w:tc>
        <w:tc>
          <w:tcPr>
            <w:shd w:val="clear" w:color="auto" w:fill="F5F7FB"/>
          </w:tcPr>
          <w:p>
            <w:pPr>
              <w:pStyle w:val="Compact"/>
            </w:pPr>
            <w:r>
              <w:rPr>
                <w:sz w:val="17"/>
              </w:rPr>
              <w:t xml:space="preserve">A</w:t>
            </w:r>
          </w:p>
        </w:tc>
        <w:tc>
          <w:tcPr>
            <w:shd w:val="clear" w:color="auto" w:fill="F5F7FB"/>
          </w:tcPr>
          <w:p>
            <w:pPr>
              <w:pStyle w:val="Compact"/>
            </w:pPr>
          </w:p>
        </w:tc>
        <w:tc>
          <w:tcPr>
            <w:shd w:val="clear" w:color="auto" w:fill="F5F7FB"/>
          </w:tcPr>
          <w:p>
            <w:pPr>
              <w:pStyle w:val="Compact"/>
            </w:pPr>
            <w:r>
              <w:rPr>
                <w:sz w:val="17"/>
              </w:rPr>
              <w:t xml:space="preserve">G</w:t>
            </w:r>
          </w:p>
        </w:tc>
      </w:tr>
      <w:tr>
        <w:tc>
          <w:tcPr/>
          <w:p>
            <w:pPr>
              <w:pStyle w:val="Compact"/>
            </w:pPr>
            <w:r>
              <w:rPr>
                <w:rStyle w:val="VerbatimChar"/>
                <w:sz w:val="17"/>
              </w:rPr>
              <w:t xml:space="preserve">invitation.expired</w:t>
            </w:r>
          </w:p>
        </w:tc>
        <w:tc>
          <w:tcPr/>
          <w:p>
            <w:pPr>
              <w:pStyle w:val="Compact"/>
            </w:pPr>
            <w:r>
              <w:rPr>
                <w:sz w:val="17"/>
              </w:rPr>
              <w:t xml:space="preserve">Invitation expirée</w:t>
            </w:r>
          </w:p>
        </w:tc>
        <w:tc>
          <w:tcPr/>
          <w:p>
            <w:pPr>
              <w:pStyle w:val="Compact"/>
            </w:pPr>
            <w:r>
              <w:rPr>
                <w:sz w:val="17"/>
              </w:rPr>
              <w:t xml:space="preserve">Votre invitation a expiré</w:t>
            </w:r>
          </w:p>
        </w:tc>
        <w:tc>
          <w:tcPr/>
          <w:p>
            <w:pPr>
              <w:pStyle w:val="Compact"/>
            </w:pPr>
            <w:r>
              <w:rPr>
                <w:sz w:val="17"/>
              </w:rPr>
              <w:t xml:space="preserve">info</w:t>
            </w:r>
          </w:p>
        </w:tc>
        <w:tc>
          <w:tcPr/>
          <w:p>
            <w:pPr>
              <w:pStyle w:val="Compact"/>
            </w:pPr>
            <w:r>
              <w:rPr>
                <w:sz w:val="17"/>
              </w:rPr>
              <w:t xml:space="preserve">EA</w:t>
            </w:r>
          </w:p>
        </w:tc>
        <w:tc>
          <w:tcPr/>
          <w:p>
            <w:pPr>
              <w:pStyle w:val="Compact"/>
            </w:pPr>
          </w:p>
        </w:tc>
        <w:tc>
          <w:tcPr/>
          <w:p>
            <w:pPr>
              <w:pStyle w:val="Compact"/>
            </w:pPr>
            <w:r>
              <w:rPr>
                <w:sz w:val="17"/>
              </w:rPr>
              <w:t xml:space="preserve">G</w:t>
            </w:r>
          </w:p>
        </w:tc>
      </w:tr>
      <w:tr>
        <w:tc>
          <w:tcPr>
            <w:shd w:val="clear" w:color="auto" w:fill="F5F7FB"/>
          </w:tcPr>
          <w:p>
            <w:pPr>
              <w:pStyle w:val="Compact"/>
            </w:pPr>
            <w:r>
              <w:rPr>
                <w:rStyle w:val="VerbatimChar"/>
                <w:sz w:val="17"/>
              </w:rPr>
              <w:t xml:space="preserve">role.assigned</w:t>
            </w:r>
          </w:p>
        </w:tc>
        <w:tc>
          <w:tcPr>
            <w:shd w:val="clear" w:color="auto" w:fill="F5F7FB"/>
          </w:tcPr>
          <w:p>
            <w:pPr>
              <w:pStyle w:val="Compact"/>
            </w:pPr>
            <w:r>
              <w:rPr>
                <w:sz w:val="17"/>
              </w:rPr>
              <w:t xml:space="preserve">Rôle attribué</w:t>
            </w:r>
          </w:p>
        </w:tc>
        <w:tc>
          <w:tcPr>
            <w:shd w:val="clear" w:color="auto" w:fill="F5F7FB"/>
          </w:tcPr>
          <w:p>
            <w:pPr>
              <w:pStyle w:val="Compact"/>
            </w:pPr>
            <w:r>
              <w:rPr>
                <w:sz w:val="17"/>
              </w:rPr>
              <w:t xml:space="preserve">Rôle {{role}} attribué jusqu’au {{date}}</w:t>
            </w:r>
          </w:p>
        </w:tc>
        <w:tc>
          <w:tcPr>
            <w:shd w:val="clear" w:color="auto" w:fill="F5F7FB"/>
          </w:tcPr>
          <w:p>
            <w:pPr>
              <w:pStyle w:val="Compact"/>
            </w:pPr>
            <w:r>
              <w:rPr>
                <w:sz w:val="17"/>
              </w:rPr>
              <w:t xml:space="preserve">info</w:t>
            </w:r>
          </w:p>
        </w:tc>
        <w:tc>
          <w:tcPr>
            <w:shd w:val="clear" w:color="auto" w:fill="F5F7FB"/>
          </w:tcPr>
          <w:p>
            <w:pPr>
              <w:pStyle w:val="Compact"/>
            </w:pPr>
            <w:r>
              <w:rPr>
                <w:sz w:val="17"/>
              </w:rPr>
              <w:t xml:space="preserve">EA</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G</w:t>
            </w:r>
          </w:p>
        </w:tc>
      </w:tr>
      <w:tr>
        <w:tc>
          <w:tcPr/>
          <w:p>
            <w:pPr>
              <w:pStyle w:val="Compact"/>
            </w:pPr>
            <w:r>
              <w:rPr>
                <w:rStyle w:val="VerbatimChar"/>
                <w:sz w:val="17"/>
              </w:rPr>
              <w:t xml:space="preserve">role.removed</w:t>
            </w:r>
          </w:p>
        </w:tc>
        <w:tc>
          <w:tcPr/>
          <w:p>
            <w:pPr>
              <w:pStyle w:val="Compact"/>
            </w:pPr>
            <w:r>
              <w:rPr>
                <w:sz w:val="17"/>
              </w:rPr>
              <w:t xml:space="preserve">Rôle retiré</w:t>
            </w:r>
          </w:p>
        </w:tc>
        <w:tc>
          <w:tcPr/>
          <w:p>
            <w:pPr>
              <w:pStyle w:val="Compact"/>
            </w:pPr>
            <w:r>
              <w:rPr>
                <w:sz w:val="17"/>
              </w:rPr>
              <w:t xml:space="preserve">Rôle {{role}} retiré</w:t>
            </w:r>
          </w:p>
        </w:tc>
        <w:tc>
          <w:tcPr/>
          <w:p>
            <w:pPr>
              <w:pStyle w:val="Compact"/>
            </w:pPr>
            <w:r>
              <w:rPr>
                <w:sz w:val="17"/>
              </w:rPr>
              <w:t xml:space="preserve">info</w:t>
            </w:r>
          </w:p>
        </w:tc>
        <w:tc>
          <w:tcPr/>
          <w:p>
            <w:pPr>
              <w:pStyle w:val="Compact"/>
            </w:pPr>
            <w:r>
              <w:rPr>
                <w:sz w:val="17"/>
              </w:rPr>
              <w:t xml:space="preserve">EA</w:t>
            </w:r>
          </w:p>
        </w:tc>
        <w:tc>
          <w:tcPr/>
          <w:p>
            <w:pPr>
              <w:pStyle w:val="Compact"/>
            </w:pPr>
            <w:r>
              <w:rPr>
                <w:sz w:val="17"/>
              </w:rPr>
              <w:t xml:space="preserve">M</w:t>
            </w:r>
          </w:p>
        </w:tc>
        <w:tc>
          <w:tcPr/>
          <w:p>
            <w:pPr>
              <w:pStyle w:val="Compact"/>
            </w:pPr>
            <w:r>
              <w:rPr>
                <w:sz w:val="17"/>
              </w:rPr>
              <w:t xml:space="preserve">G</w:t>
            </w:r>
          </w:p>
        </w:tc>
      </w:tr>
      <w:tr>
        <w:tc>
          <w:tcPr>
            <w:shd w:val="clear" w:color="auto" w:fill="F5F7FB"/>
          </w:tcPr>
          <w:p>
            <w:pPr>
              <w:pStyle w:val="Compact"/>
            </w:pPr>
            <w:r>
              <w:rPr>
                <w:rStyle w:val="VerbatimChar"/>
                <w:sz w:val="17"/>
              </w:rPr>
              <w:t xml:space="preserve">delegation.granted</w:t>
            </w:r>
          </w:p>
        </w:tc>
        <w:tc>
          <w:tcPr>
            <w:shd w:val="clear" w:color="auto" w:fill="F5F7FB"/>
          </w:tcPr>
          <w:p>
            <w:pPr>
              <w:pStyle w:val="Compact"/>
            </w:pPr>
            <w:r>
              <w:rPr>
                <w:sz w:val="17"/>
              </w:rPr>
              <w:t xml:space="preserve">Délégation accordée</w:t>
            </w:r>
          </w:p>
        </w:tc>
        <w:tc>
          <w:tcPr>
            <w:shd w:val="clear" w:color="auto" w:fill="F5F7FB"/>
          </w:tcPr>
          <w:p>
            <w:pPr>
              <w:pStyle w:val="Compact"/>
            </w:pPr>
            <w:r>
              <w:rPr>
                <w:sz w:val="17"/>
              </w:rPr>
              <w:t xml:space="preserve">Délégation de {{delegant}} jusqu’au {{date}}</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EA</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G</w:t>
            </w:r>
          </w:p>
        </w:tc>
      </w:tr>
      <w:tr>
        <w:tc>
          <w:tcPr/>
          <w:p>
            <w:pPr>
              <w:pStyle w:val="Compact"/>
            </w:pPr>
            <w:r>
              <w:rPr>
                <w:rStyle w:val="VerbatimChar"/>
                <w:sz w:val="17"/>
              </w:rPr>
              <w:t xml:space="preserve">delegation.expired</w:t>
            </w:r>
          </w:p>
        </w:tc>
        <w:tc>
          <w:tcPr/>
          <w:p>
            <w:pPr>
              <w:pStyle w:val="Compact"/>
            </w:pPr>
            <w:r>
              <w:rPr>
                <w:sz w:val="17"/>
              </w:rPr>
              <w:t xml:space="preserve">Délégation expirée</w:t>
            </w:r>
          </w:p>
        </w:tc>
        <w:tc>
          <w:tcPr/>
          <w:p>
            <w:pPr>
              <w:pStyle w:val="Compact"/>
            </w:pPr>
            <w:r>
              <w:rPr>
                <w:sz w:val="17"/>
              </w:rPr>
              <w:t xml:space="preserve">Délégation expirée</w:t>
            </w:r>
          </w:p>
        </w:tc>
        <w:tc>
          <w:tcPr/>
          <w:p>
            <w:pPr>
              <w:pStyle w:val="Compact"/>
            </w:pPr>
            <w:r>
              <w:rPr>
                <w:sz w:val="17"/>
              </w:rPr>
              <w:t xml:space="preserve">info</w:t>
            </w:r>
          </w:p>
        </w:tc>
        <w:tc>
          <w:tcPr/>
          <w:p>
            <w:pPr>
              <w:pStyle w:val="Compact"/>
            </w:pPr>
            <w:r>
              <w:rPr>
                <w:sz w:val="17"/>
              </w:rPr>
              <w:t xml:space="preserve">A</w:t>
            </w:r>
          </w:p>
        </w:tc>
        <w:tc>
          <w:tcPr/>
          <w:p>
            <w:pPr>
              <w:pStyle w:val="Compact"/>
            </w:pPr>
          </w:p>
        </w:tc>
        <w:tc>
          <w:tcPr/>
          <w:p>
            <w:pPr>
              <w:pStyle w:val="Compact"/>
            </w:pPr>
            <w:r>
              <w:rPr>
                <w:sz w:val="17"/>
              </w:rPr>
              <w:t xml:space="preserve">G</w:t>
            </w:r>
          </w:p>
        </w:tc>
      </w:tr>
      <w:tr>
        <w:tc>
          <w:tcPr>
            <w:shd w:val="clear" w:color="auto" w:fill="F5F7FB"/>
          </w:tcPr>
          <w:p>
            <w:pPr>
              <w:pStyle w:val="Compact"/>
            </w:pPr>
            <w:r>
              <w:rPr>
                <w:rStyle w:val="VerbatimChar"/>
                <w:sz w:val="17"/>
              </w:rPr>
              <w:t xml:space="preserve">access.expiring</w:t>
            </w:r>
          </w:p>
        </w:tc>
        <w:tc>
          <w:tcPr>
            <w:shd w:val="clear" w:color="auto" w:fill="F5F7FB"/>
          </w:tcPr>
          <w:p>
            <w:pPr>
              <w:pStyle w:val="Compact"/>
            </w:pPr>
            <w:r>
              <w:rPr>
                <w:sz w:val="17"/>
              </w:rPr>
              <w:t xml:space="preserve">Accès bientôt expiré</w:t>
            </w:r>
          </w:p>
        </w:tc>
        <w:tc>
          <w:tcPr>
            <w:shd w:val="clear" w:color="auto" w:fill="F5F7FB"/>
          </w:tcPr>
          <w:p>
            <w:pPr>
              <w:pStyle w:val="Compact"/>
            </w:pPr>
            <w:r>
              <w:rPr>
                <w:sz w:val="17"/>
              </w:rPr>
              <w:t xml:space="preserve">Votre accès expire le {{date}}</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EA</w:t>
            </w:r>
          </w:p>
        </w:tc>
        <w:tc>
          <w:tcPr>
            <w:shd w:val="clear" w:color="auto" w:fill="F5F7FB"/>
          </w:tcPr>
          <w:p>
            <w:pPr>
              <w:pStyle w:val="Compact"/>
            </w:pPr>
          </w:p>
        </w:tc>
        <w:tc>
          <w:tcPr>
            <w:shd w:val="clear" w:color="auto" w:fill="F5F7FB"/>
          </w:tcPr>
          <w:p>
            <w:pPr>
              <w:pStyle w:val="Compact"/>
            </w:pPr>
            <w:r>
              <w:rPr>
                <w:sz w:val="17"/>
              </w:rPr>
              <w:t xml:space="preserve">G</w:t>
            </w:r>
          </w:p>
        </w:tc>
      </w:tr>
      <w:tr>
        <w:tc>
          <w:tcPr/>
          <w:p>
            <w:pPr>
              <w:pStyle w:val="Compact"/>
            </w:pPr>
            <w:r>
              <w:rPr>
                <w:rStyle w:val="VerbatimChar"/>
                <w:sz w:val="17"/>
              </w:rPr>
              <w:t xml:space="preserve">access.suspended_inactivity</w:t>
            </w:r>
          </w:p>
        </w:tc>
        <w:tc>
          <w:tcPr/>
          <w:p>
            <w:pPr>
              <w:pStyle w:val="Compact"/>
            </w:pPr>
            <w:r>
              <w:rPr>
                <w:sz w:val="17"/>
              </w:rPr>
              <w:t xml:space="preserve">Accès suspendu (inactivité)</w:t>
            </w:r>
          </w:p>
        </w:tc>
        <w:tc>
          <w:tcPr/>
          <w:p>
            <w:pPr>
              <w:pStyle w:val="Compact"/>
            </w:pPr>
            <w:r>
              <w:rPr>
                <w:sz w:val="17"/>
              </w:rPr>
              <w:t xml:space="preserve">Accès suspendu après 60 jours d’inactivité</w:t>
            </w:r>
          </w:p>
        </w:tc>
        <w:tc>
          <w:tcPr/>
          <w:p>
            <w:pPr>
              <w:pStyle w:val="Compact"/>
            </w:pPr>
            <w:r>
              <w:rPr>
                <w:sz w:val="17"/>
              </w:rPr>
              <w:t xml:space="preserve">warning</w:t>
            </w:r>
          </w:p>
        </w:tc>
        <w:tc>
          <w:tcPr/>
          <w:p>
            <w:pPr>
              <w:pStyle w:val="Compact"/>
            </w:pPr>
            <w:r>
              <w:rPr>
                <w:sz w:val="17"/>
              </w:rPr>
              <w:t xml:space="preserve">EA</w:t>
            </w:r>
          </w:p>
        </w:tc>
        <w:tc>
          <w:tcPr/>
          <w:p>
            <w:pPr>
              <w:pStyle w:val="Compact"/>
            </w:pPr>
            <w:r>
              <w:rPr>
                <w:sz w:val="17"/>
              </w:rPr>
              <w:t xml:space="preserve">M</w:t>
            </w:r>
          </w:p>
        </w:tc>
        <w:tc>
          <w:tcPr/>
          <w:p>
            <w:pPr>
              <w:pStyle w:val="Compact"/>
            </w:pPr>
            <w:r>
              <w:rPr>
                <w:sz w:val="17"/>
              </w:rPr>
              <w:t xml:space="preserve">G</w:t>
            </w:r>
          </w:p>
        </w:tc>
      </w:tr>
      <w:tr>
        <w:tc>
          <w:tcPr>
            <w:shd w:val="clear" w:color="auto" w:fill="F5F7FB"/>
          </w:tcPr>
          <w:p>
            <w:pPr>
              <w:pStyle w:val="Compact"/>
            </w:pPr>
            <w:r>
              <w:rPr>
                <w:rStyle w:val="VerbatimChar"/>
                <w:sz w:val="17"/>
              </w:rPr>
              <w:t xml:space="preserve">conflict_of_interest.detected</w:t>
            </w:r>
          </w:p>
        </w:tc>
        <w:tc>
          <w:tcPr>
            <w:shd w:val="clear" w:color="auto" w:fill="F5F7FB"/>
          </w:tcPr>
          <w:p>
            <w:pPr>
              <w:pStyle w:val="Compact"/>
            </w:pPr>
            <w:r>
              <w:rPr>
                <w:sz w:val="17"/>
              </w:rPr>
              <w:t xml:space="preserve">Conflit d’intérêts détecté</w:t>
            </w:r>
          </w:p>
        </w:tc>
        <w:tc>
          <w:tcPr>
            <w:shd w:val="clear" w:color="auto" w:fill="F5F7FB"/>
          </w:tcPr>
          <w:p>
            <w:pPr>
              <w:pStyle w:val="Compact"/>
            </w:pPr>
            <w:r>
              <w:rPr>
                <w:sz w:val="17"/>
              </w:rPr>
              <w:t xml:space="preserve">Dossier réaffecté pour conflit d’intérêts</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EA</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G</w:t>
            </w:r>
          </w:p>
        </w:tc>
      </w:tr>
      <w:tr>
        <w:tc>
          <w:tcPr/>
          <w:p>
            <w:pPr>
              <w:pStyle w:val="Compact"/>
            </w:pPr>
            <w:r>
              <w:rPr>
                <w:rStyle w:val="VerbatimChar"/>
                <w:sz w:val="17"/>
              </w:rPr>
              <w:t xml:space="preserve">entity.space.activated</w:t>
            </w:r>
          </w:p>
        </w:tc>
        <w:tc>
          <w:tcPr/>
          <w:p>
            <w:pPr>
              <w:pStyle w:val="Compact"/>
            </w:pPr>
            <w:r>
              <w:rPr>
                <w:sz w:val="17"/>
              </w:rPr>
              <w:t xml:space="preserve">Espace d’entité activé</w:t>
            </w:r>
          </w:p>
        </w:tc>
        <w:tc>
          <w:tcPr/>
          <w:p>
            <w:pPr>
              <w:pStyle w:val="Compact"/>
            </w:pPr>
            <w:r>
              <w:rPr>
                <w:sz w:val="17"/>
              </w:rPr>
              <w:t xml:space="preserve">L’espace {{entite}} est actif</w:t>
            </w:r>
          </w:p>
        </w:tc>
        <w:tc>
          <w:tcPr/>
          <w:p>
            <w:pPr>
              <w:pStyle w:val="Compact"/>
            </w:pPr>
            <w:r>
              <w:rPr>
                <w:sz w:val="17"/>
              </w:rPr>
              <w:t xml:space="preserve">success</w:t>
            </w:r>
          </w:p>
        </w:tc>
        <w:tc>
          <w:tcPr/>
          <w:p>
            <w:pPr>
              <w:pStyle w:val="Compact"/>
            </w:pPr>
            <w:r>
              <w:rPr>
                <w:sz w:val="17"/>
              </w:rPr>
              <w:t xml:space="preserve">EA</w:t>
            </w:r>
          </w:p>
        </w:tc>
        <w:tc>
          <w:tcPr/>
          <w:p>
            <w:pPr>
              <w:pStyle w:val="Compact"/>
            </w:pPr>
          </w:p>
        </w:tc>
        <w:tc>
          <w:tcPr/>
          <w:p>
            <w:pPr>
              <w:pStyle w:val="Compact"/>
            </w:pPr>
            <w:r>
              <w:rPr>
                <w:sz w:val="17"/>
              </w:rPr>
              <w:t xml:space="preserve">G</w:t>
            </w:r>
          </w:p>
        </w:tc>
      </w:tr>
      <w:tr>
        <w:tc>
          <w:tcPr>
            <w:shd w:val="clear" w:color="auto" w:fill="F5F7FB"/>
          </w:tcPr>
          <w:p>
            <w:pPr>
              <w:pStyle w:val="Compact"/>
            </w:pPr>
            <w:r>
              <w:rPr>
                <w:rStyle w:val="VerbatimChar"/>
                <w:sz w:val="17"/>
              </w:rPr>
              <w:t xml:space="preserve">entity.module.attached</w:t>
            </w:r>
          </w:p>
        </w:tc>
        <w:tc>
          <w:tcPr>
            <w:shd w:val="clear" w:color="auto" w:fill="F5F7FB"/>
          </w:tcPr>
          <w:p>
            <w:pPr>
              <w:pStyle w:val="Compact"/>
            </w:pPr>
            <w:r>
              <w:rPr>
                <w:sz w:val="17"/>
              </w:rPr>
              <w:t xml:space="preserve">Module rattaché</w:t>
            </w:r>
          </w:p>
        </w:tc>
        <w:tc>
          <w:tcPr>
            <w:shd w:val="clear" w:color="auto" w:fill="F5F7FB"/>
          </w:tcPr>
          <w:p>
            <w:pPr>
              <w:pStyle w:val="Compact"/>
            </w:pPr>
            <w:r>
              <w:rPr>
                <w:sz w:val="17"/>
              </w:rPr>
              <w:t xml:space="preserve">Module {{module}} rattaché à {{entite}}</w:t>
            </w:r>
          </w:p>
        </w:tc>
        <w:tc>
          <w:tcPr>
            <w:shd w:val="clear" w:color="auto" w:fill="F5F7FB"/>
          </w:tcPr>
          <w:p>
            <w:pPr>
              <w:pStyle w:val="Compact"/>
            </w:pPr>
            <w:r>
              <w:rPr>
                <w:sz w:val="17"/>
              </w:rPr>
              <w:t xml:space="preserve">info</w:t>
            </w:r>
          </w:p>
        </w:tc>
        <w:tc>
          <w:tcPr>
            <w:shd w:val="clear" w:color="auto" w:fill="F5F7FB"/>
          </w:tcPr>
          <w:p>
            <w:pPr>
              <w:pStyle w:val="Compact"/>
            </w:pPr>
            <w:r>
              <w:rPr>
                <w:sz w:val="17"/>
              </w:rPr>
              <w:t xml:space="preserve">EA</w:t>
            </w:r>
          </w:p>
        </w:tc>
        <w:tc>
          <w:tcPr>
            <w:shd w:val="clear" w:color="auto" w:fill="F5F7FB"/>
          </w:tcPr>
          <w:p>
            <w:pPr>
              <w:pStyle w:val="Compact"/>
            </w:pPr>
          </w:p>
        </w:tc>
        <w:tc>
          <w:tcPr>
            <w:shd w:val="clear" w:color="auto" w:fill="F5F7FB"/>
          </w:tcPr>
          <w:p>
            <w:pPr>
              <w:pStyle w:val="Compact"/>
            </w:pPr>
            <w:r>
              <w:rPr>
                <w:sz w:val="17"/>
              </w:rPr>
              <w:t xml:space="preserve">G</w:t>
            </w:r>
          </w:p>
        </w:tc>
      </w:tr>
    </w:tbl>
    <w:bookmarkEnd w:id="604"/>
    <w:bookmarkStart w:id="605" w:name="g.21-apprentissage-et-certification"/>
    <w:p>
      <w:pPr>
        <w:pStyle w:val="Heading2"/>
      </w:pPr>
      <w:r>
        <w:t xml:space="preserve">G.21 Apprentissage et certification</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shd w:val="clear" w:color="auto" w:fill="232C6B"/>
          </w:tcPr>
          <w:p>
            <w:pPr>
              <w:pStyle w:val="Compact"/>
            </w:pPr>
            <w:r>
              <w:rPr>
                <w:b/>
                <w:color w:val="FFFFFF"/>
                <w:sz w:val="17"/>
              </w:rPr>
              <w:t xml:space="preserve">Code</w:t>
            </w:r>
          </w:p>
        </w:tc>
        <w:tc>
          <w:tcPr>
            <w:shd w:val="clear" w:color="auto" w:fill="232C6B"/>
          </w:tcPr>
          <w:p>
            <w:pPr>
              <w:pStyle w:val="Compact"/>
            </w:pPr>
            <w:r>
              <w:rPr>
                <w:b/>
                <w:color w:val="FFFFFF"/>
                <w:sz w:val="17"/>
              </w:rPr>
              <w:t xml:space="preserve">Événement</w:t>
            </w:r>
          </w:p>
        </w:tc>
        <w:tc>
          <w:tcPr>
            <w:shd w:val="clear" w:color="auto" w:fill="232C6B"/>
          </w:tcPr>
          <w:p>
            <w:pPr>
              <w:pStyle w:val="Compact"/>
            </w:pPr>
            <w:r>
              <w:rPr>
                <w:b/>
                <w:color w:val="FFFFFF"/>
                <w:sz w:val="17"/>
              </w:rPr>
              <w:t xml:space="preserve">Objet du message (fr)</w:t>
            </w:r>
          </w:p>
        </w:tc>
        <w:tc>
          <w:tcPr>
            <w:shd w:val="clear" w:color="auto" w:fill="232C6B"/>
          </w:tcPr>
          <w:p>
            <w:pPr>
              <w:pStyle w:val="Compact"/>
            </w:pPr>
            <w:r>
              <w:rPr>
                <w:b/>
                <w:color w:val="FFFFFF"/>
                <w:sz w:val="17"/>
              </w:rPr>
              <w:t xml:space="preserve">Gravité</w:t>
            </w:r>
          </w:p>
        </w:tc>
        <w:tc>
          <w:tcPr>
            <w:shd w:val="clear" w:color="auto" w:fill="232C6B"/>
          </w:tcPr>
          <w:p>
            <w:pPr>
              <w:pStyle w:val="Compact"/>
            </w:pPr>
            <w:r>
              <w:rPr>
                <w:b/>
                <w:color w:val="FFFFFF"/>
                <w:sz w:val="17"/>
              </w:rPr>
              <w:t xml:space="preserve">Canaux</w:t>
            </w:r>
          </w:p>
        </w:tc>
        <w:tc>
          <w:tcPr>
            <w:shd w:val="clear" w:color="auto" w:fill="232C6B"/>
          </w:tcPr>
          <w:p>
            <w:pPr>
              <w:pStyle w:val="Compact"/>
            </w:pPr>
            <w:r>
              <w:rPr>
                <w:b/>
                <w:color w:val="FFFFFF"/>
                <w:sz w:val="17"/>
              </w:rPr>
              <w:t xml:space="preserve">M</w:t>
            </w:r>
          </w:p>
        </w:tc>
        <w:tc>
          <w:tcPr>
            <w:shd w:val="clear" w:color="auto" w:fill="232C6B"/>
          </w:tcPr>
          <w:p>
            <w:pPr>
              <w:pStyle w:val="Compact"/>
            </w:pPr>
            <w:r>
              <w:rPr>
                <w:b/>
                <w:color w:val="FFFFFF"/>
                <w:sz w:val="17"/>
              </w:rPr>
              <w:t xml:space="preserve">Public</w:t>
            </w:r>
          </w:p>
        </w:tc>
      </w:tr>
      <w:tr>
        <w:tc>
          <w:tcPr/>
          <w:p>
            <w:pPr>
              <w:pStyle w:val="Compact"/>
            </w:pPr>
            <w:r>
              <w:rPr>
                <w:rStyle w:val="VerbatimChar"/>
                <w:sz w:val="17"/>
              </w:rPr>
              <w:t xml:space="preserve">training.assigned</w:t>
            </w:r>
          </w:p>
        </w:tc>
        <w:tc>
          <w:tcPr/>
          <w:p>
            <w:pPr>
              <w:pStyle w:val="Compact"/>
            </w:pPr>
            <w:r>
              <w:rPr>
                <w:sz w:val="17"/>
              </w:rPr>
              <w:t xml:space="preserve">Formation assignée</w:t>
            </w:r>
          </w:p>
        </w:tc>
        <w:tc>
          <w:tcPr/>
          <w:p>
            <w:pPr>
              <w:pStyle w:val="Compact"/>
            </w:pPr>
            <w:r>
              <w:rPr>
                <w:sz w:val="17"/>
              </w:rPr>
              <w:t xml:space="preserve">Formation assignée : {{formation}}</w:t>
            </w:r>
          </w:p>
        </w:tc>
        <w:tc>
          <w:tcPr/>
          <w:p>
            <w:pPr>
              <w:pStyle w:val="Compact"/>
            </w:pPr>
            <w:r>
              <w:rPr>
                <w:sz w:val="17"/>
              </w:rPr>
              <w:t xml:space="preserve">info</w:t>
            </w:r>
          </w:p>
        </w:tc>
        <w:tc>
          <w:tcPr/>
          <w:p>
            <w:pPr>
              <w:pStyle w:val="Compact"/>
            </w:pPr>
            <w:r>
              <w:rPr>
                <w:sz w:val="17"/>
              </w:rPr>
              <w:t xml:space="preserve">EAP</w:t>
            </w:r>
          </w:p>
        </w:tc>
        <w:tc>
          <w:tcPr/>
          <w:p>
            <w:pPr>
              <w:pStyle w:val="Compact"/>
            </w:pPr>
          </w:p>
        </w:tc>
        <w:tc>
          <w:tcPr/>
          <w:p>
            <w:pPr>
              <w:pStyle w:val="Compact"/>
            </w:pPr>
            <w:r>
              <w:rPr>
                <w:sz w:val="17"/>
              </w:rPr>
              <w:t xml:space="preserve">G</w:t>
            </w:r>
          </w:p>
        </w:tc>
      </w:tr>
      <w:tr>
        <w:tc>
          <w:tcPr>
            <w:shd w:val="clear" w:color="auto" w:fill="F5F7FB"/>
          </w:tcPr>
          <w:p>
            <w:pPr>
              <w:pStyle w:val="Compact"/>
            </w:pPr>
            <w:r>
              <w:rPr>
                <w:rStyle w:val="VerbatimChar"/>
                <w:sz w:val="17"/>
              </w:rPr>
              <w:t xml:space="preserve">training.due_soon</w:t>
            </w:r>
          </w:p>
        </w:tc>
        <w:tc>
          <w:tcPr>
            <w:shd w:val="clear" w:color="auto" w:fill="F5F7FB"/>
          </w:tcPr>
          <w:p>
            <w:pPr>
              <w:pStyle w:val="Compact"/>
            </w:pPr>
            <w:r>
              <w:rPr>
                <w:sz w:val="17"/>
              </w:rPr>
              <w:t xml:space="preserve">Formation à terminer</w:t>
            </w:r>
          </w:p>
        </w:tc>
        <w:tc>
          <w:tcPr>
            <w:shd w:val="clear" w:color="auto" w:fill="F5F7FB"/>
          </w:tcPr>
          <w:p>
            <w:pPr>
              <w:pStyle w:val="Compact"/>
            </w:pPr>
            <w:r>
              <w:rPr>
                <w:sz w:val="17"/>
              </w:rPr>
              <w:t xml:space="preserve">Terminez {{formation}} avant le {{date}}</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AP</w:t>
            </w:r>
          </w:p>
        </w:tc>
        <w:tc>
          <w:tcPr>
            <w:shd w:val="clear" w:color="auto" w:fill="F5F7FB"/>
          </w:tcPr>
          <w:p>
            <w:pPr>
              <w:pStyle w:val="Compact"/>
            </w:pPr>
          </w:p>
        </w:tc>
        <w:tc>
          <w:tcPr>
            <w:shd w:val="clear" w:color="auto" w:fill="F5F7FB"/>
          </w:tcPr>
          <w:p>
            <w:pPr>
              <w:pStyle w:val="Compact"/>
            </w:pPr>
            <w:r>
              <w:rPr>
                <w:sz w:val="17"/>
              </w:rPr>
              <w:t xml:space="preserve">G</w:t>
            </w:r>
          </w:p>
        </w:tc>
      </w:tr>
      <w:tr>
        <w:tc>
          <w:tcPr/>
          <w:p>
            <w:pPr>
              <w:pStyle w:val="Compact"/>
            </w:pPr>
            <w:r>
              <w:rPr>
                <w:rStyle w:val="VerbatimChar"/>
                <w:sz w:val="17"/>
              </w:rPr>
              <w:t xml:space="preserve">training.completed</w:t>
            </w:r>
          </w:p>
        </w:tc>
        <w:tc>
          <w:tcPr/>
          <w:p>
            <w:pPr>
              <w:pStyle w:val="Compact"/>
            </w:pPr>
            <w:r>
              <w:rPr>
                <w:sz w:val="17"/>
              </w:rPr>
              <w:t xml:space="preserve">Formation terminée</w:t>
            </w:r>
          </w:p>
        </w:tc>
        <w:tc>
          <w:tcPr/>
          <w:p>
            <w:pPr>
              <w:pStyle w:val="Compact"/>
            </w:pPr>
            <w:r>
              <w:rPr>
                <w:sz w:val="17"/>
              </w:rPr>
              <w:t xml:space="preserve">Formation terminée : {{formation}}</w:t>
            </w:r>
          </w:p>
        </w:tc>
        <w:tc>
          <w:tcPr/>
          <w:p>
            <w:pPr>
              <w:pStyle w:val="Compact"/>
            </w:pPr>
            <w:r>
              <w:rPr>
                <w:sz w:val="17"/>
              </w:rPr>
              <w:t xml:space="preserve">success</w:t>
            </w:r>
          </w:p>
        </w:tc>
        <w:tc>
          <w:tcPr/>
          <w:p>
            <w:pPr>
              <w:pStyle w:val="Compact"/>
            </w:pPr>
            <w:r>
              <w:rPr>
                <w:sz w:val="17"/>
              </w:rPr>
              <w:t xml:space="preserve">A</w:t>
            </w:r>
          </w:p>
        </w:tc>
        <w:tc>
          <w:tcPr/>
          <w:p>
            <w:pPr>
              <w:pStyle w:val="Compact"/>
            </w:pPr>
          </w:p>
        </w:tc>
        <w:tc>
          <w:tcPr/>
          <w:p>
            <w:pPr>
              <w:pStyle w:val="Compact"/>
            </w:pPr>
            <w:r>
              <w:rPr>
                <w:sz w:val="17"/>
              </w:rPr>
              <w:t xml:space="preserve">G</w:t>
            </w:r>
          </w:p>
        </w:tc>
      </w:tr>
      <w:tr>
        <w:tc>
          <w:tcPr>
            <w:shd w:val="clear" w:color="auto" w:fill="F5F7FB"/>
          </w:tcPr>
          <w:p>
            <w:pPr>
              <w:pStyle w:val="Compact"/>
            </w:pPr>
            <w:r>
              <w:rPr>
                <w:rStyle w:val="VerbatimChar"/>
                <w:sz w:val="17"/>
              </w:rPr>
              <w:t xml:space="preserve">certification.achieved</w:t>
            </w:r>
          </w:p>
        </w:tc>
        <w:tc>
          <w:tcPr>
            <w:shd w:val="clear" w:color="auto" w:fill="F5F7FB"/>
          </w:tcPr>
          <w:p>
            <w:pPr>
              <w:pStyle w:val="Compact"/>
            </w:pPr>
            <w:r>
              <w:rPr>
                <w:sz w:val="17"/>
              </w:rPr>
              <w:t xml:space="preserve">Certification obtenue</w:t>
            </w:r>
          </w:p>
        </w:tc>
        <w:tc>
          <w:tcPr>
            <w:shd w:val="clear" w:color="auto" w:fill="F5F7FB"/>
          </w:tcPr>
          <w:p>
            <w:pPr>
              <w:pStyle w:val="Compact"/>
            </w:pPr>
            <w:r>
              <w:rPr>
                <w:sz w:val="17"/>
              </w:rPr>
              <w:t xml:space="preserve">Certification obtenue : {{certification}}</w:t>
            </w:r>
          </w:p>
        </w:tc>
        <w:tc>
          <w:tcPr>
            <w:shd w:val="clear" w:color="auto" w:fill="F5F7FB"/>
          </w:tcPr>
          <w:p>
            <w:pPr>
              <w:pStyle w:val="Compact"/>
            </w:pPr>
            <w:r>
              <w:rPr>
                <w:sz w:val="17"/>
              </w:rPr>
              <w:t xml:space="preserve">success</w:t>
            </w:r>
          </w:p>
        </w:tc>
        <w:tc>
          <w:tcPr>
            <w:shd w:val="clear" w:color="auto" w:fill="F5F7FB"/>
          </w:tcPr>
          <w:p>
            <w:pPr>
              <w:pStyle w:val="Compact"/>
            </w:pPr>
            <w:r>
              <w:rPr>
                <w:sz w:val="17"/>
              </w:rPr>
              <w:t xml:space="preserve">EA</w:t>
            </w:r>
          </w:p>
        </w:tc>
        <w:tc>
          <w:tcPr>
            <w:shd w:val="clear" w:color="auto" w:fill="F5F7FB"/>
          </w:tcPr>
          <w:p>
            <w:pPr>
              <w:pStyle w:val="Compact"/>
            </w:pPr>
          </w:p>
        </w:tc>
        <w:tc>
          <w:tcPr>
            <w:shd w:val="clear" w:color="auto" w:fill="F5F7FB"/>
          </w:tcPr>
          <w:p>
            <w:pPr>
              <w:pStyle w:val="Compact"/>
            </w:pPr>
            <w:r>
              <w:rPr>
                <w:sz w:val="17"/>
              </w:rPr>
              <w:t xml:space="preserve">G</w:t>
            </w:r>
          </w:p>
        </w:tc>
      </w:tr>
      <w:tr>
        <w:tc>
          <w:tcPr/>
          <w:p>
            <w:pPr>
              <w:pStyle w:val="Compact"/>
            </w:pPr>
            <w:r>
              <w:rPr>
                <w:rStyle w:val="VerbatimChar"/>
                <w:sz w:val="17"/>
              </w:rPr>
              <w:t xml:space="preserve">certification.expiring</w:t>
            </w:r>
          </w:p>
        </w:tc>
        <w:tc>
          <w:tcPr/>
          <w:p>
            <w:pPr>
              <w:pStyle w:val="Compact"/>
            </w:pPr>
            <w:r>
              <w:rPr>
                <w:sz w:val="17"/>
              </w:rPr>
              <w:t xml:space="preserve">Certification bientôt expirée</w:t>
            </w:r>
          </w:p>
        </w:tc>
        <w:tc>
          <w:tcPr/>
          <w:p>
            <w:pPr>
              <w:pStyle w:val="Compact"/>
            </w:pPr>
            <w:r>
              <w:rPr>
                <w:sz w:val="17"/>
              </w:rPr>
              <w:t xml:space="preserve">Recyclage requis avant le {{date}}</w:t>
            </w:r>
          </w:p>
        </w:tc>
        <w:tc>
          <w:tcPr/>
          <w:p>
            <w:pPr>
              <w:pStyle w:val="Compact"/>
            </w:pPr>
            <w:r>
              <w:rPr>
                <w:sz w:val="17"/>
              </w:rPr>
              <w:t xml:space="preserve">warning</w:t>
            </w:r>
          </w:p>
        </w:tc>
        <w:tc>
          <w:tcPr/>
          <w:p>
            <w:pPr>
              <w:pStyle w:val="Compact"/>
            </w:pPr>
            <w:r>
              <w:rPr>
                <w:sz w:val="17"/>
              </w:rPr>
              <w:t xml:space="preserve">EA</w:t>
            </w:r>
          </w:p>
        </w:tc>
        <w:tc>
          <w:tcPr/>
          <w:p>
            <w:pPr>
              <w:pStyle w:val="Compact"/>
            </w:pPr>
            <w:r>
              <w:rPr>
                <w:sz w:val="17"/>
              </w:rPr>
              <w:t xml:space="preserve">M</w:t>
            </w:r>
          </w:p>
        </w:tc>
        <w:tc>
          <w:tcPr/>
          <w:p>
            <w:pPr>
              <w:pStyle w:val="Compact"/>
            </w:pPr>
            <w:r>
              <w:rPr>
                <w:sz w:val="17"/>
              </w:rPr>
              <w:t xml:space="preserve">G</w:t>
            </w:r>
          </w:p>
        </w:tc>
      </w:tr>
      <w:tr>
        <w:tc>
          <w:tcPr>
            <w:shd w:val="clear" w:color="auto" w:fill="F5F7FB"/>
          </w:tcPr>
          <w:p>
            <w:pPr>
              <w:pStyle w:val="Compact"/>
            </w:pPr>
            <w:r>
              <w:rPr>
                <w:rStyle w:val="VerbatimChar"/>
                <w:sz w:val="17"/>
              </w:rPr>
              <w:t xml:space="preserve">procedure.changed</w:t>
            </w:r>
          </w:p>
        </w:tc>
        <w:tc>
          <w:tcPr>
            <w:shd w:val="clear" w:color="auto" w:fill="F5F7FB"/>
          </w:tcPr>
          <w:p>
            <w:pPr>
              <w:pStyle w:val="Compact"/>
            </w:pPr>
            <w:r>
              <w:rPr>
                <w:sz w:val="17"/>
              </w:rPr>
              <w:t xml:space="preserve">Procédure modifiée</w:t>
            </w:r>
          </w:p>
        </w:tc>
        <w:tc>
          <w:tcPr>
            <w:shd w:val="clear" w:color="auto" w:fill="F5F7FB"/>
          </w:tcPr>
          <w:p>
            <w:pPr>
              <w:pStyle w:val="Compact"/>
            </w:pPr>
            <w:r>
              <w:rPr>
                <w:sz w:val="17"/>
              </w:rPr>
              <w:t xml:space="preserve">La procédure {{procedure}} a changé</w:t>
            </w:r>
          </w:p>
        </w:tc>
        <w:tc>
          <w:tcPr>
            <w:shd w:val="clear" w:color="auto" w:fill="F5F7FB"/>
          </w:tcPr>
          <w:p>
            <w:pPr>
              <w:pStyle w:val="Compact"/>
            </w:pPr>
            <w:r>
              <w:rPr>
                <w:sz w:val="17"/>
              </w:rPr>
              <w:t xml:space="preserve">info</w:t>
            </w:r>
          </w:p>
        </w:tc>
        <w:tc>
          <w:tcPr>
            <w:shd w:val="clear" w:color="auto" w:fill="F5F7FB"/>
          </w:tcPr>
          <w:p>
            <w:pPr>
              <w:pStyle w:val="Compact"/>
            </w:pPr>
            <w:r>
              <w:rPr>
                <w:sz w:val="17"/>
              </w:rPr>
              <w:t xml:space="preserve">AP</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G</w:t>
            </w:r>
          </w:p>
        </w:tc>
      </w:tr>
      <w:tr>
        <w:tc>
          <w:tcPr/>
          <w:p>
            <w:pPr>
              <w:pStyle w:val="Compact"/>
            </w:pPr>
            <w:r>
              <w:rPr>
                <w:rStyle w:val="VerbatimChar"/>
                <w:sz w:val="17"/>
              </w:rPr>
              <w:t xml:space="preserve">taxpayer.guide.available</w:t>
            </w:r>
          </w:p>
        </w:tc>
        <w:tc>
          <w:tcPr/>
          <w:p>
            <w:pPr>
              <w:pStyle w:val="Compact"/>
            </w:pPr>
            <w:r>
              <w:rPr>
                <w:sz w:val="17"/>
              </w:rPr>
              <w:t xml:space="preserve">Guide pratique disponible</w:t>
            </w:r>
          </w:p>
        </w:tc>
        <w:tc>
          <w:tcPr/>
          <w:p>
            <w:pPr>
              <w:pStyle w:val="Compact"/>
            </w:pPr>
            <w:r>
              <w:rPr>
                <w:sz w:val="17"/>
              </w:rPr>
              <w:t xml:space="preserve">Guide : {{sujet}}</w:t>
            </w:r>
          </w:p>
        </w:tc>
        <w:tc>
          <w:tcPr/>
          <w:p>
            <w:pPr>
              <w:pStyle w:val="Compact"/>
            </w:pPr>
            <w:r>
              <w:rPr>
                <w:sz w:val="17"/>
              </w:rPr>
              <w:t xml:space="preserve">info</w:t>
            </w:r>
          </w:p>
        </w:tc>
        <w:tc>
          <w:tcPr/>
          <w:p>
            <w:pPr>
              <w:pStyle w:val="Compact"/>
            </w:pPr>
            <w:r>
              <w:rPr>
                <w:sz w:val="17"/>
              </w:rPr>
              <w:t xml:space="preserve">AU+W</w:t>
            </w:r>
          </w:p>
        </w:tc>
        <w:tc>
          <w:tcPr/>
          <w:p>
            <w:pPr>
              <w:pStyle w:val="Compact"/>
            </w:pPr>
          </w:p>
        </w:tc>
        <w:tc>
          <w:tcPr/>
          <w:p>
            <w:pPr>
              <w:pStyle w:val="Compact"/>
            </w:pPr>
            <w:r>
              <w:rPr>
                <w:sz w:val="17"/>
              </w:rPr>
              <w:t xml:space="preserve">C</w:t>
            </w:r>
          </w:p>
        </w:tc>
      </w:tr>
    </w:tbl>
    <w:bookmarkEnd w:id="605"/>
    <w:bookmarkStart w:id="606" w:name="g.22-plateforme-et-continuité"/>
    <w:p>
      <w:pPr>
        <w:pStyle w:val="Heading2"/>
      </w:pPr>
      <w:r>
        <w:t xml:space="preserve">G.22 Plateforme et continuité</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shd w:val="clear" w:color="auto" w:fill="232C6B"/>
          </w:tcPr>
          <w:p>
            <w:pPr>
              <w:pStyle w:val="Compact"/>
            </w:pPr>
            <w:r>
              <w:rPr>
                <w:b/>
                <w:color w:val="FFFFFF"/>
                <w:sz w:val="17"/>
              </w:rPr>
              <w:t xml:space="preserve">Code</w:t>
            </w:r>
          </w:p>
        </w:tc>
        <w:tc>
          <w:tcPr>
            <w:shd w:val="clear" w:color="auto" w:fill="232C6B"/>
          </w:tcPr>
          <w:p>
            <w:pPr>
              <w:pStyle w:val="Compact"/>
            </w:pPr>
            <w:r>
              <w:rPr>
                <w:b/>
                <w:color w:val="FFFFFF"/>
                <w:sz w:val="17"/>
              </w:rPr>
              <w:t xml:space="preserve">Événement</w:t>
            </w:r>
          </w:p>
        </w:tc>
        <w:tc>
          <w:tcPr>
            <w:shd w:val="clear" w:color="auto" w:fill="232C6B"/>
          </w:tcPr>
          <w:p>
            <w:pPr>
              <w:pStyle w:val="Compact"/>
            </w:pPr>
            <w:r>
              <w:rPr>
                <w:b/>
                <w:color w:val="FFFFFF"/>
                <w:sz w:val="17"/>
              </w:rPr>
              <w:t xml:space="preserve">Objet du message (fr)</w:t>
            </w:r>
          </w:p>
        </w:tc>
        <w:tc>
          <w:tcPr>
            <w:shd w:val="clear" w:color="auto" w:fill="232C6B"/>
          </w:tcPr>
          <w:p>
            <w:pPr>
              <w:pStyle w:val="Compact"/>
            </w:pPr>
            <w:r>
              <w:rPr>
                <w:b/>
                <w:color w:val="FFFFFF"/>
                <w:sz w:val="17"/>
              </w:rPr>
              <w:t xml:space="preserve">Gravité</w:t>
            </w:r>
          </w:p>
        </w:tc>
        <w:tc>
          <w:tcPr>
            <w:shd w:val="clear" w:color="auto" w:fill="232C6B"/>
          </w:tcPr>
          <w:p>
            <w:pPr>
              <w:pStyle w:val="Compact"/>
            </w:pPr>
            <w:r>
              <w:rPr>
                <w:b/>
                <w:color w:val="FFFFFF"/>
                <w:sz w:val="17"/>
              </w:rPr>
              <w:t xml:space="preserve">Canaux</w:t>
            </w:r>
          </w:p>
        </w:tc>
        <w:tc>
          <w:tcPr>
            <w:shd w:val="clear" w:color="auto" w:fill="232C6B"/>
          </w:tcPr>
          <w:p>
            <w:pPr>
              <w:pStyle w:val="Compact"/>
            </w:pPr>
            <w:r>
              <w:rPr>
                <w:b/>
                <w:color w:val="FFFFFF"/>
                <w:sz w:val="17"/>
              </w:rPr>
              <w:t xml:space="preserve">M</w:t>
            </w:r>
          </w:p>
        </w:tc>
        <w:tc>
          <w:tcPr>
            <w:shd w:val="clear" w:color="auto" w:fill="232C6B"/>
          </w:tcPr>
          <w:p>
            <w:pPr>
              <w:pStyle w:val="Compact"/>
            </w:pPr>
            <w:r>
              <w:rPr>
                <w:b/>
                <w:color w:val="FFFFFF"/>
                <w:sz w:val="17"/>
              </w:rPr>
              <w:t xml:space="preserve">Public</w:t>
            </w:r>
          </w:p>
        </w:tc>
      </w:tr>
      <w:tr>
        <w:tc>
          <w:tcPr/>
          <w:p>
            <w:pPr>
              <w:pStyle w:val="Compact"/>
            </w:pPr>
            <w:r>
              <w:rPr>
                <w:rStyle w:val="VerbatimChar"/>
                <w:sz w:val="17"/>
              </w:rPr>
              <w:t xml:space="preserve">system.maintenance_scheduled</w:t>
            </w:r>
          </w:p>
        </w:tc>
        <w:tc>
          <w:tcPr/>
          <w:p>
            <w:pPr>
              <w:pStyle w:val="Compact"/>
            </w:pPr>
            <w:r>
              <w:rPr>
                <w:sz w:val="17"/>
              </w:rPr>
              <w:t xml:space="preserve">Maintenance programmée</w:t>
            </w:r>
          </w:p>
        </w:tc>
        <w:tc>
          <w:tcPr/>
          <w:p>
            <w:pPr>
              <w:pStyle w:val="Compact"/>
            </w:pPr>
            <w:r>
              <w:rPr>
                <w:sz w:val="17"/>
              </w:rPr>
              <w:t xml:space="preserve">Maintenance le {{date}}</w:t>
            </w:r>
          </w:p>
        </w:tc>
        <w:tc>
          <w:tcPr/>
          <w:p>
            <w:pPr>
              <w:pStyle w:val="Compact"/>
            </w:pPr>
            <w:r>
              <w:rPr>
                <w:sz w:val="17"/>
              </w:rPr>
              <w:t xml:space="preserve">info</w:t>
            </w:r>
          </w:p>
        </w:tc>
        <w:tc>
          <w:tcPr/>
          <w:p>
            <w:pPr>
              <w:pStyle w:val="Compact"/>
            </w:pPr>
            <w:r>
              <w:rPr>
                <w:sz w:val="17"/>
              </w:rPr>
              <w:t xml:space="preserve">EA+W</w:t>
            </w:r>
          </w:p>
        </w:tc>
        <w:tc>
          <w:tcPr/>
          <w:p>
            <w:pPr>
              <w:pStyle w:val="Compact"/>
            </w:pPr>
          </w:p>
        </w:tc>
        <w:tc>
          <w:tcPr/>
          <w:p>
            <w:pPr>
              <w:pStyle w:val="Compact"/>
            </w:pPr>
            <w:r>
              <w:rPr>
                <w:sz w:val="17"/>
              </w:rPr>
              <w:t xml:space="preserve">CG</w:t>
            </w:r>
          </w:p>
        </w:tc>
      </w:tr>
      <w:tr>
        <w:tc>
          <w:tcPr>
            <w:shd w:val="clear" w:color="auto" w:fill="F5F7FB"/>
          </w:tcPr>
          <w:p>
            <w:pPr>
              <w:pStyle w:val="Compact"/>
            </w:pPr>
            <w:r>
              <w:rPr>
                <w:rStyle w:val="VerbatimChar"/>
                <w:sz w:val="17"/>
              </w:rPr>
              <w:t xml:space="preserve">system.maintenance_emergency</w:t>
            </w:r>
          </w:p>
        </w:tc>
        <w:tc>
          <w:tcPr>
            <w:shd w:val="clear" w:color="auto" w:fill="F5F7FB"/>
          </w:tcPr>
          <w:p>
            <w:pPr>
              <w:pStyle w:val="Compact"/>
            </w:pPr>
            <w:r>
              <w:rPr>
                <w:sz w:val="17"/>
              </w:rPr>
              <w:t xml:space="preserve">Maintenance d’urgence</w:t>
            </w:r>
          </w:p>
        </w:tc>
        <w:tc>
          <w:tcPr>
            <w:shd w:val="clear" w:color="auto" w:fill="F5F7FB"/>
          </w:tcPr>
          <w:p>
            <w:pPr>
              <w:pStyle w:val="Compact"/>
            </w:pPr>
            <w:r>
              <w:rPr>
                <w:sz w:val="17"/>
              </w:rPr>
              <w:t xml:space="preserve">Maintenance d’urgence en cours</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EAS</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G</w:t>
            </w:r>
          </w:p>
        </w:tc>
      </w:tr>
      <w:tr>
        <w:tc>
          <w:tcPr/>
          <w:p>
            <w:pPr>
              <w:pStyle w:val="Compact"/>
            </w:pPr>
            <w:r>
              <w:rPr>
                <w:rStyle w:val="VerbatimChar"/>
                <w:sz w:val="17"/>
              </w:rPr>
              <w:t xml:space="preserve">system.outage</w:t>
            </w:r>
          </w:p>
        </w:tc>
        <w:tc>
          <w:tcPr/>
          <w:p>
            <w:pPr>
              <w:pStyle w:val="Compact"/>
            </w:pPr>
            <w:r>
              <w:rPr>
                <w:sz w:val="17"/>
              </w:rPr>
              <w:t xml:space="preserve">Interruption de service</w:t>
            </w:r>
          </w:p>
        </w:tc>
        <w:tc>
          <w:tcPr/>
          <w:p>
            <w:pPr>
              <w:pStyle w:val="Compact"/>
            </w:pPr>
            <w:r>
              <w:rPr>
                <w:sz w:val="17"/>
              </w:rPr>
              <w:t xml:space="preserve">Interruption de service — solutions de repli</w:t>
            </w:r>
          </w:p>
        </w:tc>
        <w:tc>
          <w:tcPr/>
          <w:p>
            <w:pPr>
              <w:pStyle w:val="Compact"/>
            </w:pPr>
            <w:r>
              <w:rPr>
                <w:sz w:val="17"/>
              </w:rPr>
              <w:t xml:space="preserve">critical</w:t>
            </w:r>
          </w:p>
        </w:tc>
        <w:tc>
          <w:tcPr/>
          <w:p>
            <w:pPr>
              <w:pStyle w:val="Compact"/>
            </w:pPr>
            <w:r>
              <w:rPr>
                <w:sz w:val="17"/>
              </w:rPr>
              <w:t xml:space="preserve">EAS</w:t>
            </w:r>
          </w:p>
        </w:tc>
        <w:tc>
          <w:tcPr/>
          <w:p>
            <w:pPr>
              <w:pStyle w:val="Compact"/>
            </w:pPr>
            <w:r>
              <w:rPr>
                <w:sz w:val="17"/>
              </w:rPr>
              <w:t xml:space="preserve">M</w:t>
            </w:r>
          </w:p>
        </w:tc>
        <w:tc>
          <w:tcPr/>
          <w:p>
            <w:pPr>
              <w:pStyle w:val="Compact"/>
            </w:pPr>
            <w:r>
              <w:rPr>
                <w:sz w:val="17"/>
              </w:rPr>
              <w:t xml:space="preserve">CG</w:t>
            </w:r>
          </w:p>
        </w:tc>
      </w:tr>
      <w:tr>
        <w:tc>
          <w:tcPr>
            <w:shd w:val="clear" w:color="auto" w:fill="F5F7FB"/>
          </w:tcPr>
          <w:p>
            <w:pPr>
              <w:pStyle w:val="Compact"/>
            </w:pPr>
            <w:r>
              <w:rPr>
                <w:rStyle w:val="VerbatimChar"/>
                <w:sz w:val="17"/>
              </w:rPr>
              <w:t xml:space="preserve">system.service_restored</w:t>
            </w:r>
          </w:p>
        </w:tc>
        <w:tc>
          <w:tcPr>
            <w:shd w:val="clear" w:color="auto" w:fill="F5F7FB"/>
          </w:tcPr>
          <w:p>
            <w:pPr>
              <w:pStyle w:val="Compact"/>
            </w:pPr>
            <w:r>
              <w:rPr>
                <w:sz w:val="17"/>
              </w:rPr>
              <w:t xml:space="preserve">Service rétabli</w:t>
            </w:r>
          </w:p>
        </w:tc>
        <w:tc>
          <w:tcPr>
            <w:shd w:val="clear" w:color="auto" w:fill="F5F7FB"/>
          </w:tcPr>
          <w:p>
            <w:pPr>
              <w:pStyle w:val="Compact"/>
            </w:pPr>
            <w:r>
              <w:rPr>
                <w:sz w:val="17"/>
              </w:rPr>
              <w:t xml:space="preserve">Service rétabli</w:t>
            </w:r>
          </w:p>
        </w:tc>
        <w:tc>
          <w:tcPr>
            <w:shd w:val="clear" w:color="auto" w:fill="F5F7FB"/>
          </w:tcPr>
          <w:p>
            <w:pPr>
              <w:pStyle w:val="Compact"/>
            </w:pPr>
            <w:r>
              <w:rPr>
                <w:sz w:val="17"/>
              </w:rPr>
              <w:t xml:space="preserve">success</w:t>
            </w:r>
          </w:p>
        </w:tc>
        <w:tc>
          <w:tcPr>
            <w:shd w:val="clear" w:color="auto" w:fill="F5F7FB"/>
          </w:tcPr>
          <w:p>
            <w:pPr>
              <w:pStyle w:val="Compact"/>
            </w:pPr>
            <w:r>
              <w:rPr>
                <w:sz w:val="17"/>
              </w:rPr>
              <w:t xml:space="preserve">EA+W</w:t>
            </w:r>
          </w:p>
        </w:tc>
        <w:tc>
          <w:tcPr>
            <w:shd w:val="clear" w:color="auto" w:fill="F5F7FB"/>
          </w:tcPr>
          <w:p>
            <w:pPr>
              <w:pStyle w:val="Compact"/>
            </w:pPr>
          </w:p>
        </w:tc>
        <w:tc>
          <w:tcPr>
            <w:shd w:val="clear" w:color="auto" w:fill="F5F7FB"/>
          </w:tcPr>
          <w:p>
            <w:pPr>
              <w:pStyle w:val="Compact"/>
            </w:pPr>
            <w:r>
              <w:rPr>
                <w:sz w:val="17"/>
              </w:rPr>
              <w:t xml:space="preserve">CG</w:t>
            </w:r>
          </w:p>
        </w:tc>
      </w:tr>
      <w:tr>
        <w:tc>
          <w:tcPr/>
          <w:p>
            <w:pPr>
              <w:pStyle w:val="Compact"/>
            </w:pPr>
            <w:r>
              <w:rPr>
                <w:rStyle w:val="VerbatimChar"/>
                <w:sz w:val="17"/>
              </w:rPr>
              <w:t xml:space="preserve">system.channel_degraded</w:t>
            </w:r>
          </w:p>
        </w:tc>
        <w:tc>
          <w:tcPr/>
          <w:p>
            <w:pPr>
              <w:pStyle w:val="Compact"/>
            </w:pPr>
            <w:r>
              <w:rPr>
                <w:sz w:val="17"/>
              </w:rPr>
              <w:t xml:space="preserve">Canal dégradé</w:t>
            </w:r>
          </w:p>
        </w:tc>
        <w:tc>
          <w:tcPr/>
          <w:p>
            <w:pPr>
              <w:pStyle w:val="Compact"/>
            </w:pPr>
            <w:r>
              <w:rPr>
                <w:sz w:val="17"/>
              </w:rPr>
              <w:t xml:space="preserve">Canal {{canal}} dégradé — utilisez {{alternative}}</w:t>
            </w:r>
          </w:p>
        </w:tc>
        <w:tc>
          <w:tcPr/>
          <w:p>
            <w:pPr>
              <w:pStyle w:val="Compact"/>
            </w:pPr>
            <w:r>
              <w:rPr>
                <w:sz w:val="17"/>
              </w:rPr>
              <w:t xml:space="preserve">warning</w:t>
            </w:r>
          </w:p>
        </w:tc>
        <w:tc>
          <w:tcPr/>
          <w:p>
            <w:pPr>
              <w:pStyle w:val="Compact"/>
            </w:pPr>
            <w:r>
              <w:rPr>
                <w:sz w:val="17"/>
              </w:rPr>
              <w:t xml:space="preserve">A+W</w:t>
            </w:r>
          </w:p>
        </w:tc>
        <w:tc>
          <w:tcPr/>
          <w:p>
            <w:pPr>
              <w:pStyle w:val="Compact"/>
            </w:pPr>
          </w:p>
        </w:tc>
        <w:tc>
          <w:tcPr/>
          <w:p>
            <w:pPr>
              <w:pStyle w:val="Compact"/>
            </w:pPr>
            <w:r>
              <w:rPr>
                <w:sz w:val="17"/>
              </w:rPr>
              <w:t xml:space="preserve">CG</w:t>
            </w:r>
          </w:p>
        </w:tc>
      </w:tr>
      <w:tr>
        <w:tc>
          <w:tcPr>
            <w:shd w:val="clear" w:color="auto" w:fill="F5F7FB"/>
          </w:tcPr>
          <w:p>
            <w:pPr>
              <w:pStyle w:val="Compact"/>
            </w:pPr>
            <w:r>
              <w:rPr>
                <w:rStyle w:val="VerbatimChar"/>
                <w:sz w:val="17"/>
              </w:rPr>
              <w:t xml:space="preserve">system.deadline_protection</w:t>
            </w:r>
          </w:p>
        </w:tc>
        <w:tc>
          <w:tcPr>
            <w:shd w:val="clear" w:color="auto" w:fill="F5F7FB"/>
          </w:tcPr>
          <w:p>
            <w:pPr>
              <w:pStyle w:val="Compact"/>
            </w:pPr>
            <w:r>
              <w:rPr>
                <w:sz w:val="17"/>
              </w:rPr>
              <w:t xml:space="preserve">Protection d’échéance</w:t>
            </w:r>
          </w:p>
        </w:tc>
        <w:tc>
          <w:tcPr>
            <w:shd w:val="clear" w:color="auto" w:fill="F5F7FB"/>
          </w:tcPr>
          <w:p>
            <w:pPr>
              <w:pStyle w:val="Compact"/>
            </w:pPr>
            <w:r>
              <w:rPr>
                <w:sz w:val="17"/>
              </w:rPr>
              <w:t xml:space="preserve">Échéance prorogée en raison d’une interruption</w:t>
            </w:r>
          </w:p>
        </w:tc>
        <w:tc>
          <w:tcPr>
            <w:shd w:val="clear" w:color="auto" w:fill="F5F7FB"/>
          </w:tcPr>
          <w:p>
            <w:pPr>
              <w:pStyle w:val="Compact"/>
            </w:pPr>
            <w:r>
              <w:rPr>
                <w:sz w:val="17"/>
              </w:rPr>
              <w:t xml:space="preserve">info</w:t>
            </w:r>
          </w:p>
        </w:tc>
        <w:tc>
          <w:tcPr>
            <w:shd w:val="clear" w:color="auto" w:fill="F5F7FB"/>
          </w:tcPr>
          <w:p>
            <w:pPr>
              <w:pStyle w:val="Compact"/>
            </w:pPr>
            <w:r>
              <w:rPr>
                <w:sz w:val="17"/>
              </w:rPr>
              <w:t xml:space="preserve">EASU</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C</w:t>
            </w:r>
          </w:p>
        </w:tc>
      </w:tr>
      <w:tr>
        <w:tc>
          <w:tcPr/>
          <w:p>
            <w:pPr>
              <w:pStyle w:val="Compact"/>
            </w:pPr>
            <w:r>
              <w:rPr>
                <w:rStyle w:val="VerbatimChar"/>
                <w:sz w:val="17"/>
              </w:rPr>
              <w:t xml:space="preserve">release.deployed</w:t>
            </w:r>
          </w:p>
        </w:tc>
        <w:tc>
          <w:tcPr/>
          <w:p>
            <w:pPr>
              <w:pStyle w:val="Compact"/>
            </w:pPr>
            <w:r>
              <w:rPr>
                <w:sz w:val="17"/>
              </w:rPr>
              <w:t xml:space="preserve">Version déployée</w:t>
            </w:r>
          </w:p>
        </w:tc>
        <w:tc>
          <w:tcPr/>
          <w:p>
            <w:pPr>
              <w:pStyle w:val="Compact"/>
            </w:pPr>
            <w:r>
              <w:rPr>
                <w:sz w:val="17"/>
              </w:rPr>
              <w:t xml:space="preserve">Version {{version}} déployée</w:t>
            </w:r>
          </w:p>
        </w:tc>
        <w:tc>
          <w:tcPr/>
          <w:p>
            <w:pPr>
              <w:pStyle w:val="Compact"/>
            </w:pPr>
            <w:r>
              <w:rPr>
                <w:sz w:val="17"/>
              </w:rPr>
              <w:t xml:space="preserve">info</w:t>
            </w:r>
          </w:p>
        </w:tc>
        <w:tc>
          <w:tcPr/>
          <w:p>
            <w:pPr>
              <w:pStyle w:val="Compact"/>
            </w:pPr>
            <w:r>
              <w:rPr>
                <w:sz w:val="17"/>
              </w:rPr>
              <w:t xml:space="preserve">A</w:t>
            </w:r>
          </w:p>
        </w:tc>
        <w:tc>
          <w:tcPr/>
          <w:p>
            <w:pPr>
              <w:pStyle w:val="Compact"/>
            </w:pPr>
          </w:p>
        </w:tc>
        <w:tc>
          <w:tcPr/>
          <w:p>
            <w:pPr>
              <w:pStyle w:val="Compact"/>
            </w:pPr>
            <w:r>
              <w:rPr>
                <w:sz w:val="17"/>
              </w:rPr>
              <w:t xml:space="preserve">G</w:t>
            </w:r>
          </w:p>
        </w:tc>
      </w:tr>
      <w:tr>
        <w:tc>
          <w:tcPr>
            <w:shd w:val="clear" w:color="auto" w:fill="F5F7FB"/>
          </w:tcPr>
          <w:p>
            <w:pPr>
              <w:pStyle w:val="Compact"/>
            </w:pPr>
            <w:r>
              <w:rPr>
                <w:rStyle w:val="VerbatimChar"/>
                <w:sz w:val="17"/>
              </w:rPr>
              <w:t xml:space="preserve">backup.restore_test.failed</w:t>
            </w:r>
          </w:p>
        </w:tc>
        <w:tc>
          <w:tcPr>
            <w:shd w:val="clear" w:color="auto" w:fill="F5F7FB"/>
          </w:tcPr>
          <w:p>
            <w:pPr>
              <w:pStyle w:val="Compact"/>
            </w:pPr>
            <w:r>
              <w:rPr>
                <w:sz w:val="17"/>
              </w:rPr>
              <w:t xml:space="preserve">Test de restauration échoué</w:t>
            </w:r>
          </w:p>
        </w:tc>
        <w:tc>
          <w:tcPr>
            <w:shd w:val="clear" w:color="auto" w:fill="F5F7FB"/>
          </w:tcPr>
          <w:p>
            <w:pPr>
              <w:pStyle w:val="Compact"/>
            </w:pPr>
            <w:r>
              <w:rPr>
                <w:sz w:val="17"/>
              </w:rPr>
              <w:t xml:space="preserve">Test de restauration échoué</w:t>
            </w:r>
          </w:p>
        </w:tc>
        <w:tc>
          <w:tcPr>
            <w:shd w:val="clear" w:color="auto" w:fill="F5F7FB"/>
          </w:tcPr>
          <w:p>
            <w:pPr>
              <w:pStyle w:val="Compact"/>
            </w:pPr>
            <w:r>
              <w:rPr>
                <w:sz w:val="17"/>
              </w:rPr>
              <w:t xml:space="preserve">critical</w:t>
            </w:r>
          </w:p>
        </w:tc>
        <w:tc>
          <w:tcPr>
            <w:shd w:val="clear" w:color="auto" w:fill="F5F7FB"/>
          </w:tcPr>
          <w:p>
            <w:pPr>
              <w:pStyle w:val="Compact"/>
            </w:pPr>
            <w:r>
              <w:rPr>
                <w:sz w:val="17"/>
              </w:rPr>
              <w:t xml:space="preserve">EAS</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G</w:t>
            </w:r>
          </w:p>
        </w:tc>
      </w:tr>
    </w:tbl>
    <w:bookmarkEnd w:id="606"/>
    <w:bookmarkStart w:id="607" w:name="X54754b9d2a48375bea5d78f15f1fdc2a95cdf0f"/>
    <w:p>
      <w:pPr>
        <w:pStyle w:val="Heading2"/>
      </w:pPr>
      <w:r>
        <w:t xml:space="preserve">G.23 Données personnelles et consentement</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shd w:val="clear" w:color="auto" w:fill="232C6B"/>
          </w:tcPr>
          <w:p>
            <w:pPr>
              <w:pStyle w:val="Compact"/>
            </w:pPr>
            <w:r>
              <w:rPr>
                <w:b/>
                <w:color w:val="FFFFFF"/>
                <w:sz w:val="17"/>
              </w:rPr>
              <w:t xml:space="preserve">Code</w:t>
            </w:r>
          </w:p>
        </w:tc>
        <w:tc>
          <w:tcPr>
            <w:shd w:val="clear" w:color="auto" w:fill="232C6B"/>
          </w:tcPr>
          <w:p>
            <w:pPr>
              <w:pStyle w:val="Compact"/>
            </w:pPr>
            <w:r>
              <w:rPr>
                <w:b/>
                <w:color w:val="FFFFFF"/>
                <w:sz w:val="17"/>
              </w:rPr>
              <w:t xml:space="preserve">Événement</w:t>
            </w:r>
          </w:p>
        </w:tc>
        <w:tc>
          <w:tcPr>
            <w:shd w:val="clear" w:color="auto" w:fill="232C6B"/>
          </w:tcPr>
          <w:p>
            <w:pPr>
              <w:pStyle w:val="Compact"/>
            </w:pPr>
            <w:r>
              <w:rPr>
                <w:b/>
                <w:color w:val="FFFFFF"/>
                <w:sz w:val="17"/>
              </w:rPr>
              <w:t xml:space="preserve">Objet du message (fr)</w:t>
            </w:r>
          </w:p>
        </w:tc>
        <w:tc>
          <w:tcPr>
            <w:shd w:val="clear" w:color="auto" w:fill="232C6B"/>
          </w:tcPr>
          <w:p>
            <w:pPr>
              <w:pStyle w:val="Compact"/>
            </w:pPr>
            <w:r>
              <w:rPr>
                <w:b/>
                <w:color w:val="FFFFFF"/>
                <w:sz w:val="17"/>
              </w:rPr>
              <w:t xml:space="preserve">Gravité</w:t>
            </w:r>
          </w:p>
        </w:tc>
        <w:tc>
          <w:tcPr>
            <w:shd w:val="clear" w:color="auto" w:fill="232C6B"/>
          </w:tcPr>
          <w:p>
            <w:pPr>
              <w:pStyle w:val="Compact"/>
            </w:pPr>
            <w:r>
              <w:rPr>
                <w:b/>
                <w:color w:val="FFFFFF"/>
                <w:sz w:val="17"/>
              </w:rPr>
              <w:t xml:space="preserve">Canaux</w:t>
            </w:r>
          </w:p>
        </w:tc>
        <w:tc>
          <w:tcPr>
            <w:shd w:val="clear" w:color="auto" w:fill="232C6B"/>
          </w:tcPr>
          <w:p>
            <w:pPr>
              <w:pStyle w:val="Compact"/>
            </w:pPr>
            <w:r>
              <w:rPr>
                <w:b/>
                <w:color w:val="FFFFFF"/>
                <w:sz w:val="17"/>
              </w:rPr>
              <w:t xml:space="preserve">M</w:t>
            </w:r>
          </w:p>
        </w:tc>
        <w:tc>
          <w:tcPr>
            <w:shd w:val="clear" w:color="auto" w:fill="232C6B"/>
          </w:tcPr>
          <w:p>
            <w:pPr>
              <w:pStyle w:val="Compact"/>
            </w:pPr>
            <w:r>
              <w:rPr>
                <w:b/>
                <w:color w:val="FFFFFF"/>
                <w:sz w:val="17"/>
              </w:rPr>
              <w:t xml:space="preserve">Public</w:t>
            </w:r>
          </w:p>
        </w:tc>
      </w:tr>
      <w:tr>
        <w:tc>
          <w:tcPr/>
          <w:p>
            <w:pPr>
              <w:pStyle w:val="Compact"/>
            </w:pPr>
            <w:r>
              <w:rPr>
                <w:rStyle w:val="VerbatimChar"/>
                <w:sz w:val="17"/>
              </w:rPr>
              <w:t xml:space="preserve">privacy.consent_request</w:t>
            </w:r>
          </w:p>
        </w:tc>
        <w:tc>
          <w:tcPr/>
          <w:p>
            <w:pPr>
              <w:pStyle w:val="Compact"/>
            </w:pPr>
            <w:r>
              <w:rPr>
                <w:sz w:val="17"/>
              </w:rPr>
              <w:t xml:space="preserve">Demande de consentement</w:t>
            </w:r>
          </w:p>
        </w:tc>
        <w:tc>
          <w:tcPr/>
          <w:p>
            <w:pPr>
              <w:pStyle w:val="Compact"/>
            </w:pPr>
            <w:r>
              <w:rPr>
                <w:sz w:val="17"/>
              </w:rPr>
              <w:t xml:space="preserve">Nous avons besoin de votre accord</w:t>
            </w:r>
          </w:p>
        </w:tc>
        <w:tc>
          <w:tcPr/>
          <w:p>
            <w:pPr>
              <w:pStyle w:val="Compact"/>
            </w:pPr>
            <w:r>
              <w:rPr>
                <w:sz w:val="17"/>
              </w:rPr>
              <w:t xml:space="preserve">info</w:t>
            </w:r>
          </w:p>
        </w:tc>
        <w:tc>
          <w:tcPr/>
          <w:p>
            <w:pPr>
              <w:pStyle w:val="Compact"/>
            </w:pPr>
            <w:r>
              <w:rPr>
                <w:sz w:val="17"/>
              </w:rPr>
              <w:t xml:space="preserve">EA</w:t>
            </w:r>
          </w:p>
        </w:tc>
        <w:tc>
          <w:tcPr/>
          <w:p>
            <w:pPr>
              <w:pStyle w:val="Compact"/>
            </w:pPr>
            <w:r>
              <w:rPr>
                <w:sz w:val="17"/>
              </w:rPr>
              <w:t xml:space="preserve">M</w:t>
            </w:r>
          </w:p>
        </w:tc>
        <w:tc>
          <w:tcPr/>
          <w:p>
            <w:pPr>
              <w:pStyle w:val="Compact"/>
            </w:pPr>
            <w:r>
              <w:rPr>
                <w:sz w:val="17"/>
              </w:rPr>
              <w:t xml:space="preserve">C</w:t>
            </w:r>
          </w:p>
        </w:tc>
      </w:tr>
      <w:tr>
        <w:tc>
          <w:tcPr>
            <w:shd w:val="clear" w:color="auto" w:fill="F5F7FB"/>
          </w:tcPr>
          <w:p>
            <w:pPr>
              <w:pStyle w:val="Compact"/>
            </w:pPr>
            <w:r>
              <w:rPr>
                <w:rStyle w:val="VerbatimChar"/>
                <w:sz w:val="17"/>
              </w:rPr>
              <w:t xml:space="preserve">privacy.consent_updated</w:t>
            </w:r>
          </w:p>
        </w:tc>
        <w:tc>
          <w:tcPr>
            <w:shd w:val="clear" w:color="auto" w:fill="F5F7FB"/>
          </w:tcPr>
          <w:p>
            <w:pPr>
              <w:pStyle w:val="Compact"/>
            </w:pPr>
            <w:r>
              <w:rPr>
                <w:sz w:val="17"/>
              </w:rPr>
              <w:t xml:space="preserve">Consentement mis à jour</w:t>
            </w:r>
          </w:p>
        </w:tc>
        <w:tc>
          <w:tcPr>
            <w:shd w:val="clear" w:color="auto" w:fill="F5F7FB"/>
          </w:tcPr>
          <w:p>
            <w:pPr>
              <w:pStyle w:val="Compact"/>
            </w:pPr>
            <w:r>
              <w:rPr>
                <w:sz w:val="17"/>
              </w:rPr>
              <w:t xml:space="preserve">Vos préférences ont été mises à jour</w:t>
            </w:r>
          </w:p>
        </w:tc>
        <w:tc>
          <w:tcPr>
            <w:shd w:val="clear" w:color="auto" w:fill="F5F7FB"/>
          </w:tcPr>
          <w:p>
            <w:pPr>
              <w:pStyle w:val="Compact"/>
            </w:pPr>
            <w:r>
              <w:rPr>
                <w:sz w:val="17"/>
              </w:rPr>
              <w:t xml:space="preserve">info</w:t>
            </w:r>
          </w:p>
        </w:tc>
        <w:tc>
          <w:tcPr>
            <w:shd w:val="clear" w:color="auto" w:fill="F5F7FB"/>
          </w:tcPr>
          <w:p>
            <w:pPr>
              <w:pStyle w:val="Compact"/>
            </w:pPr>
            <w:r>
              <w:rPr>
                <w:sz w:val="17"/>
              </w:rPr>
              <w:t xml:space="preserve">EA+W</w:t>
            </w:r>
          </w:p>
        </w:tc>
        <w:tc>
          <w:tcPr>
            <w:shd w:val="clear" w:color="auto" w:fill="F5F7FB"/>
          </w:tcPr>
          <w:p>
            <w:pPr>
              <w:pStyle w:val="Compact"/>
            </w:pPr>
          </w:p>
        </w:tc>
        <w:tc>
          <w:tcPr>
            <w:shd w:val="clear" w:color="auto" w:fill="F5F7FB"/>
          </w:tcPr>
          <w:p>
            <w:pPr>
              <w:pStyle w:val="Compact"/>
            </w:pPr>
            <w:r>
              <w:rPr>
                <w:sz w:val="17"/>
              </w:rPr>
              <w:t xml:space="preserve">C</w:t>
            </w:r>
          </w:p>
        </w:tc>
      </w:tr>
      <w:tr>
        <w:tc>
          <w:tcPr/>
          <w:p>
            <w:pPr>
              <w:pStyle w:val="Compact"/>
            </w:pPr>
            <w:r>
              <w:rPr>
                <w:rStyle w:val="VerbatimChar"/>
                <w:sz w:val="17"/>
              </w:rPr>
              <w:t xml:space="preserve">privacy.access_request.received</w:t>
            </w:r>
          </w:p>
        </w:tc>
        <w:tc>
          <w:tcPr/>
          <w:p>
            <w:pPr>
              <w:pStyle w:val="Compact"/>
            </w:pPr>
            <w:r>
              <w:rPr>
                <w:sz w:val="17"/>
              </w:rPr>
              <w:t xml:space="preserve">Demande d’accès reçue</w:t>
            </w:r>
          </w:p>
        </w:tc>
        <w:tc>
          <w:tcPr/>
          <w:p>
            <w:pPr>
              <w:pStyle w:val="Compact"/>
            </w:pPr>
            <w:r>
              <w:rPr>
                <w:sz w:val="17"/>
              </w:rPr>
              <w:t xml:space="preserve">Votre demande d’accès à vos données est enregistrée</w:t>
            </w:r>
          </w:p>
        </w:tc>
        <w:tc>
          <w:tcPr/>
          <w:p>
            <w:pPr>
              <w:pStyle w:val="Compact"/>
            </w:pPr>
            <w:r>
              <w:rPr>
                <w:sz w:val="17"/>
              </w:rPr>
              <w:t xml:space="preserve">info</w:t>
            </w:r>
          </w:p>
        </w:tc>
        <w:tc>
          <w:tcPr/>
          <w:p>
            <w:pPr>
              <w:pStyle w:val="Compact"/>
            </w:pPr>
            <w:r>
              <w:rPr>
                <w:sz w:val="17"/>
              </w:rPr>
              <w:t xml:space="preserve">EA</w:t>
            </w:r>
          </w:p>
        </w:tc>
        <w:tc>
          <w:tcPr/>
          <w:p>
            <w:pPr>
              <w:pStyle w:val="Compact"/>
            </w:pPr>
            <w:r>
              <w:rPr>
                <w:sz w:val="17"/>
              </w:rPr>
              <w:t xml:space="preserve">M</w:t>
            </w:r>
          </w:p>
        </w:tc>
        <w:tc>
          <w:tcPr/>
          <w:p>
            <w:pPr>
              <w:pStyle w:val="Compact"/>
            </w:pPr>
            <w:r>
              <w:rPr>
                <w:sz w:val="17"/>
              </w:rPr>
              <w:t xml:space="preserve">C</w:t>
            </w:r>
          </w:p>
        </w:tc>
      </w:tr>
      <w:tr>
        <w:tc>
          <w:tcPr>
            <w:shd w:val="clear" w:color="auto" w:fill="F5F7FB"/>
          </w:tcPr>
          <w:p>
            <w:pPr>
              <w:pStyle w:val="Compact"/>
            </w:pPr>
            <w:r>
              <w:rPr>
                <w:rStyle w:val="VerbatimChar"/>
                <w:sz w:val="17"/>
              </w:rPr>
              <w:t xml:space="preserve">privacy.data_export_ready</w:t>
            </w:r>
          </w:p>
        </w:tc>
        <w:tc>
          <w:tcPr>
            <w:shd w:val="clear" w:color="auto" w:fill="F5F7FB"/>
          </w:tcPr>
          <w:p>
            <w:pPr>
              <w:pStyle w:val="Compact"/>
            </w:pPr>
            <w:r>
              <w:rPr>
                <w:sz w:val="17"/>
              </w:rPr>
              <w:t xml:space="preserve">Export de données prêt</w:t>
            </w:r>
          </w:p>
        </w:tc>
        <w:tc>
          <w:tcPr>
            <w:shd w:val="clear" w:color="auto" w:fill="F5F7FB"/>
          </w:tcPr>
          <w:p>
            <w:pPr>
              <w:pStyle w:val="Compact"/>
            </w:pPr>
            <w:r>
              <w:rPr>
                <w:sz w:val="17"/>
              </w:rPr>
              <w:t xml:space="preserve">Votre export de données est prêt</w:t>
            </w:r>
          </w:p>
        </w:tc>
        <w:tc>
          <w:tcPr>
            <w:shd w:val="clear" w:color="auto" w:fill="F5F7FB"/>
          </w:tcPr>
          <w:p>
            <w:pPr>
              <w:pStyle w:val="Compact"/>
            </w:pPr>
            <w:r>
              <w:rPr>
                <w:sz w:val="17"/>
              </w:rPr>
              <w:t xml:space="preserve">success</w:t>
            </w:r>
          </w:p>
        </w:tc>
        <w:tc>
          <w:tcPr>
            <w:shd w:val="clear" w:color="auto" w:fill="F5F7FB"/>
          </w:tcPr>
          <w:p>
            <w:pPr>
              <w:pStyle w:val="Compact"/>
            </w:pPr>
            <w:r>
              <w:rPr>
                <w:sz w:val="17"/>
              </w:rPr>
              <w:t xml:space="preserve">EA+W</w:t>
            </w:r>
          </w:p>
        </w:tc>
        <w:tc>
          <w:tcPr>
            <w:shd w:val="clear" w:color="auto" w:fill="F5F7FB"/>
          </w:tcPr>
          <w:p>
            <w:pPr>
              <w:pStyle w:val="Compact"/>
            </w:pPr>
          </w:p>
        </w:tc>
        <w:tc>
          <w:tcPr>
            <w:shd w:val="clear" w:color="auto" w:fill="F5F7FB"/>
          </w:tcPr>
          <w:p>
            <w:pPr>
              <w:pStyle w:val="Compact"/>
            </w:pPr>
            <w:r>
              <w:rPr>
                <w:sz w:val="17"/>
              </w:rPr>
              <w:t xml:space="preserve">C</w:t>
            </w:r>
          </w:p>
        </w:tc>
      </w:tr>
      <w:tr>
        <w:tc>
          <w:tcPr/>
          <w:p>
            <w:pPr>
              <w:pStyle w:val="Compact"/>
            </w:pPr>
            <w:r>
              <w:rPr>
                <w:rStyle w:val="VerbatimChar"/>
                <w:sz w:val="17"/>
              </w:rPr>
              <w:t xml:space="preserve">privacy.rectification.done</w:t>
            </w:r>
          </w:p>
        </w:tc>
        <w:tc>
          <w:tcPr/>
          <w:p>
            <w:pPr>
              <w:pStyle w:val="Compact"/>
            </w:pPr>
            <w:r>
              <w:rPr>
                <w:sz w:val="17"/>
              </w:rPr>
              <w:t xml:space="preserve">Rectification effectuée</w:t>
            </w:r>
          </w:p>
        </w:tc>
        <w:tc>
          <w:tcPr/>
          <w:p>
            <w:pPr>
              <w:pStyle w:val="Compact"/>
            </w:pPr>
            <w:r>
              <w:rPr>
                <w:sz w:val="17"/>
              </w:rPr>
              <w:t xml:space="preserve">Vos données ont été rectifiées</w:t>
            </w:r>
          </w:p>
        </w:tc>
        <w:tc>
          <w:tcPr/>
          <w:p>
            <w:pPr>
              <w:pStyle w:val="Compact"/>
            </w:pPr>
            <w:r>
              <w:rPr>
                <w:sz w:val="17"/>
              </w:rPr>
              <w:t xml:space="preserve">success</w:t>
            </w:r>
          </w:p>
        </w:tc>
        <w:tc>
          <w:tcPr/>
          <w:p>
            <w:pPr>
              <w:pStyle w:val="Compact"/>
            </w:pPr>
            <w:r>
              <w:rPr>
                <w:sz w:val="17"/>
              </w:rPr>
              <w:t xml:space="preserve">EA</w:t>
            </w:r>
          </w:p>
        </w:tc>
        <w:tc>
          <w:tcPr/>
          <w:p>
            <w:pPr>
              <w:pStyle w:val="Compact"/>
            </w:pPr>
            <w:r>
              <w:rPr>
                <w:sz w:val="17"/>
              </w:rPr>
              <w:t xml:space="preserve">M</w:t>
            </w:r>
          </w:p>
        </w:tc>
        <w:tc>
          <w:tcPr/>
          <w:p>
            <w:pPr>
              <w:pStyle w:val="Compact"/>
            </w:pPr>
            <w:r>
              <w:rPr>
                <w:sz w:val="17"/>
              </w:rPr>
              <w:t xml:space="preserve">C</w:t>
            </w:r>
          </w:p>
        </w:tc>
      </w:tr>
      <w:tr>
        <w:tc>
          <w:tcPr>
            <w:shd w:val="clear" w:color="auto" w:fill="F5F7FB"/>
          </w:tcPr>
          <w:p>
            <w:pPr>
              <w:pStyle w:val="Compact"/>
            </w:pPr>
            <w:r>
              <w:rPr>
                <w:rStyle w:val="VerbatimChar"/>
                <w:sz w:val="17"/>
              </w:rPr>
              <w:t xml:space="preserve">privacy.data_shared_with_partner</w:t>
            </w:r>
          </w:p>
        </w:tc>
        <w:tc>
          <w:tcPr>
            <w:shd w:val="clear" w:color="auto" w:fill="F5F7FB"/>
          </w:tcPr>
          <w:p>
            <w:pPr>
              <w:pStyle w:val="Compact"/>
            </w:pPr>
            <w:r>
              <w:rPr>
                <w:sz w:val="17"/>
              </w:rPr>
              <w:t xml:space="preserve">Partage de données</w:t>
            </w:r>
          </w:p>
        </w:tc>
        <w:tc>
          <w:tcPr>
            <w:shd w:val="clear" w:color="auto" w:fill="F5F7FB"/>
          </w:tcPr>
          <w:p>
            <w:pPr>
              <w:pStyle w:val="Compact"/>
            </w:pPr>
            <w:r>
              <w:rPr>
                <w:sz w:val="17"/>
              </w:rPr>
              <w:t xml:space="preserve">Vos données ont été communiquées à {{destinataire}} ({{base_legale}})</w:t>
            </w:r>
          </w:p>
        </w:tc>
        <w:tc>
          <w:tcPr>
            <w:shd w:val="clear" w:color="auto" w:fill="F5F7FB"/>
          </w:tcPr>
          <w:p>
            <w:pPr>
              <w:pStyle w:val="Compact"/>
            </w:pPr>
            <w:r>
              <w:rPr>
                <w:sz w:val="17"/>
              </w:rPr>
              <w:t xml:space="preserve">info</w:t>
            </w:r>
          </w:p>
        </w:tc>
        <w:tc>
          <w:tcPr>
            <w:shd w:val="clear" w:color="auto" w:fill="F5F7FB"/>
          </w:tcPr>
          <w:p>
            <w:pPr>
              <w:pStyle w:val="Compact"/>
            </w:pPr>
            <w:r>
              <w:rPr>
                <w:sz w:val="17"/>
              </w:rPr>
              <w:t xml:space="preserve">EA</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C</w:t>
            </w:r>
          </w:p>
        </w:tc>
      </w:tr>
      <w:tr>
        <w:tc>
          <w:tcPr/>
          <w:p>
            <w:pPr>
              <w:pStyle w:val="Compact"/>
            </w:pPr>
            <w:r>
              <w:rPr>
                <w:rStyle w:val="VerbatimChar"/>
                <w:sz w:val="17"/>
              </w:rPr>
              <w:t xml:space="preserve">privacy.breach_notification</w:t>
            </w:r>
          </w:p>
        </w:tc>
        <w:tc>
          <w:tcPr/>
          <w:p>
            <w:pPr>
              <w:pStyle w:val="Compact"/>
            </w:pPr>
            <w:r>
              <w:rPr>
                <w:sz w:val="17"/>
              </w:rPr>
              <w:t xml:space="preserve">Violation de données</w:t>
            </w:r>
          </w:p>
        </w:tc>
        <w:tc>
          <w:tcPr/>
          <w:p>
            <w:pPr>
              <w:pStyle w:val="Compact"/>
            </w:pPr>
            <w:r>
              <w:rPr>
                <w:sz w:val="17"/>
              </w:rPr>
              <w:t xml:space="preserve">Information sur un incident de données</w:t>
            </w:r>
          </w:p>
        </w:tc>
        <w:tc>
          <w:tcPr/>
          <w:p>
            <w:pPr>
              <w:pStyle w:val="Compact"/>
            </w:pPr>
            <w:r>
              <w:rPr>
                <w:sz w:val="17"/>
              </w:rPr>
              <w:t xml:space="preserve">critical</w:t>
            </w:r>
          </w:p>
        </w:tc>
        <w:tc>
          <w:tcPr/>
          <w:p>
            <w:pPr>
              <w:pStyle w:val="Compact"/>
            </w:pPr>
            <w:r>
              <w:rPr>
                <w:sz w:val="17"/>
              </w:rPr>
              <w:t xml:space="preserve">EASC</w:t>
            </w:r>
          </w:p>
        </w:tc>
        <w:tc>
          <w:tcPr/>
          <w:p>
            <w:pPr>
              <w:pStyle w:val="Compact"/>
            </w:pPr>
            <w:r>
              <w:rPr>
                <w:sz w:val="17"/>
              </w:rPr>
              <w:t xml:space="preserve">M</w:t>
            </w:r>
          </w:p>
        </w:tc>
        <w:tc>
          <w:tcPr/>
          <w:p>
            <w:pPr>
              <w:pStyle w:val="Compact"/>
            </w:pPr>
            <w:r>
              <w:rPr>
                <w:sz w:val="17"/>
              </w:rPr>
              <w:t xml:space="preserve">C</w:t>
            </w:r>
          </w:p>
        </w:tc>
      </w:tr>
      <w:tr>
        <w:tc>
          <w:tcPr>
            <w:shd w:val="clear" w:color="auto" w:fill="F5F7FB"/>
          </w:tcPr>
          <w:p>
            <w:pPr>
              <w:pStyle w:val="Compact"/>
            </w:pPr>
            <w:r>
              <w:rPr>
                <w:rStyle w:val="VerbatimChar"/>
                <w:sz w:val="17"/>
              </w:rPr>
              <w:t xml:space="preserve">privacy.rectification.received</w:t>
            </w:r>
          </w:p>
        </w:tc>
        <w:tc>
          <w:tcPr>
            <w:shd w:val="clear" w:color="auto" w:fill="F5F7FB"/>
          </w:tcPr>
          <w:p>
            <w:pPr>
              <w:pStyle w:val="Compact"/>
            </w:pPr>
            <w:r>
              <w:rPr>
                <w:sz w:val="17"/>
              </w:rPr>
              <w:t xml:space="preserve">Demande de rectification reçue</w:t>
            </w:r>
          </w:p>
        </w:tc>
        <w:tc>
          <w:tcPr>
            <w:shd w:val="clear" w:color="auto" w:fill="F5F7FB"/>
          </w:tcPr>
          <w:p>
            <w:pPr>
              <w:pStyle w:val="Compact"/>
            </w:pPr>
            <w:r>
              <w:rPr>
                <w:sz w:val="17"/>
              </w:rPr>
              <w:t xml:space="preserve">Votre demande de rectification est enregistrée</w:t>
            </w:r>
          </w:p>
        </w:tc>
        <w:tc>
          <w:tcPr>
            <w:shd w:val="clear" w:color="auto" w:fill="F5F7FB"/>
          </w:tcPr>
          <w:p>
            <w:pPr>
              <w:pStyle w:val="Compact"/>
            </w:pPr>
            <w:r>
              <w:rPr>
                <w:sz w:val="17"/>
              </w:rPr>
              <w:t xml:space="preserve">info</w:t>
            </w:r>
          </w:p>
        </w:tc>
        <w:tc>
          <w:tcPr>
            <w:shd w:val="clear" w:color="auto" w:fill="F5F7FB"/>
          </w:tcPr>
          <w:p>
            <w:pPr>
              <w:pStyle w:val="Compact"/>
            </w:pPr>
            <w:r>
              <w:rPr>
                <w:sz w:val="17"/>
              </w:rPr>
              <w:t xml:space="preserve">EA</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C</w:t>
            </w:r>
          </w:p>
        </w:tc>
      </w:tr>
    </w:tbl>
    <w:bookmarkEnd w:id="607"/>
    <w:bookmarkStart w:id="608" w:name="X2331bdd2c5877a091b5661e9d4c47e060cde77b"/>
    <w:p>
      <w:pPr>
        <w:pStyle w:val="Heading2"/>
      </w:pPr>
      <w:r>
        <w:t xml:space="preserve">G.24 Partenaires, contrats et points de paiement</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shd w:val="clear" w:color="auto" w:fill="232C6B"/>
          </w:tcPr>
          <w:p>
            <w:pPr>
              <w:pStyle w:val="Compact"/>
            </w:pPr>
            <w:r>
              <w:rPr>
                <w:b/>
                <w:color w:val="FFFFFF"/>
                <w:sz w:val="17"/>
              </w:rPr>
              <w:t xml:space="preserve">Code</w:t>
            </w:r>
          </w:p>
        </w:tc>
        <w:tc>
          <w:tcPr>
            <w:shd w:val="clear" w:color="auto" w:fill="232C6B"/>
          </w:tcPr>
          <w:p>
            <w:pPr>
              <w:pStyle w:val="Compact"/>
            </w:pPr>
            <w:r>
              <w:rPr>
                <w:b/>
                <w:color w:val="FFFFFF"/>
                <w:sz w:val="17"/>
              </w:rPr>
              <w:t xml:space="preserve">Événement</w:t>
            </w:r>
          </w:p>
        </w:tc>
        <w:tc>
          <w:tcPr>
            <w:shd w:val="clear" w:color="auto" w:fill="232C6B"/>
          </w:tcPr>
          <w:p>
            <w:pPr>
              <w:pStyle w:val="Compact"/>
            </w:pPr>
            <w:r>
              <w:rPr>
                <w:b/>
                <w:color w:val="FFFFFF"/>
                <w:sz w:val="17"/>
              </w:rPr>
              <w:t xml:space="preserve">Objet du message (fr)</w:t>
            </w:r>
          </w:p>
        </w:tc>
        <w:tc>
          <w:tcPr>
            <w:shd w:val="clear" w:color="auto" w:fill="232C6B"/>
          </w:tcPr>
          <w:p>
            <w:pPr>
              <w:pStyle w:val="Compact"/>
            </w:pPr>
            <w:r>
              <w:rPr>
                <w:b/>
                <w:color w:val="FFFFFF"/>
                <w:sz w:val="17"/>
              </w:rPr>
              <w:t xml:space="preserve">Gravité</w:t>
            </w:r>
          </w:p>
        </w:tc>
        <w:tc>
          <w:tcPr>
            <w:shd w:val="clear" w:color="auto" w:fill="232C6B"/>
          </w:tcPr>
          <w:p>
            <w:pPr>
              <w:pStyle w:val="Compact"/>
            </w:pPr>
            <w:r>
              <w:rPr>
                <w:b/>
                <w:color w:val="FFFFFF"/>
                <w:sz w:val="17"/>
              </w:rPr>
              <w:t xml:space="preserve">Canaux</w:t>
            </w:r>
          </w:p>
        </w:tc>
        <w:tc>
          <w:tcPr>
            <w:shd w:val="clear" w:color="auto" w:fill="232C6B"/>
          </w:tcPr>
          <w:p>
            <w:pPr>
              <w:pStyle w:val="Compact"/>
            </w:pPr>
            <w:r>
              <w:rPr>
                <w:b/>
                <w:color w:val="FFFFFF"/>
                <w:sz w:val="17"/>
              </w:rPr>
              <w:t xml:space="preserve">M</w:t>
            </w:r>
          </w:p>
        </w:tc>
        <w:tc>
          <w:tcPr>
            <w:shd w:val="clear" w:color="auto" w:fill="232C6B"/>
          </w:tcPr>
          <w:p>
            <w:pPr>
              <w:pStyle w:val="Compact"/>
            </w:pPr>
            <w:r>
              <w:rPr>
                <w:b/>
                <w:color w:val="FFFFFF"/>
                <w:sz w:val="17"/>
              </w:rPr>
              <w:t xml:space="preserve">Public</w:t>
            </w:r>
          </w:p>
        </w:tc>
      </w:tr>
      <w:tr>
        <w:tc>
          <w:tcPr/>
          <w:p>
            <w:pPr>
              <w:pStyle w:val="Compact"/>
            </w:pPr>
            <w:r>
              <w:rPr>
                <w:rStyle w:val="VerbatimChar"/>
                <w:sz w:val="17"/>
              </w:rPr>
              <w:t xml:space="preserve">partner.api_key.expiring</w:t>
            </w:r>
          </w:p>
        </w:tc>
        <w:tc>
          <w:tcPr/>
          <w:p>
            <w:pPr>
              <w:pStyle w:val="Compact"/>
            </w:pPr>
            <w:r>
              <w:rPr>
                <w:sz w:val="17"/>
              </w:rPr>
              <w:t xml:space="preserve">Clé d’API bientôt expirée</w:t>
            </w:r>
          </w:p>
        </w:tc>
        <w:tc>
          <w:tcPr/>
          <w:p>
            <w:pPr>
              <w:pStyle w:val="Compact"/>
            </w:pPr>
            <w:r>
              <w:rPr>
                <w:sz w:val="17"/>
              </w:rPr>
              <w:t xml:space="preserve">Clé d’API {{partenaire}} expire le {{date}}</w:t>
            </w:r>
          </w:p>
        </w:tc>
        <w:tc>
          <w:tcPr/>
          <w:p>
            <w:pPr>
              <w:pStyle w:val="Compact"/>
            </w:pPr>
            <w:r>
              <w:rPr>
                <w:sz w:val="17"/>
              </w:rPr>
              <w:t xml:space="preserve">warning</w:t>
            </w:r>
          </w:p>
        </w:tc>
        <w:tc>
          <w:tcPr/>
          <w:p>
            <w:pPr>
              <w:pStyle w:val="Compact"/>
            </w:pPr>
            <w:r>
              <w:rPr>
                <w:sz w:val="17"/>
              </w:rPr>
              <w:t xml:space="preserve">EA</w:t>
            </w:r>
          </w:p>
        </w:tc>
        <w:tc>
          <w:tcPr/>
          <w:p>
            <w:pPr>
              <w:pStyle w:val="Compact"/>
            </w:pPr>
            <w:r>
              <w:rPr>
                <w:sz w:val="17"/>
              </w:rPr>
              <w:t xml:space="preserve">M</w:t>
            </w:r>
          </w:p>
        </w:tc>
        <w:tc>
          <w:tcPr/>
          <w:p>
            <w:pPr>
              <w:pStyle w:val="Compact"/>
            </w:pPr>
            <w:r>
              <w:rPr>
                <w:sz w:val="17"/>
              </w:rPr>
              <w:t xml:space="preserve">X</w:t>
            </w:r>
          </w:p>
        </w:tc>
      </w:tr>
      <w:tr>
        <w:tc>
          <w:tcPr>
            <w:shd w:val="clear" w:color="auto" w:fill="F5F7FB"/>
          </w:tcPr>
          <w:p>
            <w:pPr>
              <w:pStyle w:val="Compact"/>
            </w:pPr>
            <w:r>
              <w:rPr>
                <w:rStyle w:val="VerbatimChar"/>
                <w:sz w:val="17"/>
              </w:rPr>
              <w:t xml:space="preserve">partner.callback.signature_invalid</w:t>
            </w:r>
          </w:p>
        </w:tc>
        <w:tc>
          <w:tcPr>
            <w:shd w:val="clear" w:color="auto" w:fill="F5F7FB"/>
          </w:tcPr>
          <w:p>
            <w:pPr>
              <w:pStyle w:val="Compact"/>
            </w:pPr>
            <w:r>
              <w:rPr>
                <w:sz w:val="17"/>
              </w:rPr>
              <w:t xml:space="preserve">Signature de rappel invalide</w:t>
            </w:r>
          </w:p>
        </w:tc>
        <w:tc>
          <w:tcPr>
            <w:shd w:val="clear" w:color="auto" w:fill="F5F7FB"/>
          </w:tcPr>
          <w:p>
            <w:pPr>
              <w:pStyle w:val="Compact"/>
            </w:pPr>
            <w:r>
              <w:rPr>
                <w:sz w:val="17"/>
              </w:rPr>
              <w:t xml:space="preserve">Rappel rejeté : signature invalide</w:t>
            </w:r>
          </w:p>
        </w:tc>
        <w:tc>
          <w:tcPr>
            <w:shd w:val="clear" w:color="auto" w:fill="F5F7FB"/>
          </w:tcPr>
          <w:p>
            <w:pPr>
              <w:pStyle w:val="Compact"/>
            </w:pPr>
            <w:r>
              <w:rPr>
                <w:sz w:val="17"/>
              </w:rPr>
              <w:t xml:space="preserve">critical</w:t>
            </w:r>
          </w:p>
        </w:tc>
        <w:tc>
          <w:tcPr>
            <w:shd w:val="clear" w:color="auto" w:fill="F5F7FB"/>
          </w:tcPr>
          <w:p>
            <w:pPr>
              <w:pStyle w:val="Compact"/>
            </w:pPr>
            <w:r>
              <w:rPr>
                <w:sz w:val="17"/>
              </w:rPr>
              <w:t xml:space="preserve">EA</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GX</w:t>
            </w:r>
          </w:p>
        </w:tc>
      </w:tr>
      <w:tr>
        <w:tc>
          <w:tcPr/>
          <w:p>
            <w:pPr>
              <w:pStyle w:val="Compact"/>
            </w:pPr>
            <w:r>
              <w:rPr>
                <w:rStyle w:val="VerbatimChar"/>
                <w:sz w:val="17"/>
              </w:rPr>
              <w:t xml:space="preserve">partner.sla_breach</w:t>
            </w:r>
          </w:p>
        </w:tc>
        <w:tc>
          <w:tcPr/>
          <w:p>
            <w:pPr>
              <w:pStyle w:val="Compact"/>
            </w:pPr>
            <w:r>
              <w:rPr>
                <w:sz w:val="17"/>
              </w:rPr>
              <w:t xml:space="preserve">Engagement de service non tenu</w:t>
            </w:r>
          </w:p>
        </w:tc>
        <w:tc>
          <w:tcPr/>
          <w:p>
            <w:pPr>
              <w:pStyle w:val="Compact"/>
            </w:pPr>
            <w:r>
              <w:rPr>
                <w:sz w:val="17"/>
              </w:rPr>
              <w:t xml:space="preserve">SLA non respecté par {{partenaire}}</w:t>
            </w:r>
          </w:p>
        </w:tc>
        <w:tc>
          <w:tcPr/>
          <w:p>
            <w:pPr>
              <w:pStyle w:val="Compact"/>
            </w:pPr>
            <w:r>
              <w:rPr>
                <w:sz w:val="17"/>
              </w:rPr>
              <w:t xml:space="preserve">warning</w:t>
            </w:r>
          </w:p>
        </w:tc>
        <w:tc>
          <w:tcPr/>
          <w:p>
            <w:pPr>
              <w:pStyle w:val="Compact"/>
            </w:pPr>
            <w:r>
              <w:rPr>
                <w:sz w:val="17"/>
              </w:rPr>
              <w:t xml:space="preserve">EA</w:t>
            </w:r>
          </w:p>
        </w:tc>
        <w:tc>
          <w:tcPr/>
          <w:p>
            <w:pPr>
              <w:pStyle w:val="Compact"/>
            </w:pPr>
            <w:r>
              <w:rPr>
                <w:sz w:val="17"/>
              </w:rPr>
              <w:t xml:space="preserve">M</w:t>
            </w:r>
          </w:p>
        </w:tc>
        <w:tc>
          <w:tcPr/>
          <w:p>
            <w:pPr>
              <w:pStyle w:val="Compact"/>
            </w:pPr>
            <w:r>
              <w:rPr>
                <w:sz w:val="17"/>
              </w:rPr>
              <w:t xml:space="preserve">G</w:t>
            </w:r>
          </w:p>
        </w:tc>
      </w:tr>
      <w:tr>
        <w:tc>
          <w:tcPr>
            <w:shd w:val="clear" w:color="auto" w:fill="F5F7FB"/>
          </w:tcPr>
          <w:p>
            <w:pPr>
              <w:pStyle w:val="Compact"/>
            </w:pPr>
            <w:r>
              <w:rPr>
                <w:rStyle w:val="VerbatimChar"/>
                <w:sz w:val="17"/>
              </w:rPr>
              <w:t xml:space="preserve">payment_point.accredited</w:t>
            </w:r>
          </w:p>
        </w:tc>
        <w:tc>
          <w:tcPr>
            <w:shd w:val="clear" w:color="auto" w:fill="F5F7FB"/>
          </w:tcPr>
          <w:p>
            <w:pPr>
              <w:pStyle w:val="Compact"/>
            </w:pPr>
            <w:r>
              <w:rPr>
                <w:sz w:val="17"/>
              </w:rPr>
              <w:t xml:space="preserve">Point de paiement agréé</w:t>
            </w:r>
          </w:p>
        </w:tc>
        <w:tc>
          <w:tcPr>
            <w:shd w:val="clear" w:color="auto" w:fill="F5F7FB"/>
          </w:tcPr>
          <w:p>
            <w:pPr>
              <w:pStyle w:val="Compact"/>
            </w:pPr>
            <w:r>
              <w:rPr>
                <w:sz w:val="17"/>
              </w:rPr>
              <w:t xml:space="preserve">Point {{point}} agréé</w:t>
            </w:r>
          </w:p>
        </w:tc>
        <w:tc>
          <w:tcPr>
            <w:shd w:val="clear" w:color="auto" w:fill="F5F7FB"/>
          </w:tcPr>
          <w:p>
            <w:pPr>
              <w:pStyle w:val="Compact"/>
            </w:pPr>
            <w:r>
              <w:rPr>
                <w:sz w:val="17"/>
              </w:rPr>
              <w:t xml:space="preserve">success</w:t>
            </w:r>
          </w:p>
        </w:tc>
        <w:tc>
          <w:tcPr>
            <w:shd w:val="clear" w:color="auto" w:fill="F5F7FB"/>
          </w:tcPr>
          <w:p>
            <w:pPr>
              <w:pStyle w:val="Compact"/>
            </w:pPr>
            <w:r>
              <w:rPr>
                <w:sz w:val="17"/>
              </w:rPr>
              <w:t xml:space="preserve">EA</w:t>
            </w:r>
          </w:p>
        </w:tc>
        <w:tc>
          <w:tcPr>
            <w:shd w:val="clear" w:color="auto" w:fill="F5F7FB"/>
          </w:tcPr>
          <w:p>
            <w:pPr>
              <w:pStyle w:val="Compact"/>
            </w:pPr>
          </w:p>
        </w:tc>
        <w:tc>
          <w:tcPr>
            <w:shd w:val="clear" w:color="auto" w:fill="F5F7FB"/>
          </w:tcPr>
          <w:p>
            <w:pPr>
              <w:pStyle w:val="Compact"/>
            </w:pPr>
            <w:r>
              <w:rPr>
                <w:sz w:val="17"/>
              </w:rPr>
              <w:t xml:space="preserve">X</w:t>
            </w:r>
          </w:p>
        </w:tc>
      </w:tr>
      <w:tr>
        <w:tc>
          <w:tcPr/>
          <w:p>
            <w:pPr>
              <w:pStyle w:val="Compact"/>
            </w:pPr>
            <w:r>
              <w:rPr>
                <w:rStyle w:val="VerbatimChar"/>
                <w:sz w:val="17"/>
              </w:rPr>
              <w:t xml:space="preserve">payment_point.settlement_overdue</w:t>
            </w:r>
          </w:p>
        </w:tc>
        <w:tc>
          <w:tcPr/>
          <w:p>
            <w:pPr>
              <w:pStyle w:val="Compact"/>
            </w:pPr>
            <w:r>
              <w:rPr>
                <w:sz w:val="17"/>
              </w:rPr>
              <w:t xml:space="preserve">Reversement en retard</w:t>
            </w:r>
          </w:p>
        </w:tc>
        <w:tc>
          <w:tcPr/>
          <w:p>
            <w:pPr>
              <w:pStyle w:val="Compact"/>
            </w:pPr>
            <w:r>
              <w:rPr>
                <w:sz w:val="17"/>
              </w:rPr>
              <w:t xml:space="preserve">Reversement du point {{point}} en retard</w:t>
            </w:r>
          </w:p>
        </w:tc>
        <w:tc>
          <w:tcPr/>
          <w:p>
            <w:pPr>
              <w:pStyle w:val="Compact"/>
            </w:pPr>
            <w:r>
              <w:rPr>
                <w:sz w:val="17"/>
              </w:rPr>
              <w:t xml:space="preserve">critical</w:t>
            </w:r>
          </w:p>
        </w:tc>
        <w:tc>
          <w:tcPr/>
          <w:p>
            <w:pPr>
              <w:pStyle w:val="Compact"/>
            </w:pPr>
            <w:r>
              <w:rPr>
                <w:sz w:val="17"/>
              </w:rPr>
              <w:t xml:space="preserve">EAS</w:t>
            </w:r>
          </w:p>
        </w:tc>
        <w:tc>
          <w:tcPr/>
          <w:p>
            <w:pPr>
              <w:pStyle w:val="Compact"/>
            </w:pPr>
            <w:r>
              <w:rPr>
                <w:sz w:val="17"/>
              </w:rPr>
              <w:t xml:space="preserve">M</w:t>
            </w:r>
          </w:p>
        </w:tc>
        <w:tc>
          <w:tcPr/>
          <w:p>
            <w:pPr>
              <w:pStyle w:val="Compact"/>
            </w:pPr>
            <w:r>
              <w:rPr>
                <w:sz w:val="17"/>
              </w:rPr>
              <w:t xml:space="preserve">GX</w:t>
            </w:r>
          </w:p>
        </w:tc>
      </w:tr>
      <w:tr>
        <w:tc>
          <w:tcPr>
            <w:shd w:val="clear" w:color="auto" w:fill="F5F7FB"/>
          </w:tcPr>
          <w:p>
            <w:pPr>
              <w:pStyle w:val="Compact"/>
            </w:pPr>
            <w:r>
              <w:rPr>
                <w:rStyle w:val="VerbatimChar"/>
                <w:sz w:val="17"/>
              </w:rPr>
              <w:t xml:space="preserve">payment_point.suspended</w:t>
            </w:r>
          </w:p>
        </w:tc>
        <w:tc>
          <w:tcPr>
            <w:shd w:val="clear" w:color="auto" w:fill="F5F7FB"/>
          </w:tcPr>
          <w:p>
            <w:pPr>
              <w:pStyle w:val="Compact"/>
            </w:pPr>
            <w:r>
              <w:rPr>
                <w:sz w:val="17"/>
              </w:rPr>
              <w:t xml:space="preserve">Point de paiement suspendu</w:t>
            </w:r>
          </w:p>
        </w:tc>
        <w:tc>
          <w:tcPr>
            <w:shd w:val="clear" w:color="auto" w:fill="F5F7FB"/>
          </w:tcPr>
          <w:p>
            <w:pPr>
              <w:pStyle w:val="Compact"/>
            </w:pPr>
            <w:r>
              <w:rPr>
                <w:sz w:val="17"/>
              </w:rPr>
              <w:t xml:space="preserve">Point {{point}} suspendu</w:t>
            </w:r>
          </w:p>
        </w:tc>
        <w:tc>
          <w:tcPr>
            <w:shd w:val="clear" w:color="auto" w:fill="F5F7FB"/>
          </w:tcPr>
          <w:p>
            <w:pPr>
              <w:pStyle w:val="Compact"/>
            </w:pPr>
            <w:r>
              <w:rPr>
                <w:sz w:val="17"/>
              </w:rPr>
              <w:t xml:space="preserve">critical</w:t>
            </w:r>
          </w:p>
        </w:tc>
        <w:tc>
          <w:tcPr>
            <w:shd w:val="clear" w:color="auto" w:fill="F5F7FB"/>
          </w:tcPr>
          <w:p>
            <w:pPr>
              <w:pStyle w:val="Compact"/>
            </w:pPr>
            <w:r>
              <w:rPr>
                <w:sz w:val="17"/>
              </w:rPr>
              <w:t xml:space="preserve">EAS</w:t>
            </w:r>
          </w:p>
        </w:tc>
        <w:tc>
          <w:tcPr>
            <w:shd w:val="clear" w:color="auto" w:fill="F5F7FB"/>
          </w:tcPr>
          <w:p>
            <w:pPr>
              <w:pStyle w:val="Compact"/>
            </w:pPr>
            <w:r>
              <w:rPr>
                <w:sz w:val="17"/>
              </w:rPr>
              <w:t xml:space="preserve">M</w:t>
            </w:r>
          </w:p>
        </w:tc>
        <w:tc>
          <w:tcPr>
            <w:shd w:val="clear" w:color="auto" w:fill="F5F7FB"/>
          </w:tcPr>
          <w:p>
            <w:pPr>
              <w:pStyle w:val="Compact"/>
            </w:pPr>
            <w:r>
              <w:rPr>
                <w:sz w:val="17"/>
              </w:rPr>
              <w:t xml:space="preserve">X</w:t>
            </w:r>
          </w:p>
        </w:tc>
      </w:tr>
      <w:tr>
        <w:tc>
          <w:tcPr/>
          <w:p>
            <w:pPr>
              <w:pStyle w:val="Compact"/>
            </w:pPr>
            <w:r>
              <w:rPr>
                <w:rStyle w:val="VerbatimChar"/>
                <w:sz w:val="17"/>
              </w:rPr>
              <w:t xml:space="preserve">contract.expiring</w:t>
            </w:r>
          </w:p>
        </w:tc>
        <w:tc>
          <w:tcPr/>
          <w:p>
            <w:pPr>
              <w:pStyle w:val="Compact"/>
            </w:pPr>
            <w:r>
              <w:rPr>
                <w:sz w:val="17"/>
              </w:rPr>
              <w:t xml:space="preserve">Contrat bientôt échu</w:t>
            </w:r>
          </w:p>
        </w:tc>
        <w:tc>
          <w:tcPr/>
          <w:p>
            <w:pPr>
              <w:pStyle w:val="Compact"/>
            </w:pPr>
            <w:r>
              <w:rPr>
                <w:sz w:val="17"/>
              </w:rPr>
              <w:t xml:space="preserve">Contrat {{contrat}} échu le {{date}}</w:t>
            </w:r>
          </w:p>
        </w:tc>
        <w:tc>
          <w:tcPr/>
          <w:p>
            <w:pPr>
              <w:pStyle w:val="Compact"/>
            </w:pPr>
            <w:r>
              <w:rPr>
                <w:sz w:val="17"/>
              </w:rPr>
              <w:t xml:space="preserve">warning</w:t>
            </w:r>
          </w:p>
        </w:tc>
        <w:tc>
          <w:tcPr/>
          <w:p>
            <w:pPr>
              <w:pStyle w:val="Compact"/>
            </w:pPr>
            <w:r>
              <w:rPr>
                <w:sz w:val="17"/>
              </w:rPr>
              <w:t xml:space="preserve">EA</w:t>
            </w:r>
          </w:p>
        </w:tc>
        <w:tc>
          <w:tcPr/>
          <w:p>
            <w:pPr>
              <w:pStyle w:val="Compact"/>
            </w:pPr>
          </w:p>
        </w:tc>
        <w:tc>
          <w:tcPr/>
          <w:p>
            <w:pPr>
              <w:pStyle w:val="Compact"/>
            </w:pPr>
            <w:r>
              <w:rPr>
                <w:sz w:val="17"/>
              </w:rPr>
              <w:t xml:space="preserve">G</w:t>
            </w:r>
          </w:p>
        </w:tc>
      </w:tr>
      <w:tr>
        <w:tc>
          <w:tcPr>
            <w:shd w:val="clear" w:color="auto" w:fill="F5F7FB"/>
          </w:tcPr>
          <w:p>
            <w:pPr>
              <w:pStyle w:val="Compact"/>
            </w:pPr>
            <w:r>
              <w:rPr>
                <w:rStyle w:val="VerbatimChar"/>
                <w:sz w:val="17"/>
              </w:rPr>
              <w:t xml:space="preserve">subcontractor.agent.accredited</w:t>
            </w:r>
          </w:p>
        </w:tc>
        <w:tc>
          <w:tcPr>
            <w:shd w:val="clear" w:color="auto" w:fill="F5F7FB"/>
          </w:tcPr>
          <w:p>
            <w:pPr>
              <w:pStyle w:val="Compact"/>
            </w:pPr>
            <w:r>
              <w:rPr>
                <w:sz w:val="17"/>
              </w:rPr>
              <w:t xml:space="preserve">Agent accrédité</w:t>
            </w:r>
          </w:p>
        </w:tc>
        <w:tc>
          <w:tcPr>
            <w:shd w:val="clear" w:color="auto" w:fill="F5F7FB"/>
          </w:tcPr>
          <w:p>
            <w:pPr>
              <w:pStyle w:val="Compact"/>
            </w:pPr>
            <w:r>
              <w:rPr>
                <w:sz w:val="17"/>
              </w:rPr>
              <w:t xml:space="preserve">Agent {{agent}} accrédité</w:t>
            </w:r>
          </w:p>
        </w:tc>
        <w:tc>
          <w:tcPr>
            <w:shd w:val="clear" w:color="auto" w:fill="F5F7FB"/>
          </w:tcPr>
          <w:p>
            <w:pPr>
              <w:pStyle w:val="Compact"/>
            </w:pPr>
            <w:r>
              <w:rPr>
                <w:sz w:val="17"/>
              </w:rPr>
              <w:t xml:space="preserve">success</w:t>
            </w:r>
          </w:p>
        </w:tc>
        <w:tc>
          <w:tcPr>
            <w:shd w:val="clear" w:color="auto" w:fill="F5F7FB"/>
          </w:tcPr>
          <w:p>
            <w:pPr>
              <w:pStyle w:val="Compact"/>
            </w:pPr>
            <w:r>
              <w:rPr>
                <w:sz w:val="17"/>
              </w:rPr>
              <w:t xml:space="preserve">EA</w:t>
            </w:r>
          </w:p>
        </w:tc>
        <w:tc>
          <w:tcPr>
            <w:shd w:val="clear" w:color="auto" w:fill="F5F7FB"/>
          </w:tcPr>
          <w:p>
            <w:pPr>
              <w:pStyle w:val="Compact"/>
            </w:pPr>
          </w:p>
        </w:tc>
        <w:tc>
          <w:tcPr>
            <w:shd w:val="clear" w:color="auto" w:fill="F5F7FB"/>
          </w:tcPr>
          <w:p>
            <w:pPr>
              <w:pStyle w:val="Compact"/>
            </w:pPr>
            <w:r>
              <w:rPr>
                <w:sz w:val="17"/>
              </w:rPr>
              <w:t xml:space="preserve">X</w:t>
            </w:r>
          </w:p>
        </w:tc>
      </w:tr>
      <w:tr>
        <w:tc>
          <w:tcPr/>
          <w:p>
            <w:pPr>
              <w:pStyle w:val="Compact"/>
            </w:pPr>
            <w:r>
              <w:rPr>
                <w:rStyle w:val="VerbatimChar"/>
                <w:sz w:val="17"/>
              </w:rPr>
              <w:t xml:space="preserve">subcontractor.agent.revoked</w:t>
            </w:r>
          </w:p>
        </w:tc>
        <w:tc>
          <w:tcPr/>
          <w:p>
            <w:pPr>
              <w:pStyle w:val="Compact"/>
            </w:pPr>
            <w:r>
              <w:rPr>
                <w:sz w:val="17"/>
              </w:rPr>
              <w:t xml:space="preserve">Accréditation révoquée</w:t>
            </w:r>
          </w:p>
        </w:tc>
        <w:tc>
          <w:tcPr/>
          <w:p>
            <w:pPr>
              <w:pStyle w:val="Compact"/>
            </w:pPr>
            <w:r>
              <w:rPr>
                <w:sz w:val="17"/>
              </w:rPr>
              <w:t xml:space="preserve">Accréditation de {{agent}} révoquée</w:t>
            </w:r>
          </w:p>
        </w:tc>
        <w:tc>
          <w:tcPr/>
          <w:p>
            <w:pPr>
              <w:pStyle w:val="Compact"/>
            </w:pPr>
            <w:r>
              <w:rPr>
                <w:sz w:val="17"/>
              </w:rPr>
              <w:t xml:space="preserve">warning</w:t>
            </w:r>
          </w:p>
        </w:tc>
        <w:tc>
          <w:tcPr/>
          <w:p>
            <w:pPr>
              <w:pStyle w:val="Compact"/>
            </w:pPr>
            <w:r>
              <w:rPr>
                <w:sz w:val="17"/>
              </w:rPr>
              <w:t xml:space="preserve">EA</w:t>
            </w:r>
          </w:p>
        </w:tc>
        <w:tc>
          <w:tcPr/>
          <w:p>
            <w:pPr>
              <w:pStyle w:val="Compact"/>
            </w:pPr>
            <w:r>
              <w:rPr>
                <w:sz w:val="17"/>
              </w:rPr>
              <w:t xml:space="preserve">M</w:t>
            </w:r>
          </w:p>
        </w:tc>
        <w:tc>
          <w:tcPr/>
          <w:p>
            <w:pPr>
              <w:pStyle w:val="Compact"/>
            </w:pPr>
            <w:r>
              <w:rPr>
                <w:sz w:val="17"/>
              </w:rPr>
              <w:t xml:space="preserve">X</w:t>
            </w:r>
          </w:p>
        </w:tc>
      </w:tr>
      <w:tr>
        <w:tc>
          <w:tcPr>
            <w:shd w:val="clear" w:color="auto" w:fill="F5F7FB"/>
          </w:tcPr>
          <w:p>
            <w:pPr>
              <w:pStyle w:val="Compact"/>
            </w:pPr>
            <w:r>
              <w:rPr>
                <w:rStyle w:val="VerbatimChar"/>
                <w:sz w:val="17"/>
              </w:rPr>
              <w:t xml:space="preserve">subcontractor.accredited</w:t>
            </w:r>
          </w:p>
        </w:tc>
        <w:tc>
          <w:tcPr>
            <w:shd w:val="clear" w:color="auto" w:fill="F5F7FB"/>
          </w:tcPr>
          <w:p>
            <w:pPr>
              <w:pStyle w:val="Compact"/>
            </w:pPr>
            <w:r>
              <w:rPr>
                <w:sz w:val="17"/>
              </w:rPr>
              <w:t xml:space="preserve">Sous-traitant accrédité</w:t>
            </w:r>
          </w:p>
        </w:tc>
        <w:tc>
          <w:tcPr>
            <w:shd w:val="clear" w:color="auto" w:fill="F5F7FB"/>
          </w:tcPr>
          <w:p>
            <w:pPr>
              <w:pStyle w:val="Compact"/>
            </w:pPr>
            <w:r>
              <w:rPr>
                <w:sz w:val="17"/>
              </w:rPr>
              <w:t xml:space="preserve">Accréditation de {{nom}} décidée</w:t>
            </w:r>
          </w:p>
        </w:tc>
        <w:tc>
          <w:tcPr>
            <w:shd w:val="clear" w:color="auto" w:fill="F5F7FB"/>
          </w:tcPr>
          <w:p>
            <w:pPr>
              <w:pStyle w:val="Compact"/>
            </w:pPr>
            <w:r>
              <w:rPr>
                <w:sz w:val="17"/>
              </w:rPr>
              <w:t xml:space="preserve">info</w:t>
            </w:r>
          </w:p>
        </w:tc>
        <w:tc>
          <w:tcPr>
            <w:shd w:val="clear" w:color="auto" w:fill="F5F7FB"/>
          </w:tcPr>
          <w:p>
            <w:pPr>
              <w:pStyle w:val="Compact"/>
            </w:pPr>
            <w:r>
              <w:rPr>
                <w:sz w:val="17"/>
              </w:rPr>
              <w:t xml:space="preserve">EA</w:t>
            </w:r>
          </w:p>
        </w:tc>
        <w:tc>
          <w:tcPr>
            <w:shd w:val="clear" w:color="auto" w:fill="F5F7FB"/>
          </w:tcPr>
          <w:p>
            <w:pPr>
              <w:pStyle w:val="Compact"/>
            </w:pPr>
          </w:p>
        </w:tc>
        <w:tc>
          <w:tcPr>
            <w:shd w:val="clear" w:color="auto" w:fill="F5F7FB"/>
          </w:tcPr>
          <w:p>
            <w:pPr>
              <w:pStyle w:val="Compact"/>
            </w:pPr>
            <w:r>
              <w:rPr>
                <w:sz w:val="17"/>
              </w:rPr>
              <w:t xml:space="preserve">G</w:t>
            </w:r>
          </w:p>
        </w:tc>
      </w:tr>
      <w:tr>
        <w:tc>
          <w:tcPr/>
          <w:p>
            <w:pPr>
              <w:pStyle w:val="Compact"/>
            </w:pPr>
            <w:r>
              <w:rPr>
                <w:rStyle w:val="VerbatimChar"/>
                <w:sz w:val="17"/>
              </w:rPr>
              <w:t xml:space="preserve">subcontractor.suspended</w:t>
            </w:r>
          </w:p>
        </w:tc>
        <w:tc>
          <w:tcPr/>
          <w:p>
            <w:pPr>
              <w:pStyle w:val="Compact"/>
            </w:pPr>
            <w:r>
              <w:rPr>
                <w:sz w:val="17"/>
              </w:rPr>
              <w:t xml:space="preserve">Sous-traitant suspendu</w:t>
            </w:r>
          </w:p>
        </w:tc>
        <w:tc>
          <w:tcPr/>
          <w:p>
            <w:pPr>
              <w:pStyle w:val="Compact"/>
            </w:pPr>
            <w:r>
              <w:rPr>
                <w:sz w:val="17"/>
              </w:rPr>
              <w:t xml:space="preserve">Accréditation de {{nom}} suspendue — motif et recours</w:t>
            </w:r>
          </w:p>
        </w:tc>
        <w:tc>
          <w:tcPr/>
          <w:p>
            <w:pPr>
              <w:pStyle w:val="Compact"/>
            </w:pPr>
            <w:r>
              <w:rPr>
                <w:sz w:val="17"/>
              </w:rPr>
              <w:t xml:space="preserve">warning</w:t>
            </w:r>
          </w:p>
        </w:tc>
        <w:tc>
          <w:tcPr/>
          <w:p>
            <w:pPr>
              <w:pStyle w:val="Compact"/>
            </w:pPr>
            <w:r>
              <w:rPr>
                <w:sz w:val="17"/>
              </w:rPr>
              <w:t xml:space="preserve">EA</w:t>
            </w:r>
          </w:p>
        </w:tc>
        <w:tc>
          <w:tcPr/>
          <w:p>
            <w:pPr>
              <w:pStyle w:val="Compact"/>
            </w:pPr>
            <w:r>
              <w:rPr>
                <w:sz w:val="17"/>
              </w:rPr>
              <w:t xml:space="preserve">M</w:t>
            </w:r>
          </w:p>
        </w:tc>
        <w:tc>
          <w:tcPr/>
          <w:p>
            <w:pPr>
              <w:pStyle w:val="Compact"/>
            </w:pPr>
            <w:r>
              <w:rPr>
                <w:sz w:val="17"/>
              </w:rPr>
              <w:t xml:space="preserve">G</w:t>
            </w:r>
          </w:p>
        </w:tc>
      </w:tr>
      <w:tr>
        <w:tc>
          <w:tcPr>
            <w:shd w:val="clear" w:color="auto" w:fill="F5F7FB"/>
          </w:tcPr>
          <w:p>
            <w:pPr>
              <w:pStyle w:val="Compact"/>
            </w:pPr>
            <w:r>
              <w:rPr>
                <w:rStyle w:val="VerbatimChar"/>
                <w:sz w:val="17"/>
              </w:rPr>
              <w:t xml:space="preserve">payment_point.exception.opened</w:t>
            </w:r>
          </w:p>
        </w:tc>
        <w:tc>
          <w:tcPr>
            <w:shd w:val="clear" w:color="auto" w:fill="F5F7FB"/>
          </w:tcPr>
          <w:p>
            <w:pPr>
              <w:pStyle w:val="Compact"/>
            </w:pPr>
            <w:r>
              <w:rPr>
                <w:sz w:val="17"/>
              </w:rPr>
              <w:t xml:space="preserve">Exception de point de paiement</w:t>
            </w:r>
          </w:p>
        </w:tc>
        <w:tc>
          <w:tcPr>
            <w:shd w:val="clear" w:color="auto" w:fill="F5F7FB"/>
          </w:tcPr>
          <w:p>
            <w:pPr>
              <w:pStyle w:val="Compact"/>
            </w:pPr>
            <w:r>
              <w:rPr>
                <w:sz w:val="17"/>
              </w:rPr>
              <w:t xml:space="preserve">Écart de caisse ou versement en retard — {{reference}}</w:t>
            </w:r>
          </w:p>
        </w:tc>
        <w:tc>
          <w:tcPr>
            <w:shd w:val="clear" w:color="auto" w:fill="F5F7FB"/>
          </w:tcPr>
          <w:p>
            <w:pPr>
              <w:pStyle w:val="Compact"/>
            </w:pPr>
            <w:r>
              <w:rPr>
                <w:sz w:val="17"/>
              </w:rPr>
              <w:t xml:space="preserve">warning</w:t>
            </w:r>
          </w:p>
        </w:tc>
        <w:tc>
          <w:tcPr>
            <w:shd w:val="clear" w:color="auto" w:fill="F5F7FB"/>
          </w:tcPr>
          <w:p>
            <w:pPr>
              <w:pStyle w:val="Compact"/>
            </w:pPr>
            <w:r>
              <w:rPr>
                <w:sz w:val="17"/>
              </w:rPr>
              <w:t xml:space="preserve">EA</w:t>
            </w:r>
          </w:p>
        </w:tc>
        <w:tc>
          <w:tcPr>
            <w:shd w:val="clear" w:color="auto" w:fill="F5F7FB"/>
          </w:tcPr>
          <w:p>
            <w:pPr>
              <w:pStyle w:val="Compact"/>
            </w:pPr>
          </w:p>
        </w:tc>
        <w:tc>
          <w:tcPr>
            <w:shd w:val="clear" w:color="auto" w:fill="F5F7FB"/>
          </w:tcPr>
          <w:p>
            <w:pPr>
              <w:pStyle w:val="Compact"/>
            </w:pPr>
            <w:r>
              <w:rPr>
                <w:sz w:val="17"/>
              </w:rPr>
              <w:t xml:space="preserve">G</w:t>
            </w:r>
          </w:p>
        </w:tc>
      </w:tr>
    </w:tbl>
    <w:bookmarkEnd w:id="608"/>
    <w:bookmarkEnd w:id="609"/>
    <w:bookmarkStart w:id="632" w:name="X7578178bf97023afddf86b0166f85de44f95be9"/>
    <w:p>
      <w:pPr>
        <w:pStyle w:val="Heading1"/>
      </w:pPr>
      <w:r>
        <w:t xml:space="preserve">Annexe I — Modules construits et couverture des exigences</w:t>
      </w:r>
    </w:p>
    <w:p>
      <w:pPr>
        <w:pStyle w:val="FirstParagraph"/>
      </w:pPr>
      <w:r>
        <w:t xml:space="preserve">Cette annexe décrit,</w:t>
      </w:r>
      <w:r>
        <w:t xml:space="preserve"> </w:t>
      </w:r>
      <w:r>
        <w:rPr>
          <w:b/>
          <w:bCs/>
        </w:rPr>
        <w:t xml:space="preserve">tel que construit et testé</w:t>
      </w:r>
      <w:r>
        <w:t xml:space="preserve">, le logiciel qui met en œuvre le présent document. Elle résulte d’un audit exhaustif des quatre documents sources (Cahier des exigences consolidé v2, Spécification fonctionnelle des modules, Dossier du Gouverneur, Note exécutive) et du prompt « AI Operating System » :</w:t>
      </w:r>
      <w:r>
        <w:t xml:space="preserve"> </w:t>
      </w:r>
      <w:r>
        <w:rPr>
          <w:b/>
          <w:bCs/>
        </w:rPr>
        <w:t xml:space="preserve">3 793 exigences</w:t>
      </w:r>
      <w:r>
        <w:t xml:space="preserve"> </w:t>
      </w:r>
      <w:r>
        <w:t xml:space="preserve">relevées une à une, comparées au code, puis construites par lots. Les arbitrages du présent document (Annexe H) prévalent sur les sources en cas de contradiction.</w:t>
      </w:r>
    </w:p>
    <w:bookmarkStart w:id="610" w:name="i.0-architecture-dextension-et-synthèse"/>
    <w:p>
      <w:pPr>
        <w:pStyle w:val="Heading2"/>
      </w:pPr>
      <w:r>
        <w:t xml:space="preserve">I.0 Architecture d’extension et synthèse</w:t>
      </w:r>
    </w:p>
    <w:p>
      <w:pPr>
        <w:pStyle w:val="FirstParagraph"/>
      </w:pPr>
      <w:r>
        <w:t xml:space="preserve">Chaque verticale ou fonction transverse est un</w:t>
      </w:r>
      <w:r>
        <w:t xml:space="preserve"> </w:t>
      </w:r>
      <w:r>
        <w:rPr>
          <w:b/>
          <w:bCs/>
        </w:rPr>
        <w:t xml:space="preserve">module d’extension</w:t>
      </w:r>
      <w:r>
        <w:t xml:space="preserve"> </w:t>
      </w:r>
      <w:r>
        <w:t xml:space="preserve">qui réutilise le socle commun : compte unique, registre des règles à quatre visas, liquidation déterministe, paiement par référence vers le compte public, quittance signée, rapprochement à trois voies, grand livre, audit chaîné et communications.</w:t>
      </w:r>
      <w:r>
        <w:t xml:space="preserve"> </w:t>
      </w:r>
      <w:r>
        <w:rPr>
          <w:b/>
          <w:bCs/>
        </w:rPr>
        <w:t xml:space="preserve">Aucun module n’a son propre compte contribuable, ses propres règles ni son propre circuit de paiement</w:t>
      </w:r>
      <w:r>
        <w:t xml:space="preserve"> </w:t>
      </w:r>
      <w:r>
        <w:t xml:space="preserve">(§ 11.3). Les droits d’accès de chaque module sont déclarés dans le point de décision central (actions</w:t>
      </w:r>
      <w:r>
        <w:t xml:space="preserve"> </w:t>
      </w:r>
      <w:r>
        <w:rPr>
          <w:rStyle w:val="VerbatimChar"/>
        </w:rPr>
        <w:t xml:space="preserve">module:action</w:t>
      </w:r>
      <w:r>
        <w:t xml:space="preserve">, refus par défaut, jamais permises à l’IA).</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584"/>
        <w:gridCol w:w="1584"/>
        <w:gridCol w:w="1584"/>
        <w:gridCol w:w="1584"/>
        <w:gridCol w:w="1584"/>
      </w:tblGrid>
      <w:tr>
        <w:trPr>
          <w:tblHeader w:val="on"/>
        </w:trPr>
        <w:tc>
          <w:tcPr>
            <w:shd w:val="clear" w:color="auto" w:fill="232C6B"/>
          </w:tcPr>
          <w:p>
            <w:pPr>
              <w:pStyle w:val="Compact"/>
            </w:pPr>
            <w:r>
              <w:rPr>
                <w:b/>
                <w:color w:val="FFFFFF"/>
                <w:sz w:val="17"/>
              </w:rPr>
              <w:t xml:space="preserve">Module</w:t>
            </w:r>
          </w:p>
        </w:tc>
        <w:tc>
          <w:tcPr>
            <w:shd w:val="clear" w:color="auto" w:fill="232C6B"/>
          </w:tcPr>
          <w:p>
            <w:pPr>
              <w:pStyle w:val="Compact"/>
            </w:pPr>
            <w:r>
              <w:rPr>
                <w:b/>
                <w:color w:val="FFFFFF"/>
                <w:sz w:val="17"/>
              </w:rPr>
              <w:t xml:space="preserve">Extension(s)</w:t>
            </w:r>
          </w:p>
        </w:tc>
        <w:tc>
          <w:tcPr>
            <w:shd w:val="clear" w:color="auto" w:fill="232C6B"/>
          </w:tcPr>
          <w:p>
            <w:pPr>
              <w:pStyle w:val="Compact"/>
            </w:pPr>
            <w:r>
              <w:rPr>
                <w:b/>
                <w:color w:val="FFFFFF"/>
                <w:sz w:val="17"/>
              </w:rPr>
              <w:t xml:space="preserve">Routes API</w:t>
            </w:r>
          </w:p>
        </w:tc>
        <w:tc>
          <w:tcPr>
            <w:shd w:val="clear" w:color="auto" w:fill="232C6B"/>
          </w:tcPr>
          <w:p>
            <w:pPr>
              <w:pStyle w:val="Compact"/>
            </w:pPr>
            <w:r>
              <w:rPr>
                <w:b/>
                <w:color w:val="FFFFFF"/>
                <w:sz w:val="17"/>
              </w:rPr>
              <w:t xml:space="preserve">Écrans</w:t>
            </w:r>
          </w:p>
        </w:tc>
        <w:tc>
          <w:tcPr>
            <w:shd w:val="clear" w:color="auto" w:fill="232C6B"/>
          </w:tcPr>
          <w:p>
            <w:pPr>
              <w:pStyle w:val="Compact"/>
            </w:pPr>
            <w:r>
              <w:rPr>
                <w:b/>
                <w:color w:val="FFFFFF"/>
                <w:sz w:val="17"/>
              </w:rPr>
              <w:t xml:space="preserve">Tests backend</w:t>
            </w:r>
          </w:p>
        </w:tc>
      </w:tr>
      <w:tr>
        <w:tc>
          <w:tcPr/>
          <w:p>
            <w:pPr>
              <w:pStyle w:val="Compact"/>
            </w:pPr>
            <w:r>
              <w:rPr>
                <w:sz w:val="17"/>
              </w:rPr>
              <w:t xml:space="preserve">Socle technique : persistance, identité et sécurité</w:t>
            </w:r>
          </w:p>
        </w:tc>
        <w:tc>
          <w:tcPr/>
          <w:p>
            <w:pPr>
              <w:pStyle w:val="Compact"/>
            </w:pPr>
            <w:r>
              <w:rPr>
                <w:rStyle w:val="VerbatimChar"/>
                <w:sz w:val="17"/>
              </w:rPr>
              <w:t xml:space="preserve">socle</w:t>
            </w:r>
          </w:p>
        </w:tc>
        <w:tc>
          <w:tcPr/>
          <w:p>
            <w:pPr>
              <w:pStyle w:val="Compact"/>
            </w:pPr>
            <w:r>
              <w:rPr>
                <w:sz w:val="17"/>
              </w:rPr>
              <w:t xml:space="preserve">14</w:t>
            </w:r>
          </w:p>
        </w:tc>
        <w:tc>
          <w:tcPr/>
          <w:p>
            <w:pPr>
              <w:pStyle w:val="Compact"/>
            </w:pPr>
            <w:r>
              <w:rPr>
                <w:sz w:val="17"/>
              </w:rPr>
              <w:t xml:space="preserve">1</w:t>
            </w:r>
          </w:p>
        </w:tc>
        <w:tc>
          <w:tcPr/>
          <w:p>
            <w:pPr>
              <w:pStyle w:val="Compact"/>
            </w:pPr>
            <w:r>
              <w:rPr>
                <w:sz w:val="17"/>
              </w:rPr>
              <w:t xml:space="preserve">20</w:t>
            </w:r>
          </w:p>
        </w:tc>
      </w:tr>
      <w:tr>
        <w:tc>
          <w:tcPr>
            <w:shd w:val="clear" w:color="auto" w:fill="F5F7FB"/>
          </w:tcPr>
          <w:p>
            <w:pPr>
              <w:pStyle w:val="Compact"/>
            </w:pPr>
            <w:r>
              <w:rPr>
                <w:sz w:val="17"/>
              </w:rPr>
              <w:t xml:space="preserve">Accès, entités, invitations, mandats et identité</w:t>
            </w:r>
          </w:p>
        </w:tc>
        <w:tc>
          <w:tcPr>
            <w:shd w:val="clear" w:color="auto" w:fill="F5F7FB"/>
          </w:tcPr>
          <w:p>
            <w:pPr>
              <w:pStyle w:val="Compact"/>
            </w:pPr>
            <w:r>
              <w:rPr>
                <w:rStyle w:val="VerbatimChar"/>
                <w:sz w:val="17"/>
              </w:rPr>
              <w:t xml:space="preserve">acces</w:t>
            </w:r>
          </w:p>
        </w:tc>
        <w:tc>
          <w:tcPr>
            <w:shd w:val="clear" w:color="auto" w:fill="F5F7FB"/>
          </w:tcPr>
          <w:p>
            <w:pPr>
              <w:pStyle w:val="Compact"/>
            </w:pPr>
            <w:r>
              <w:rPr>
                <w:sz w:val="17"/>
              </w:rPr>
              <w:t xml:space="preserve">63</w:t>
            </w:r>
          </w:p>
        </w:tc>
        <w:tc>
          <w:tcPr>
            <w:shd w:val="clear" w:color="auto" w:fill="F5F7FB"/>
          </w:tcPr>
          <w:p>
            <w:pPr>
              <w:pStyle w:val="Compact"/>
            </w:pPr>
            <w:r>
              <w:rPr>
                <w:sz w:val="17"/>
              </w:rPr>
              <w:t xml:space="preserve">7</w:t>
            </w:r>
          </w:p>
        </w:tc>
        <w:tc>
          <w:tcPr>
            <w:shd w:val="clear" w:color="auto" w:fill="F5F7FB"/>
          </w:tcPr>
          <w:p>
            <w:pPr>
              <w:pStyle w:val="Compact"/>
            </w:pPr>
            <w:r>
              <w:rPr>
                <w:sz w:val="17"/>
              </w:rPr>
              <w:t xml:space="preserve">24</w:t>
            </w:r>
          </w:p>
        </w:tc>
      </w:tr>
      <w:tr>
        <w:tc>
          <w:tcPr/>
          <w:p>
            <w:pPr>
              <w:pStyle w:val="Compact"/>
            </w:pPr>
            <w:r>
              <w:rPr>
                <w:sz w:val="17"/>
              </w:rPr>
              <w:t xml:space="preserve">Fiscal : biens, déclarations, exonérations, quitus</w:t>
            </w:r>
          </w:p>
        </w:tc>
        <w:tc>
          <w:tcPr/>
          <w:p>
            <w:pPr>
              <w:pStyle w:val="Compact"/>
            </w:pPr>
            <w:r>
              <w:rPr>
                <w:rStyle w:val="VerbatimChar"/>
                <w:sz w:val="17"/>
              </w:rPr>
              <w:t xml:space="preserve">fiscal</w:t>
            </w:r>
          </w:p>
        </w:tc>
        <w:tc>
          <w:tcPr/>
          <w:p>
            <w:pPr>
              <w:pStyle w:val="Compact"/>
            </w:pPr>
            <w:r>
              <w:rPr>
                <w:sz w:val="17"/>
              </w:rPr>
              <w:t xml:space="preserve">39</w:t>
            </w:r>
          </w:p>
        </w:tc>
        <w:tc>
          <w:tcPr/>
          <w:p>
            <w:pPr>
              <w:pStyle w:val="Compact"/>
            </w:pPr>
            <w:r>
              <w:rPr>
                <w:sz w:val="17"/>
              </w:rPr>
              <w:t xml:space="preserve">9</w:t>
            </w:r>
          </w:p>
        </w:tc>
        <w:tc>
          <w:tcPr/>
          <w:p>
            <w:pPr>
              <w:pStyle w:val="Compact"/>
            </w:pPr>
            <w:r>
              <w:rPr>
                <w:sz w:val="17"/>
              </w:rPr>
              <w:t xml:space="preserve">19</w:t>
            </w:r>
          </w:p>
        </w:tc>
      </w:tr>
      <w:tr>
        <w:tc>
          <w:tcPr>
            <w:shd w:val="clear" w:color="auto" w:fill="F5F7FB"/>
          </w:tcPr>
          <w:p>
            <w:pPr>
              <w:pStyle w:val="Compact"/>
            </w:pPr>
            <w:r>
              <w:rPr>
                <w:sz w:val="17"/>
              </w:rPr>
              <w:t xml:space="preserve">Trésor et cycle complet de la quittance</w:t>
            </w:r>
          </w:p>
        </w:tc>
        <w:tc>
          <w:tcPr>
            <w:shd w:val="clear" w:color="auto" w:fill="F5F7FB"/>
          </w:tcPr>
          <w:p>
            <w:pPr>
              <w:pStyle w:val="Compact"/>
            </w:pPr>
            <w:r>
              <w:rPr>
                <w:rStyle w:val="VerbatimChar"/>
                <w:sz w:val="17"/>
              </w:rPr>
              <w:t xml:space="preserve">tresor</w:t>
            </w:r>
          </w:p>
        </w:tc>
        <w:tc>
          <w:tcPr>
            <w:shd w:val="clear" w:color="auto" w:fill="F5F7FB"/>
          </w:tcPr>
          <w:p>
            <w:pPr>
              <w:pStyle w:val="Compact"/>
            </w:pPr>
            <w:r>
              <w:rPr>
                <w:sz w:val="17"/>
              </w:rPr>
              <w:t xml:space="preserve">23</w:t>
            </w:r>
          </w:p>
        </w:tc>
        <w:tc>
          <w:tcPr>
            <w:shd w:val="clear" w:color="auto" w:fill="F5F7FB"/>
          </w:tcPr>
          <w:p>
            <w:pPr>
              <w:pStyle w:val="Compact"/>
            </w:pPr>
            <w:r>
              <w:rPr>
                <w:sz w:val="17"/>
              </w:rPr>
              <w:t xml:space="preserve">0</w:t>
            </w:r>
          </w:p>
        </w:tc>
        <w:tc>
          <w:tcPr>
            <w:shd w:val="clear" w:color="auto" w:fill="F5F7FB"/>
          </w:tcPr>
          <w:p>
            <w:pPr>
              <w:pStyle w:val="Compact"/>
            </w:pPr>
            <w:r>
              <w:rPr>
                <w:sz w:val="17"/>
              </w:rPr>
              <w:t xml:space="preserve">11</w:t>
            </w:r>
          </w:p>
        </w:tc>
      </w:tr>
      <w:tr>
        <w:tc>
          <w:tcPr/>
          <w:p>
            <w:pPr>
              <w:pStyle w:val="Compact"/>
            </w:pPr>
            <w:r>
              <w:rPr>
                <w:sz w:val="17"/>
              </w:rPr>
              <w:t xml:space="preserve">Registre juridique complet, avis et recouvrement</w:t>
            </w:r>
          </w:p>
        </w:tc>
        <w:tc>
          <w:tcPr/>
          <w:p>
            <w:pPr>
              <w:pStyle w:val="Compact"/>
            </w:pPr>
            <w:r>
              <w:rPr>
                <w:rStyle w:val="VerbatimChar"/>
                <w:sz w:val="17"/>
              </w:rPr>
              <w:t xml:space="preserve">recouvrement</w:t>
            </w:r>
          </w:p>
        </w:tc>
        <w:tc>
          <w:tcPr/>
          <w:p>
            <w:pPr>
              <w:pStyle w:val="Compact"/>
            </w:pPr>
            <w:r>
              <w:rPr>
                <w:sz w:val="17"/>
              </w:rPr>
              <w:t xml:space="preserve">33</w:t>
            </w:r>
          </w:p>
        </w:tc>
        <w:tc>
          <w:tcPr/>
          <w:p>
            <w:pPr>
              <w:pStyle w:val="Compact"/>
            </w:pPr>
            <w:r>
              <w:rPr>
                <w:sz w:val="17"/>
              </w:rPr>
              <w:t xml:space="preserve">3</w:t>
            </w:r>
          </w:p>
        </w:tc>
        <w:tc>
          <w:tcPr/>
          <w:p>
            <w:pPr>
              <w:pStyle w:val="Compact"/>
            </w:pPr>
            <w:r>
              <w:rPr>
                <w:sz w:val="17"/>
              </w:rPr>
              <w:t xml:space="preserve">22</w:t>
            </w:r>
          </w:p>
        </w:tc>
      </w:tr>
      <w:tr>
        <w:tc>
          <w:tcPr>
            <w:shd w:val="clear" w:color="auto" w:fill="F5F7FB"/>
          </w:tcPr>
          <w:p>
            <w:pPr>
              <w:pStyle w:val="Compact"/>
            </w:pPr>
            <w:r>
              <w:rPr>
                <w:sz w:val="17"/>
              </w:rPr>
              <w:t xml:space="preserve">Moteur de titres, RakaPay et pass wewa</w:t>
            </w:r>
          </w:p>
        </w:tc>
        <w:tc>
          <w:tcPr>
            <w:shd w:val="clear" w:color="auto" w:fill="F5F7FB"/>
          </w:tcPr>
          <w:p>
            <w:pPr>
              <w:pStyle w:val="Compact"/>
            </w:pPr>
            <w:r>
              <w:rPr>
                <w:rStyle w:val="VerbatimChar"/>
                <w:sz w:val="17"/>
              </w:rPr>
              <w:t xml:space="preserve">titres + rakapay</w:t>
            </w:r>
          </w:p>
        </w:tc>
        <w:tc>
          <w:tcPr>
            <w:shd w:val="clear" w:color="auto" w:fill="F5F7FB"/>
          </w:tcPr>
          <w:p>
            <w:pPr>
              <w:pStyle w:val="Compact"/>
            </w:pPr>
            <w:r>
              <w:rPr>
                <w:sz w:val="17"/>
              </w:rPr>
              <w:t xml:space="preserve">43</w:t>
            </w:r>
          </w:p>
        </w:tc>
        <w:tc>
          <w:tcPr>
            <w:shd w:val="clear" w:color="auto" w:fill="F5F7FB"/>
          </w:tcPr>
          <w:p>
            <w:pPr>
              <w:pStyle w:val="Compact"/>
            </w:pPr>
            <w:r>
              <w:rPr>
                <w:sz w:val="17"/>
              </w:rPr>
              <w:t xml:space="preserve">3</w:t>
            </w:r>
          </w:p>
        </w:tc>
        <w:tc>
          <w:tcPr>
            <w:shd w:val="clear" w:color="auto" w:fill="F5F7FB"/>
          </w:tcPr>
          <w:p>
            <w:pPr>
              <w:pStyle w:val="Compact"/>
            </w:pPr>
            <w:r>
              <w:rPr>
                <w:sz w:val="17"/>
              </w:rPr>
              <w:t xml:space="preserve">28</w:t>
            </w:r>
          </w:p>
        </w:tc>
      </w:tr>
      <w:tr>
        <w:tc>
          <w:tcPr/>
          <w:p>
            <w:pPr>
              <w:pStyle w:val="Compact"/>
            </w:pPr>
            <w:r>
              <w:rPr>
                <w:sz w:val="17"/>
              </w:rPr>
              <w:t xml:space="preserve">Stationnement (ParkSmart) et publicité (KIN PUB CONTROL)</w:t>
            </w:r>
          </w:p>
        </w:tc>
        <w:tc>
          <w:tcPr/>
          <w:p>
            <w:pPr>
              <w:pStyle w:val="Compact"/>
            </w:pPr>
            <w:r>
              <w:rPr>
                <w:rStyle w:val="VerbatimChar"/>
                <w:sz w:val="17"/>
              </w:rPr>
              <w:t xml:space="preserve">parking + publicite</w:t>
            </w:r>
          </w:p>
        </w:tc>
        <w:tc>
          <w:tcPr/>
          <w:p>
            <w:pPr>
              <w:pStyle w:val="Compact"/>
            </w:pPr>
            <w:r>
              <w:rPr>
                <w:sz w:val="17"/>
              </w:rPr>
              <w:t xml:space="preserve">58</w:t>
            </w:r>
          </w:p>
        </w:tc>
        <w:tc>
          <w:tcPr/>
          <w:p>
            <w:pPr>
              <w:pStyle w:val="Compact"/>
            </w:pPr>
            <w:r>
              <w:rPr>
                <w:sz w:val="17"/>
              </w:rPr>
              <w:t xml:space="preserve">9</w:t>
            </w:r>
          </w:p>
        </w:tc>
        <w:tc>
          <w:tcPr/>
          <w:p>
            <w:pPr>
              <w:pStyle w:val="Compact"/>
            </w:pPr>
            <w:r>
              <w:rPr>
                <w:sz w:val="17"/>
              </w:rPr>
              <w:t xml:space="preserve">22</w:t>
            </w:r>
          </w:p>
        </w:tc>
      </w:tr>
      <w:tr>
        <w:tc>
          <w:tcPr>
            <w:shd w:val="clear" w:color="auto" w:fill="F5F7FB"/>
          </w:tcPr>
          <w:p>
            <w:pPr>
              <w:pStyle w:val="Compact"/>
            </w:pPr>
            <w:r>
              <w:rPr>
                <w:sz w:val="17"/>
              </w:rPr>
              <w:t xml:space="preserve">Verticales branchées sur l’API, AVIA, NFIU, CALCU</w:t>
            </w:r>
          </w:p>
        </w:tc>
        <w:tc>
          <w:tcPr>
            <w:shd w:val="clear" w:color="auto" w:fill="F5F7FB"/>
          </w:tcPr>
          <w:p>
            <w:pPr>
              <w:pStyle w:val="Compact"/>
            </w:pPr>
            <w:r>
              <w:rPr>
                <w:rStyle w:val="VerbatimChar"/>
                <w:sz w:val="17"/>
              </w:rPr>
              <w:t xml:space="preserve">verticales</w:t>
            </w:r>
          </w:p>
        </w:tc>
        <w:tc>
          <w:tcPr>
            <w:shd w:val="clear" w:color="auto" w:fill="F5F7FB"/>
          </w:tcPr>
          <w:p>
            <w:pPr>
              <w:pStyle w:val="Compact"/>
            </w:pPr>
            <w:r>
              <w:rPr>
                <w:sz w:val="17"/>
              </w:rPr>
              <w:t xml:space="preserve">43</w:t>
            </w:r>
          </w:p>
        </w:tc>
        <w:tc>
          <w:tcPr>
            <w:shd w:val="clear" w:color="auto" w:fill="F5F7FB"/>
          </w:tcPr>
          <w:p>
            <w:pPr>
              <w:pStyle w:val="Compact"/>
            </w:pPr>
            <w:r>
              <w:rPr>
                <w:sz w:val="17"/>
              </w:rPr>
              <w:t xml:space="preserve">4</w:t>
            </w:r>
          </w:p>
        </w:tc>
        <w:tc>
          <w:tcPr>
            <w:shd w:val="clear" w:color="auto" w:fill="F5F7FB"/>
          </w:tcPr>
          <w:p>
            <w:pPr>
              <w:pStyle w:val="Compact"/>
            </w:pPr>
            <w:r>
              <w:rPr>
                <w:sz w:val="17"/>
              </w:rPr>
              <w:t xml:space="preserve">22</w:t>
            </w:r>
          </w:p>
        </w:tc>
      </w:tr>
      <w:tr>
        <w:tc>
          <w:tcPr/>
          <w:p>
            <w:pPr>
              <w:pStyle w:val="Compact"/>
            </w:pPr>
            <w:r>
              <w:rPr>
                <w:sz w:val="17"/>
              </w:rPr>
              <w:t xml:space="preserve">Canaux : USSD, SVI, enrôlement assisté, points de paiement agréés</w:t>
            </w:r>
          </w:p>
        </w:tc>
        <w:tc>
          <w:tcPr/>
          <w:p>
            <w:pPr>
              <w:pStyle w:val="Compact"/>
            </w:pPr>
            <w:r>
              <w:rPr>
                <w:rStyle w:val="VerbatimChar"/>
                <w:sz w:val="17"/>
              </w:rPr>
              <w:t xml:space="preserve">canaux</w:t>
            </w:r>
          </w:p>
        </w:tc>
        <w:tc>
          <w:tcPr/>
          <w:p>
            <w:pPr>
              <w:pStyle w:val="Compact"/>
            </w:pPr>
            <w:r>
              <w:rPr>
                <w:sz w:val="17"/>
              </w:rPr>
              <w:t xml:space="preserve">33</w:t>
            </w:r>
          </w:p>
        </w:tc>
        <w:tc>
          <w:tcPr/>
          <w:p>
            <w:pPr>
              <w:pStyle w:val="Compact"/>
            </w:pPr>
            <w:r>
              <w:rPr>
                <w:sz w:val="17"/>
              </w:rPr>
              <w:t xml:space="preserve">7</w:t>
            </w:r>
          </w:p>
        </w:tc>
        <w:tc>
          <w:tcPr/>
          <w:p>
            <w:pPr>
              <w:pStyle w:val="Compact"/>
            </w:pPr>
            <w:r>
              <w:rPr>
                <w:sz w:val="17"/>
              </w:rPr>
              <w:t xml:space="preserve">27</w:t>
            </w:r>
          </w:p>
        </w:tc>
      </w:tr>
      <w:tr>
        <w:tc>
          <w:tcPr>
            <w:shd w:val="clear" w:color="auto" w:fill="F5F7FB"/>
          </w:tcPr>
          <w:p>
            <w:pPr>
              <w:pStyle w:val="Compact"/>
            </w:pPr>
            <w:r>
              <w:rPr>
                <w:sz w:val="17"/>
              </w:rPr>
              <w:t xml:space="preserve">Opérations de terrain, sous-traitance et badges</w:t>
            </w:r>
          </w:p>
        </w:tc>
        <w:tc>
          <w:tcPr>
            <w:shd w:val="clear" w:color="auto" w:fill="F5F7FB"/>
          </w:tcPr>
          <w:p>
            <w:pPr>
              <w:pStyle w:val="Compact"/>
            </w:pPr>
            <w:r>
              <w:rPr>
                <w:rStyle w:val="VerbatimChar"/>
                <w:sz w:val="17"/>
              </w:rPr>
              <w:t xml:space="preserve">terrain</w:t>
            </w:r>
          </w:p>
        </w:tc>
        <w:tc>
          <w:tcPr>
            <w:shd w:val="clear" w:color="auto" w:fill="F5F7FB"/>
          </w:tcPr>
          <w:p>
            <w:pPr>
              <w:pStyle w:val="Compact"/>
            </w:pPr>
            <w:r>
              <w:rPr>
                <w:sz w:val="17"/>
              </w:rPr>
              <w:t xml:space="preserve">47</w:t>
            </w:r>
          </w:p>
        </w:tc>
        <w:tc>
          <w:tcPr>
            <w:shd w:val="clear" w:color="auto" w:fill="F5F7FB"/>
          </w:tcPr>
          <w:p>
            <w:pPr>
              <w:pStyle w:val="Compact"/>
            </w:pPr>
            <w:r>
              <w:rPr>
                <w:sz w:val="17"/>
              </w:rPr>
              <w:t xml:space="preserve">4</w:t>
            </w:r>
          </w:p>
        </w:tc>
        <w:tc>
          <w:tcPr>
            <w:shd w:val="clear" w:color="auto" w:fill="F5F7FB"/>
          </w:tcPr>
          <w:p>
            <w:pPr>
              <w:pStyle w:val="Compact"/>
            </w:pPr>
            <w:r>
              <w:rPr>
                <w:sz w:val="17"/>
              </w:rPr>
              <w:t xml:space="preserve">9</w:t>
            </w:r>
          </w:p>
        </w:tc>
      </w:tr>
      <w:tr>
        <w:tc>
          <w:tcPr/>
          <w:p>
            <w:pPr>
              <w:pStyle w:val="Compact"/>
            </w:pPr>
            <w:r>
              <w:rPr>
                <w:sz w:val="17"/>
              </w:rPr>
              <w:t xml:space="preserve">Intégrité : signalement, enquêtes, incidents, données personnelles</w:t>
            </w:r>
          </w:p>
        </w:tc>
        <w:tc>
          <w:tcPr/>
          <w:p>
            <w:pPr>
              <w:pStyle w:val="Compact"/>
            </w:pPr>
            <w:r>
              <w:rPr>
                <w:rStyle w:val="VerbatimChar"/>
                <w:sz w:val="17"/>
              </w:rPr>
              <w:t xml:space="preserve">integrite</w:t>
            </w:r>
          </w:p>
        </w:tc>
        <w:tc>
          <w:tcPr/>
          <w:p>
            <w:pPr>
              <w:pStyle w:val="Compact"/>
            </w:pPr>
            <w:r>
              <w:rPr>
                <w:sz w:val="17"/>
              </w:rPr>
              <w:t xml:space="preserve">52</w:t>
            </w:r>
          </w:p>
        </w:tc>
        <w:tc>
          <w:tcPr/>
          <w:p>
            <w:pPr>
              <w:pStyle w:val="Compact"/>
            </w:pPr>
            <w:r>
              <w:rPr>
                <w:sz w:val="17"/>
              </w:rPr>
              <w:t xml:space="preserve">6</w:t>
            </w:r>
          </w:p>
        </w:tc>
        <w:tc>
          <w:tcPr/>
          <w:p>
            <w:pPr>
              <w:pStyle w:val="Compact"/>
            </w:pPr>
            <w:r>
              <w:rPr>
                <w:sz w:val="17"/>
              </w:rPr>
              <w:t xml:space="preserve">25</w:t>
            </w:r>
          </w:p>
        </w:tc>
      </w:tr>
      <w:tr>
        <w:tc>
          <w:tcPr>
            <w:shd w:val="clear" w:color="auto" w:fill="F5F7FB"/>
          </w:tcPr>
          <w:p>
            <w:pPr>
              <w:pStyle w:val="Compact"/>
            </w:pPr>
            <w:r>
              <w:rPr>
                <w:sz w:val="17"/>
              </w:rPr>
              <w:t xml:space="preserve">Pilotage sur données réelles, indicateurs et transparence</w:t>
            </w:r>
          </w:p>
        </w:tc>
        <w:tc>
          <w:tcPr>
            <w:shd w:val="clear" w:color="auto" w:fill="F5F7FB"/>
          </w:tcPr>
          <w:p>
            <w:pPr>
              <w:pStyle w:val="Compact"/>
            </w:pPr>
            <w:r>
              <w:rPr>
                <w:rStyle w:val="VerbatimChar"/>
                <w:sz w:val="17"/>
              </w:rPr>
              <w:t xml:space="preserve">pilotage</w:t>
            </w:r>
          </w:p>
        </w:tc>
        <w:tc>
          <w:tcPr>
            <w:shd w:val="clear" w:color="auto" w:fill="F5F7FB"/>
          </w:tcPr>
          <w:p>
            <w:pPr>
              <w:pStyle w:val="Compact"/>
            </w:pPr>
            <w:r>
              <w:rPr>
                <w:sz w:val="17"/>
              </w:rPr>
              <w:t xml:space="preserve">15</w:t>
            </w:r>
          </w:p>
        </w:tc>
        <w:tc>
          <w:tcPr>
            <w:shd w:val="clear" w:color="auto" w:fill="F5F7FB"/>
          </w:tcPr>
          <w:p>
            <w:pPr>
              <w:pStyle w:val="Compact"/>
            </w:pPr>
            <w:r>
              <w:rPr>
                <w:sz w:val="17"/>
              </w:rPr>
              <w:t xml:space="preserve">4</w:t>
            </w:r>
          </w:p>
        </w:tc>
        <w:tc>
          <w:tcPr>
            <w:shd w:val="clear" w:color="auto" w:fill="F5F7FB"/>
          </w:tcPr>
          <w:p>
            <w:pPr>
              <w:pStyle w:val="Compact"/>
            </w:pPr>
            <w:r>
              <w:rPr>
                <w:sz w:val="17"/>
              </w:rPr>
              <w:t xml:space="preserve">16</w:t>
            </w:r>
          </w:p>
        </w:tc>
      </w:tr>
      <w:tr>
        <w:tc>
          <w:tcPr/>
          <w:p>
            <w:pPr>
              <w:pStyle w:val="Compact"/>
            </w:pPr>
            <w:r>
              <w:rPr>
                <w:sz w:val="17"/>
              </w:rPr>
              <w:t xml:space="preserve">Système d’exploitation de l’IA (AI OS)</w:t>
            </w:r>
          </w:p>
        </w:tc>
        <w:tc>
          <w:tcPr/>
          <w:p>
            <w:pPr>
              <w:pStyle w:val="Compact"/>
            </w:pPr>
            <w:r>
              <w:rPr>
                <w:rStyle w:val="VerbatimChar"/>
                <w:sz w:val="17"/>
              </w:rPr>
              <w:t xml:space="preserve">ia</w:t>
            </w:r>
          </w:p>
        </w:tc>
        <w:tc>
          <w:tcPr/>
          <w:p>
            <w:pPr>
              <w:pStyle w:val="Compact"/>
            </w:pPr>
            <w:r>
              <w:rPr>
                <w:sz w:val="17"/>
              </w:rPr>
              <w:t xml:space="preserve">28</w:t>
            </w:r>
          </w:p>
        </w:tc>
        <w:tc>
          <w:tcPr/>
          <w:p>
            <w:pPr>
              <w:pStyle w:val="Compact"/>
            </w:pPr>
            <w:r>
              <w:rPr>
                <w:sz w:val="17"/>
              </w:rPr>
              <w:t xml:space="preserve">3</w:t>
            </w:r>
          </w:p>
        </w:tc>
        <w:tc>
          <w:tcPr/>
          <w:p>
            <w:pPr>
              <w:pStyle w:val="Compact"/>
            </w:pPr>
            <w:r>
              <w:rPr>
                <w:sz w:val="17"/>
              </w:rPr>
              <w:t xml:space="preserve">19</w:t>
            </w:r>
          </w:p>
        </w:tc>
      </w:tr>
    </w:tbl>
    <w:p>
      <w:pPr>
        <w:pStyle w:val="BodyText"/>
      </w:pPr>
      <w:r>
        <w:t xml:space="preserve">Ensemble :</w:t>
      </w:r>
      <w:r>
        <w:t xml:space="preserve"> </w:t>
      </w:r>
      <w:r>
        <w:rPr>
          <w:b/>
          <w:bCs/>
        </w:rPr>
        <w:t xml:space="preserve">555 routes</w:t>
      </w:r>
      <w:r>
        <w:t xml:space="preserve"> </w:t>
      </w:r>
      <w:r>
        <w:t xml:space="preserve">(catalogue :</w:t>
      </w:r>
      <w:r>
        <w:t xml:space="preserve"> </w:t>
      </w:r>
      <w:r>
        <w:rPr>
          <w:rStyle w:val="VerbatimChar"/>
        </w:rPr>
        <w:t xml:space="preserve">specs/routes-api.md</w:t>
      </w:r>
      <w:r>
        <w:t xml:space="preserve">),</w:t>
      </w:r>
      <w:r>
        <w:t xml:space="preserve"> </w:t>
      </w:r>
      <w:r>
        <w:rPr>
          <w:b/>
          <w:bCs/>
        </w:rPr>
        <w:t xml:space="preserve">70 écrans</w:t>
      </w:r>
      <w:r>
        <w:t xml:space="preserve"> </w:t>
      </w:r>
      <w:r>
        <w:t xml:space="preserve">en plus des 13 écrans du socle,</w:t>
      </w:r>
      <w:r>
        <w:t xml:space="preserve"> </w:t>
      </w:r>
      <w:r>
        <w:rPr>
          <w:b/>
          <w:bCs/>
        </w:rPr>
        <w:t xml:space="preserve">335 tests backend</w:t>
      </w:r>
      <w:r>
        <w:t xml:space="preserve">, 37 tests d’interface et 16 tests du paquet partagé, tous au vert ; l’application complète (socle et 14 modules) est couverte par un test d’intégration. Chaque écran a été contrôlé à 390 px et 1 440 px sans défilement horizontal.</w:t>
      </w:r>
    </w:p>
    <w:p>
      <w:pPr>
        <w:pStyle w:val="BodyText"/>
      </w:pPr>
      <w:r>
        <w:rPr>
          <w:b/>
          <w:bCs/>
        </w:rPr>
        <w:t xml:space="preserve">Garde-fous vérifiés par les tests, pour tous les modules.</w:t>
      </w:r>
      <w:r>
        <w:t xml:space="preserve"> </w:t>
      </w:r>
      <w:r>
        <w:t xml:space="preserve">Aucun montant sans règle ACTIVE ; aucune sanction, pénalité, immobilisation, suspension ou blocage automatique (le système constate et propose, une personne habilitée décide avec motif, séparation des tâches) ; fonds uniquement vers les comptes publics du coffre ; aucun encaissement par un agent, un contrôleur, une coopérative ou un sous-traitant ; aucune quittance sur capture d’écran ou SMS ; jamais de double perception d’un même fait générateur (garde du moteur de liquidation et revendication unique par entité) ; vérifications publiques sans nom ni adresse ; l’IA propose, l’humain décide.</w:t>
      </w:r>
    </w:p>
    <w:bookmarkEnd w:id="610"/>
    <w:bookmarkStart w:id="611" w:name="X67698e25e5a24b70a6b32a6f4e71298be30b0d1"/>
    <w:p>
      <w:pPr>
        <w:pStyle w:val="Heading2"/>
      </w:pPr>
      <w:r>
        <w:t xml:space="preserve">I.1 Socle technique : persistance, identité et sécurité</w:t>
      </w:r>
    </w:p>
    <w:p>
      <w:pPr>
        <w:pStyle w:val="FirstParagraph"/>
      </w:pPr>
      <w:r>
        <w:t xml:space="preserve">Le module « socle » donne au monolithe modulaire les fonctions transverses qu’exige la mise en service : une persistance PostgreSQL, une authentification réelle, une limitation de débit et une chaîne d’intégration continue. Rien de cela ne change le fonctionnement par défaut. Sans</w:t>
      </w:r>
      <w:r>
        <w:t xml:space="preserve"> </w:t>
      </w:r>
      <w:r>
        <w:rPr>
          <w:rStyle w:val="VerbatimChar"/>
        </w:rPr>
        <w:t xml:space="preserve">DATABASE_URL</w:t>
      </w:r>
      <w:r>
        <w:t xml:space="preserve">, les données restent en mémoire. L’en-tête de démonstration</w:t>
      </w:r>
      <w:r>
        <w:t xml:space="preserve"> </w:t>
      </w:r>
      <w:r>
        <w:rPr>
          <w:rStyle w:val="VerbatimChar"/>
        </w:rPr>
        <w:t xml:space="preserve">x-demo-user</w:t>
      </w:r>
      <w:r>
        <w:t xml:space="preserve"> </w:t>
      </w:r>
      <w:r>
        <w:t xml:space="preserve">reste accepté tant que</w:t>
      </w:r>
      <w:r>
        <w:t xml:space="preserve"> </w:t>
      </w:r>
      <w:r>
        <w:rPr>
          <w:rStyle w:val="VerbatimChar"/>
        </w:rPr>
        <w:t xml:space="preserve">MOSOLO_DEMO_MODE</w:t>
      </w:r>
      <w:r>
        <w:t xml:space="preserve"> </w:t>
      </w:r>
      <w:r>
        <w:t xml:space="preserve">ne vaut pas</w:t>
      </w:r>
      <w:r>
        <w:t xml:space="preserve"> </w:t>
      </w:r>
      <w:r>
        <w:rPr>
          <w:rStyle w:val="VerbatimChar"/>
        </w:rPr>
        <w:t xml:space="preserve">false</w:t>
      </w:r>
      <w:r>
        <w:t xml:space="preserve">. Les tests existants et les écrans de démonstration continuent donc de fonctionner.</w:t>
      </w:r>
    </w:p>
    <w:p>
      <w:pPr>
        <w:pStyle w:val="BodyText"/>
      </w:pPr>
      <w:r>
        <w:rPr>
          <w:b/>
          <w:bCs/>
        </w:rPr>
        <w:t xml:space="preserve">Persistance.</w:t>
      </w:r>
      <w:r>
        <w:t xml:space="preserve"> </w:t>
      </w:r>
      <w:r>
        <w:t xml:space="preserve">Le serveur découvre automatiquement tous les dépôts de l’application, ceux du socle comme ceux des modules d’extension, et les nomme par leur chemin (</w:t>
      </w:r>
      <w:r>
        <w:rPr>
          <w:rStyle w:val="VerbatimChar"/>
        </w:rPr>
        <w:t xml:space="preserve">payments.orders</w:t>
      </w:r>
      <w:r>
        <w:t xml:space="preserve">,</w:t>
      </w:r>
      <w:r>
        <w:t xml:space="preserve"> </w:t>
      </w:r>
      <w:r>
        <w:rPr>
          <w:rStyle w:val="VerbatimChar"/>
        </w:rPr>
        <w:t xml:space="preserve">ledger.entries</w:t>
      </w:r>
      <w:r>
        <w:t xml:space="preserve">…). Chaque écriture est journalisée dans PostgreSQL. Les documents modifiables vont dans</w:t>
      </w:r>
      <w:r>
        <w:t xml:space="preserve"> </w:t>
      </w:r>
      <w:r>
        <w:rPr>
          <w:rStyle w:val="VerbatimChar"/>
        </w:rPr>
        <w:t xml:space="preserve">repository_snapshot</w:t>
      </w:r>
      <w:r>
        <w:t xml:space="preserve"> </w:t>
      </w:r>
      <w:r>
        <w:t xml:space="preserve">(JSONB, mise à jour par UPSERT). Les journaux en ajout seul vont dans</w:t>
      </w:r>
      <w:r>
        <w:t xml:space="preserve"> </w:t>
      </w:r>
      <w:r>
        <w:rPr>
          <w:rStyle w:val="VerbatimChar"/>
        </w:rPr>
        <w:t xml:space="preserve">append_only_journal</w:t>
      </w:r>
      <w:r>
        <w:t xml:space="preserve"> </w:t>
      </w:r>
      <w:r>
        <w:t xml:space="preserve">: audit chaîné, grand livre, délivrances, observations, alertes et preuves. Dans cette table, un déclencheur refuse toute modification ou suppression. Au redémarrage, l’instantané est rechargé et la chaîne d’audit est vérifiée. Les générateurs d’identifiants repartent au-delà des numéros déjà attribués. Les migrations sont versionnées et chaque sauvegarde est un export JSON complet signé (HMAC-SHA256) avec un manifeste SHA-256 par dépôt. Toute restauration est refusée si la signature, le manifeste ou la chaîne d’audit ne se vérifient pas. Cette étape reste transitoire : le schéma relationnel</w:t>
      </w:r>
      <w:r>
        <w:t xml:space="preserve"> </w:t>
      </w:r>
      <w:r>
        <w:rPr>
          <w:rStyle w:val="VerbatimChar"/>
        </w:rPr>
        <w:t xml:space="preserve">backend/db/schema.sql</w:t>
      </w:r>
      <w:r>
        <w:t xml:space="preserve"> </w:t>
      </w:r>
      <w:r>
        <w:t xml:space="preserve">(PostgreSQL + PostGIS) demeure la cible.</w:t>
      </w:r>
    </w:p>
    <w:p>
      <w:pPr>
        <w:pStyle w:val="BodyText"/>
      </w:pPr>
      <w:r>
        <w:rPr>
          <w:b/>
          <w:bCs/>
        </w:rPr>
        <w:t xml:space="preserve">Authentification.</w:t>
      </w:r>
      <w:r>
        <w:t xml:space="preserve"> </w:t>
      </w:r>
      <w:r>
        <w:t xml:space="preserve">Un fournisseur d’identité local, compatible OIDC, publie une découverte minimale (</w:t>
      </w:r>
      <w:r>
        <w:rPr>
          <w:rStyle w:val="VerbatimChar"/>
        </w:rPr>
        <w:t xml:space="preserve">/.well-known/openid-configuration</w:t>
      </w:r>
      <w:r>
        <w:t xml:space="preserve">) et ses clés publiques (JWKS). Le contribuable se connecte avec son numéro de téléphone et un code à usage unique envoyé par SMS (événement</w:t>
      </w:r>
      <w:r>
        <w:t xml:space="preserve"> </w:t>
      </w:r>
      <w:r>
        <w:rPr>
          <w:rStyle w:val="VerbatimChar"/>
        </w:rPr>
        <w:t xml:space="preserve">auth.otp_code</w:t>
      </w:r>
      <w:r>
        <w:t xml:space="preserve">). Un numéro inconnu reçoit une réponse identique, ce qui empêche de deviner quels numéros sont inscrits. L’agent public se connecte avec son identifiant, un mot de passe (scrypt) et un code TOTP, avec protection contre le rejeu : la MFA vaut pour tout compte de travail. Le serveur émet un jeton EdDSA de 15 minutes, lié à une session serveur révocable. La session dure au plus 4 à 12 heures selon le profil, et 30 minutes sans prolongation sur un appareil partagé. Chaque connexion, chaque échec, chaque verrouillage temporaire (5 échecs, 15 minutes, sans autre effet sur le compte) et chaque révocation est inscrit au journal d’audit. Pour les rôles sensibles, le document maître exige des clés d’accès (passkeys, FIDO2). Leur enregistrement est</w:t>
      </w:r>
      <w:r>
        <w:t xml:space="preserve"> </w:t>
      </w:r>
      <w:r>
        <w:rPr>
          <w:b/>
          <w:bCs/>
        </w:rPr>
        <w:t xml:space="preserve">[À RACCORDER]</w:t>
      </w:r>
      <w:r>
        <w:t xml:space="preserve"> </w:t>
      </w:r>
      <w:r>
        <w:t xml:space="preserve">à l’IdP souverain : l’API l’indique explicitement (501) et aucune clé n’est simulée.</w:t>
      </w:r>
    </w:p>
    <w:p>
      <w:pPr>
        <w:pStyle w:val="BodyText"/>
      </w:pPr>
      <w:r>
        <w:rPr>
          <w:b/>
          <w:bCs/>
        </w:rPr>
        <w:t xml:space="preserve">Limitation de débit et exploitation.</w:t>
      </w:r>
      <w:r>
        <w:t xml:space="preserve"> </w:t>
      </w:r>
      <w:r>
        <w:t xml:space="preserve">Toutes les requêtes passent par une fenêtre glissante, par utilisateur authentifié ou, à défaut, par adresse IP. Elle a trois paliers : global 600/min, routes publiques 60/min, connexion 10/min par IP. Un dépassement renvoie un 429 au format RFC 9457, avec les en-têtes</w:t>
      </w:r>
      <w:r>
        <w:t xml:space="preserve"> </w:t>
      </w:r>
      <w:r>
        <w:rPr>
          <w:rStyle w:val="VerbatimChar"/>
        </w:rPr>
        <w:t xml:space="preserve">Retry-After</w:t>
      </w:r>
      <w:r>
        <w:t xml:space="preserve"> </w:t>
      </w:r>
      <w:r>
        <w:t xml:space="preserve">et</w:t>
      </w:r>
      <w:r>
        <w:t xml:space="preserve"> </w:t>
      </w:r>
      <w:r>
        <w:rPr>
          <w:rStyle w:val="VerbatimChar"/>
        </w:rPr>
        <w:t xml:space="preserve">RateLimit-*</w:t>
      </w:r>
      <w:r>
        <w:t xml:space="preserve">. Le premier refus de chaque fenêtre est journalisé. La limitation est temporaire et automatique : elle ne bloque jamais un compte. La chaîne d’intégration continue (</w:t>
      </w:r>
      <w:r>
        <w:rPr>
          <w:rStyle w:val="VerbatimChar"/>
        </w:rPr>
        <w:t xml:space="preserve">.github/workflows/ci.yml</w:t>
      </w:r>
      <w:r>
        <w:t xml:space="preserve">) installe les dépendances de façon reproductible. Elle contrôle les types et exécute les tests des trois paquets, puis construit le frontend. Un second travail démarre sur un PostgreSQL réel, sauvegarde, vérifie que la base refuse la modification du journal, restaure et redémarre.</w:t>
      </w:r>
    </w:p>
    <w:p>
      <w:pPr>
        <w:pStyle w:val="BodyText"/>
      </w:pPr>
      <w:r>
        <w:rPr>
          <w:b/>
          <w:bCs/>
        </w:rPr>
        <w:t xml:space="preserve">Écran de connexion.</w:t>
      </w:r>
      <w:r>
        <w:t xml:space="preserve"> </w:t>
      </w:r>
      <w:r>
        <w:t xml:space="preserve">L’écran</w:t>
      </w:r>
      <w:r>
        <w:t xml:space="preserve"> </w:t>
      </w:r>
      <w:r>
        <w:rPr>
          <w:rStyle w:val="VerbatimChar"/>
        </w:rPr>
        <w:t xml:space="preserve">frontend/src/modules/socle/Login.tsx</w:t>
      </w:r>
      <w:r>
        <w:t xml:space="preserve"> </w:t>
      </w:r>
      <w:r>
        <w:t xml:space="preserve">propose deux parcours : contribuable (téléphone puis code) et agent (identifiant et mot de passe, puis code TOTP). En démonstration, il affiche des comptes fictifs avec leur QR TOTP. Une fois connecté, l’utilisateur voit sa session et son niveau d’authentification, peut révoquer ses sessions et se déconnecter. Le sélecteur de démonstration de l’en-tête reste disponible.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Fonction</w:t>
            </w:r>
          </w:p>
        </w:tc>
        <w:tc>
          <w:tcPr>
            <w:shd w:val="clear" w:color="auto" w:fill="232C6B"/>
          </w:tcPr>
          <w:p>
            <w:pPr>
              <w:pStyle w:val="Compact"/>
            </w:pPr>
            <w:r>
              <w:rPr>
                <w:b/>
                <w:color w:val="FFFFFF"/>
                <w:sz w:val="17"/>
              </w:rPr>
              <w:t xml:space="preserve">Construit</w:t>
            </w:r>
          </w:p>
        </w:tc>
        <w:tc>
          <w:tcPr>
            <w:shd w:val="clear" w:color="auto" w:fill="232C6B"/>
          </w:tcPr>
          <w:p>
            <w:pPr>
              <w:pStyle w:val="Compact"/>
            </w:pPr>
            <w:r>
              <w:rPr>
                <w:b/>
                <w:color w:val="FFFFFF"/>
                <w:sz w:val="17"/>
              </w:rPr>
              <w:t xml:space="preserve">Paramètre / route</w:t>
            </w:r>
          </w:p>
        </w:tc>
        <w:tc>
          <w:tcPr>
            <w:shd w:val="clear" w:color="auto" w:fill="232C6B"/>
          </w:tcPr>
          <w:p>
            <w:pPr>
              <w:pStyle w:val="Compact"/>
            </w:pPr>
            <w:r>
              <w:rPr>
                <w:b/>
                <w:color w:val="FFFFFF"/>
                <w:sz w:val="17"/>
              </w:rPr>
              <w:t xml:space="preserve">Reste à raccorder</w:t>
            </w:r>
          </w:p>
        </w:tc>
      </w:tr>
      <w:tr>
        <w:tc>
          <w:tcPr/>
          <w:p>
            <w:pPr>
              <w:pStyle w:val="Compact"/>
            </w:pPr>
            <w:r>
              <w:rPr>
                <w:sz w:val="17"/>
              </w:rPr>
              <w:t xml:space="preserve">Persistance</w:t>
            </w:r>
          </w:p>
        </w:tc>
        <w:tc>
          <w:tcPr/>
          <w:p>
            <w:pPr>
              <w:pStyle w:val="Compact"/>
            </w:pPr>
            <w:r>
              <w:rPr>
                <w:sz w:val="17"/>
              </w:rPr>
              <w:t xml:space="preserve">Instantané JSONB par dépôt, journal en ajout seul protégé, migrations</w:t>
            </w:r>
          </w:p>
        </w:tc>
        <w:tc>
          <w:tcPr/>
          <w:p>
            <w:pPr>
              <w:pStyle w:val="Compact"/>
            </w:pPr>
            <w:r>
              <w:rPr>
                <w:rStyle w:val="VerbatimChar"/>
                <w:sz w:val="17"/>
              </w:rPr>
              <w:t xml:space="preserve">DATABASE_URL</w:t>
            </w:r>
            <w:r>
              <w:rPr>
                <w:sz w:val="17"/>
              </w:rPr>
              <w:t xml:space="preserve">,</w:t>
            </w:r>
            <w:r>
              <w:rPr>
                <w:sz w:val="17"/>
              </w:rPr>
              <w:t xml:space="preserve"> </w:t>
            </w:r>
            <w:r>
              <w:rPr>
                <w:rStyle w:val="VerbatimChar"/>
                <w:sz w:val="17"/>
              </w:rPr>
              <w:t xml:space="preserve">npm run start:persistent</w:t>
            </w:r>
          </w:p>
        </w:tc>
        <w:tc>
          <w:tcPr/>
          <w:p>
            <w:pPr>
              <w:pStyle w:val="Compact"/>
            </w:pPr>
            <w:r>
              <w:rPr>
                <w:sz w:val="17"/>
              </w:rPr>
              <w:t xml:space="preserve">Schéma relationnel cible, écriture transactionnelle + outbox</w:t>
            </w:r>
          </w:p>
        </w:tc>
      </w:tr>
      <w:tr>
        <w:tc>
          <w:tcPr>
            <w:shd w:val="clear" w:color="auto" w:fill="F5F7FB"/>
          </w:tcPr>
          <w:p>
            <w:pPr>
              <w:pStyle w:val="Compact"/>
            </w:pPr>
            <w:r>
              <w:rPr>
                <w:sz w:val="17"/>
              </w:rPr>
              <w:t xml:space="preserve">Sauvegarde</w:t>
            </w:r>
          </w:p>
        </w:tc>
        <w:tc>
          <w:tcPr>
            <w:shd w:val="clear" w:color="auto" w:fill="F5F7FB"/>
          </w:tcPr>
          <w:p>
            <w:pPr>
              <w:pStyle w:val="Compact"/>
            </w:pPr>
            <w:r>
              <w:rPr>
                <w:sz w:val="17"/>
              </w:rPr>
              <w:t xml:space="preserve">Export signé, vérification, restauration refusée si altérée</w:t>
            </w:r>
          </w:p>
        </w:tc>
        <w:tc>
          <w:tcPr>
            <w:shd w:val="clear" w:color="auto" w:fill="F5F7FB"/>
          </w:tcPr>
          <w:p>
            <w:pPr>
              <w:pStyle w:val="Compact"/>
            </w:pPr>
            <w:r>
              <w:rPr>
                <w:rStyle w:val="VerbatimChar"/>
                <w:sz w:val="17"/>
              </w:rPr>
              <w:t xml:space="preserve">npm run db:backup / db:verify / db:restore</w:t>
            </w:r>
            <w:r>
              <w:rPr>
                <w:sz w:val="17"/>
              </w:rPr>
              <w:t xml:space="preserve">,</w:t>
            </w:r>
            <w:r>
              <w:rPr>
                <w:sz w:val="17"/>
              </w:rPr>
              <w:t xml:space="preserve"> </w:t>
            </w:r>
            <w:r>
              <w:rPr>
                <w:rStyle w:val="VerbatimChar"/>
                <w:sz w:val="17"/>
              </w:rPr>
              <w:t xml:space="preserve">POST /v1/socle/exports</w:t>
            </w:r>
          </w:p>
        </w:tc>
        <w:tc>
          <w:tcPr>
            <w:shd w:val="clear" w:color="auto" w:fill="F5F7FB"/>
          </w:tcPr>
          <w:p>
            <w:pPr>
              <w:pStyle w:val="Compact"/>
            </w:pPr>
            <w:r>
              <w:rPr>
                <w:sz w:val="17"/>
              </w:rPr>
              <w:t xml:space="preserve">Copie WORM hors site, exercices trimestriels</w:t>
            </w:r>
          </w:p>
        </w:tc>
      </w:tr>
      <w:tr>
        <w:tc>
          <w:tcPr/>
          <w:p>
            <w:pPr>
              <w:pStyle w:val="Compact"/>
            </w:pPr>
            <w:r>
              <w:rPr>
                <w:sz w:val="17"/>
              </w:rPr>
              <w:t xml:space="preserve">Contribuable</w:t>
            </w:r>
          </w:p>
        </w:tc>
        <w:tc>
          <w:tcPr/>
          <w:p>
            <w:pPr>
              <w:pStyle w:val="Compact"/>
            </w:pPr>
            <w:r>
              <w:rPr>
                <w:sz w:val="17"/>
              </w:rPr>
              <w:t xml:space="preserve">Téléphone + OTP SMS (5 min, 5 essais, empreinte seule)</w:t>
            </w:r>
          </w:p>
        </w:tc>
        <w:tc>
          <w:tcPr/>
          <w:p>
            <w:pPr>
              <w:pStyle w:val="Compact"/>
            </w:pPr>
            <w:r>
              <w:rPr>
                <w:rStyle w:val="VerbatimChar"/>
                <w:sz w:val="17"/>
              </w:rPr>
              <w:t xml:space="preserve">POST /v1/auth/login</w:t>
            </w:r>
            <w:r>
              <w:rPr>
                <w:sz w:val="17"/>
              </w:rPr>
              <w:t xml:space="preserve">,</w:t>
            </w:r>
            <w:r>
              <w:rPr>
                <w:sz w:val="17"/>
              </w:rPr>
              <w:t xml:space="preserve"> </w:t>
            </w:r>
            <w:r>
              <w:rPr>
                <w:rStyle w:val="VerbatimChar"/>
                <w:sz w:val="17"/>
              </w:rPr>
              <w:t xml:space="preserve">POST /v1/auth/otp</w:t>
            </w:r>
          </w:p>
        </w:tc>
        <w:tc>
          <w:tcPr/>
          <w:p>
            <w:pPr>
              <w:pStyle w:val="Compact"/>
            </w:pPr>
            <w:r>
              <w:rPr>
                <w:sz w:val="17"/>
              </w:rPr>
              <w:t xml:space="preserve">Fournisseur SMS réel</w:t>
            </w:r>
          </w:p>
        </w:tc>
      </w:tr>
      <w:tr>
        <w:tc>
          <w:tcPr>
            <w:shd w:val="clear" w:color="auto" w:fill="F5F7FB"/>
          </w:tcPr>
          <w:p>
            <w:pPr>
              <w:pStyle w:val="Compact"/>
            </w:pPr>
            <w:r>
              <w:rPr>
                <w:sz w:val="17"/>
              </w:rPr>
              <w:t xml:space="preserve">Agent</w:t>
            </w:r>
          </w:p>
        </w:tc>
        <w:tc>
          <w:tcPr>
            <w:shd w:val="clear" w:color="auto" w:fill="F5F7FB"/>
          </w:tcPr>
          <w:p>
            <w:pPr>
              <w:pStyle w:val="Compact"/>
            </w:pPr>
            <w:r>
              <w:rPr>
                <w:sz w:val="17"/>
              </w:rPr>
              <w:t xml:space="preserve">Mot de passe + TOTP (MFA pour tous), verrouillage temporaire</w:t>
            </w:r>
          </w:p>
        </w:tc>
        <w:tc>
          <w:tcPr>
            <w:shd w:val="clear" w:color="auto" w:fill="F5F7FB"/>
          </w:tcPr>
          <w:p>
            <w:pPr>
              <w:pStyle w:val="Compact"/>
            </w:pPr>
            <w:r>
              <w:rPr>
                <w:sz w:val="17"/>
              </w:rPr>
              <w:t xml:space="preserve">idem</w:t>
            </w:r>
          </w:p>
        </w:tc>
        <w:tc>
          <w:tcPr>
            <w:shd w:val="clear" w:color="auto" w:fill="F5F7FB"/>
          </w:tcPr>
          <w:p>
            <w:pPr>
              <w:pStyle w:val="Compact"/>
            </w:pPr>
            <w:r>
              <w:rPr>
                <w:sz w:val="17"/>
              </w:rPr>
              <w:t xml:space="preserve">Passkeys / FIDO2 pour rôles sensibles, IdP Keycloak</w:t>
            </w:r>
          </w:p>
        </w:tc>
      </w:tr>
      <w:tr>
        <w:tc>
          <w:tcPr/>
          <w:p>
            <w:pPr>
              <w:pStyle w:val="Compact"/>
            </w:pPr>
            <w:r>
              <w:rPr>
                <w:sz w:val="17"/>
              </w:rPr>
              <w:t xml:space="preserve">Sessions</w:t>
            </w:r>
          </w:p>
        </w:tc>
        <w:tc>
          <w:tcPr/>
          <w:p>
            <w:pPr>
              <w:pStyle w:val="Compact"/>
            </w:pPr>
            <w:r>
              <w:rPr>
                <w:sz w:val="17"/>
              </w:rPr>
              <w:t xml:space="preserve">JWT EdDSA 15 min, JWKS, révocation, appareil partagé</w:t>
            </w:r>
          </w:p>
        </w:tc>
        <w:tc>
          <w:tcPr/>
          <w:p>
            <w:pPr>
              <w:pStyle w:val="Compact"/>
            </w:pPr>
            <w:r>
              <w:rPr>
                <w:rStyle w:val="VerbatimChar"/>
                <w:sz w:val="17"/>
              </w:rPr>
              <w:t xml:space="preserve">/v1/auth/me</w:t>
            </w:r>
            <w:r>
              <w:rPr>
                <w:sz w:val="17"/>
              </w:rPr>
              <w:t xml:space="preserve">,</w:t>
            </w:r>
            <w:r>
              <w:rPr>
                <w:sz w:val="17"/>
              </w:rPr>
              <w:t xml:space="preserve"> </w:t>
            </w:r>
            <w:r>
              <w:rPr>
                <w:rStyle w:val="VerbatimChar"/>
                <w:sz w:val="17"/>
              </w:rPr>
              <w:t xml:space="preserve">/refresh</w:t>
            </w:r>
            <w:r>
              <w:rPr>
                <w:sz w:val="17"/>
              </w:rPr>
              <w:t xml:space="preserve">,</w:t>
            </w:r>
            <w:r>
              <w:rPr>
                <w:sz w:val="17"/>
              </w:rPr>
              <w:t xml:space="preserve"> </w:t>
            </w:r>
            <w:r>
              <w:rPr>
                <w:rStyle w:val="VerbatimChar"/>
                <w:sz w:val="17"/>
              </w:rPr>
              <w:t xml:space="preserve">/logout</w:t>
            </w:r>
            <w:r>
              <w:rPr>
                <w:sz w:val="17"/>
              </w:rPr>
              <w:t xml:space="preserve">,</w:t>
            </w:r>
            <w:r>
              <w:rPr>
                <w:sz w:val="17"/>
              </w:rPr>
              <w:t xml:space="preserve"> </w:t>
            </w:r>
            <w:r>
              <w:rPr>
                <w:rStyle w:val="VerbatimChar"/>
                <w:sz w:val="17"/>
              </w:rPr>
              <w:t xml:space="preserve">/sessions</w:t>
            </w:r>
          </w:p>
        </w:tc>
        <w:tc>
          <w:tcPr/>
          <w:p>
            <w:pPr>
              <w:pStyle w:val="Compact"/>
            </w:pPr>
            <w:r>
              <w:rPr>
                <w:sz w:val="17"/>
              </w:rPr>
              <w:t xml:space="preserve">Jetons en cookie httpOnly (BFF)</w:t>
            </w:r>
          </w:p>
        </w:tc>
      </w:tr>
      <w:tr>
        <w:tc>
          <w:tcPr>
            <w:shd w:val="clear" w:color="auto" w:fill="F5F7FB"/>
          </w:tcPr>
          <w:p>
            <w:pPr>
              <w:pStyle w:val="Compact"/>
            </w:pPr>
            <w:r>
              <w:rPr>
                <w:sz w:val="17"/>
              </w:rPr>
              <w:t xml:space="preserve">Démonstration</w:t>
            </w:r>
          </w:p>
        </w:tc>
        <w:tc>
          <w:tcPr>
            <w:shd w:val="clear" w:color="auto" w:fill="F5F7FB"/>
          </w:tcPr>
          <w:p>
            <w:pPr>
              <w:pStyle w:val="Compact"/>
            </w:pPr>
            <w:r>
              <w:rPr>
                <w:rStyle w:val="VerbatimChar"/>
                <w:sz w:val="17"/>
              </w:rPr>
              <w:t xml:space="preserve">x-demo-user</w:t>
            </w:r>
            <w:r>
              <w:rPr>
                <w:sz w:val="17"/>
              </w:rPr>
              <w:t xml:space="preserve">, codes affichés, comptes fictifs</w:t>
            </w:r>
          </w:p>
        </w:tc>
        <w:tc>
          <w:tcPr>
            <w:shd w:val="clear" w:color="auto" w:fill="F5F7FB"/>
          </w:tcPr>
          <w:p>
            <w:pPr>
              <w:pStyle w:val="Compact"/>
            </w:pPr>
            <w:r>
              <w:rPr>
                <w:rStyle w:val="VerbatimChar"/>
                <w:sz w:val="17"/>
              </w:rPr>
              <w:t xml:space="preserve">MOSOLO_DEMO_MODE</w:t>
            </w:r>
            <w:r>
              <w:rPr>
                <w:sz w:val="17"/>
              </w:rPr>
              <w:t xml:space="preserve"> </w:t>
            </w:r>
            <w:r>
              <w:rPr>
                <w:sz w:val="17"/>
              </w:rPr>
              <w:t xml:space="preserve">(défaut actif)</w:t>
            </w:r>
          </w:p>
        </w:tc>
        <w:tc>
          <w:tcPr>
            <w:shd w:val="clear" w:color="auto" w:fill="F5F7FB"/>
          </w:tcPr>
          <w:p>
            <w:pPr>
              <w:pStyle w:val="Compact"/>
            </w:pPr>
            <w:r>
              <w:rPr>
                <w:sz w:val="17"/>
              </w:rPr>
              <w:t xml:space="preserve">Désactivation en production</w:t>
            </w:r>
          </w:p>
        </w:tc>
      </w:tr>
      <w:tr>
        <w:tc>
          <w:tcPr/>
          <w:p>
            <w:pPr>
              <w:pStyle w:val="Compact"/>
            </w:pPr>
            <w:r>
              <w:rPr>
                <w:sz w:val="17"/>
              </w:rPr>
              <w:t xml:space="preserve">Débit</w:t>
            </w:r>
          </w:p>
        </w:tc>
        <w:tc>
          <w:tcPr/>
          <w:p>
            <w:pPr>
              <w:pStyle w:val="Compact"/>
            </w:pPr>
            <w:r>
              <w:rPr>
                <w:sz w:val="17"/>
              </w:rPr>
              <w:t xml:space="preserve">Fenêtre glissante, 3 paliers, 429 RFC 9457 + audit</w:t>
            </w:r>
          </w:p>
        </w:tc>
        <w:tc>
          <w:tcPr/>
          <w:p>
            <w:pPr>
              <w:pStyle w:val="Compact"/>
            </w:pPr>
            <w:r>
              <w:rPr>
                <w:rStyle w:val="VerbatimChar"/>
                <w:sz w:val="17"/>
              </w:rPr>
              <w:t xml:space="preserve">MOSOLO_RATE_LIMIT*</w:t>
            </w:r>
          </w:p>
        </w:tc>
        <w:tc>
          <w:tcPr/>
          <w:p>
            <w:pPr>
              <w:pStyle w:val="Compact"/>
            </w:pPr>
            <w:r>
              <w:rPr>
                <w:sz w:val="17"/>
              </w:rPr>
              <w:t xml:space="preserve">Passerelle API, détection d’abus</w:t>
            </w:r>
          </w:p>
        </w:tc>
      </w:tr>
      <w:tr>
        <w:tc>
          <w:tcPr>
            <w:shd w:val="clear" w:color="auto" w:fill="F5F7FB"/>
          </w:tcPr>
          <w:p>
            <w:pPr>
              <w:pStyle w:val="Compact"/>
            </w:pPr>
            <w:r>
              <w:rPr>
                <w:sz w:val="17"/>
              </w:rPr>
              <w:t xml:space="preserve">CI</w:t>
            </w:r>
          </w:p>
        </w:tc>
        <w:tc>
          <w:tcPr>
            <w:shd w:val="clear" w:color="auto" w:fill="F5F7FB"/>
          </w:tcPr>
          <w:p>
            <w:pPr>
              <w:pStyle w:val="Compact"/>
            </w:pPr>
            <w:r>
              <w:rPr>
                <w:sz w:val="17"/>
              </w:rPr>
              <w:t xml:space="preserve">Types, tests, construction, PostgreSQL réel</w:t>
            </w:r>
          </w:p>
        </w:tc>
        <w:tc>
          <w:tcPr>
            <w:shd w:val="clear" w:color="auto" w:fill="F5F7FB"/>
          </w:tcPr>
          <w:p>
            <w:pPr>
              <w:pStyle w:val="Compact"/>
            </w:pPr>
            <w:r>
              <w:rPr>
                <w:rStyle w:val="VerbatimChar"/>
                <w:sz w:val="17"/>
              </w:rPr>
              <w:t xml:space="preserve">.github/workflows/ci.yml</w:t>
            </w:r>
          </w:p>
        </w:tc>
        <w:tc>
          <w:tcPr>
            <w:shd w:val="clear" w:color="auto" w:fill="F5F7FB"/>
          </w:tcPr>
          <w:p>
            <w:pPr>
              <w:pStyle w:val="Compact"/>
            </w:pPr>
            <w:r>
              <w:rPr>
                <w:sz w:val="17"/>
              </w:rPr>
              <w:t xml:space="preserve">SAST/DAST, SBOM, portes de mise en production</w:t>
            </w:r>
          </w:p>
        </w:tc>
      </w:tr>
    </w:tbl>
    <w:bookmarkEnd w:id="611"/>
    <w:bookmarkStart w:id="613" w:name="Xf2cfa537119b7d826edd9fc3e28c1419b920455"/>
    <w:p>
      <w:pPr>
        <w:pStyle w:val="Heading2"/>
      </w:pPr>
      <w:r>
        <w:t xml:space="preserve">I.2 Accès, entités, invitations, mandats et identité</w:t>
      </w:r>
    </w:p>
    <w:bookmarkStart w:id="612" w:name="X855ed5fa59c20a053fafd7d30906f384d69c167"/>
    <w:p>
      <w:pPr>
        <w:pStyle w:val="Heading4"/>
      </w:pPr>
      <w:r>
        <w:t xml:space="preserve">Module « acces » — identité avancée, entités, invitations en cascade et arbitrage entre entités</w:t>
      </w:r>
    </w:p>
    <w:p>
      <w:pPr>
        <w:pStyle w:val="FirstParagraph"/>
      </w:pPr>
      <w:r>
        <w:t xml:space="preserve">Le module « acces » applique deux principes. Pour le citoyen, un compte unique. Pour les administrations, des espaces propres (§ 10A, § 12A).</w:t>
      </w:r>
    </w:p>
    <w:p>
      <w:pPr>
        <w:pStyle w:val="BodyText"/>
      </w:pPr>
      <w:r>
        <w:t xml:space="preserve">Chaque entité reçoit un</w:t>
      </w:r>
      <w:r>
        <w:t xml:space="preserve"> </w:t>
      </w:r>
      <w:r>
        <w:rPr>
          <w:b/>
          <w:bCs/>
        </w:rPr>
        <w:t xml:space="preserve">espace d’entité</w:t>
      </w:r>
      <w:r>
        <w:t xml:space="preserve">. C’est l’administrateur de la plateforme qui le crée, sur décision écrite du Comité de pilotage (ARB-63). Les entités sont des régies, ministères, communes, services techniques, Trésor, audit, sous-traitants ou opérateurs délégués. Elles sont organisées en arborescence : un administrateur d’entité agit dans son entité et dans ses sous-entités, jamais au-delà.</w:t>
      </w:r>
    </w:p>
    <w:p>
      <w:pPr>
        <w:pStyle w:val="BodyText"/>
      </w:pPr>
      <w:r>
        <w:t xml:space="preserve">Chaque service est décrit par une</w:t>
      </w:r>
      <w:r>
        <w:t xml:space="preserve"> </w:t>
      </w:r>
      <w:r>
        <w:rPr>
          <w:b/>
          <w:bCs/>
        </w:rPr>
        <w:t xml:space="preserve">fiche de configuration de module</w:t>
      </w:r>
      <w:r>
        <w:t xml:space="preserve">. Elle précise l’entité responsable, les comptes bénéficiaires et les règles du registre. Elle précise aussi les types d’objets et de titres, le modèle de validité, les preuves, les canaux et les dépendances. Seuls les alias de comptes publics du coffre sont acceptés.</w:t>
      </w:r>
    </w:p>
    <w:p>
      <w:pPr>
        <w:pStyle w:val="BodyText"/>
      </w:pPr>
      <w:r>
        <w:t xml:space="preserve">La fiche suit un circuit à visas donnés par des personnes distinctes :</w:t>
      </w:r>
      <w:r>
        <w:t xml:space="preserve"> </w:t>
      </w:r>
      <w:r>
        <w:t xml:space="preserve">1. soumission par l’entité ;</w:t>
      </w:r>
      <w:r>
        <w:t xml:space="preserve"> </w:t>
      </w:r>
      <w:r>
        <w:t xml:space="preserve">2. visa du programme (Cabinet ou Secrétariat général) ;</w:t>
      </w:r>
      <w:r>
        <w:t xml:space="preserve"> </w:t>
      </w:r>
      <w:r>
        <w:t xml:space="preserve">3. visa juridique avec références d’actes ;</w:t>
      </w:r>
      <w:r>
        <w:t xml:space="preserve"> </w:t>
      </w:r>
      <w:r>
        <w:t xml:space="preserve">4. recette constatée par l’exploitation technique ;</w:t>
      </w:r>
      <w:r>
        <w:t xml:space="preserve"> </w:t>
      </w:r>
      <w:r>
        <w:t xml:space="preserve">5. seconde validation par le comité de pilotage, sur référence d’arrêté.</w:t>
      </w:r>
    </w:p>
    <w:p>
      <w:pPr>
        <w:pStyle w:val="BodyText"/>
      </w:pPr>
      <w:r>
        <w:t xml:space="preserve">L’activation est refusée tant qu’une règle de la fiche n’est pas au statut ACTIVE. Un module n’a qu’une seule entité responsable à un instant donné. Chaque changement de rattachement exige une seconde validation et laisse un historique. Le rattachement ne détermine aucune part de recettes : la clé 10/10/10/70 et la « part de 10 % » sont écartées (ARB-01, ARB-05).</w:t>
      </w:r>
    </w:p>
    <w:p>
      <w:pPr>
        <w:pStyle w:val="BodyText"/>
      </w:pPr>
      <w:r>
        <w:rPr>
          <w:b/>
          <w:bCs/>
        </w:rPr>
        <w:t xml:space="preserve">Arbitrage entre entités.</w:t>
      </w:r>
      <w:r>
        <w:t xml:space="preserve"> </w:t>
      </w:r>
      <w:r>
        <w:t xml:space="preserve">Un fait générateur (objet × fait × période) ne peut être revendiqué qu’une fois. Lorsqu’une seconde entité revendique le même fait pour le même objet et la même période :</w:t>
      </w:r>
      <w:r>
        <w:t xml:space="preserve"> </w:t>
      </w:r>
      <w:r>
        <w:t xml:space="preserve">- la revendication est bloquée ;</w:t>
      </w:r>
      <w:r>
        <w:t xml:space="preserve"> </w:t>
      </w:r>
      <w:r>
        <w:t xml:space="preserve">- un dossier d’arbitrage est ouvert ;</w:t>
      </w:r>
      <w:r>
        <w:t xml:space="preserve"> </w:t>
      </w:r>
      <w:r>
        <w:t xml:space="preserve">- aucune obligation n’est créée, donc le citoyen ne voit jamais de double obligation (critère d’acceptation § 10A.4).</w:t>
      </w:r>
    </w:p>
    <w:p>
      <w:pPr>
        <w:pStyle w:val="BodyText"/>
      </w:pPr>
      <w:r>
        <w:t xml:space="preserve">Le même mécanisme vaut pour une compétence de module : une seconde fiche sur un domaine déjà rattaché reste bloquée.</w:t>
      </w:r>
    </w:p>
    <w:p>
      <w:pPr>
        <w:pStyle w:val="BodyText"/>
      </w:pPr>
      <w:r>
        <w:t xml:space="preserve">Le dossier est d’abord instruit par un juriste, qui rend un avis motivé. Il est ensuite tranché par une autorité distincte, étrangère aux entités en litige et authentifiée par un second facteur. Aucune obligation déjà émise n’est annulée d’office : si elle relève d’une autre entité, la décision le signale et la rectification passe par le circuit de réclamation.</w:t>
      </w:r>
    </w:p>
    <w:p>
      <w:pPr>
        <w:pStyle w:val="BodyText"/>
      </w:pPr>
      <w:r>
        <w:t xml:space="preserve">La liquidation « sous garde » procède en trois temps :</w:t>
      </w:r>
      <w:r>
        <w:t xml:space="preserve"> </w:t>
      </w:r>
      <w:r>
        <w:t xml:space="preserve">- elle vérifie la revendication ;</w:t>
      </w:r>
      <w:r>
        <w:t xml:space="preserve"> </w:t>
      </w:r>
      <w:r>
        <w:t xml:space="preserve">- elle refuse toute seconde obligation pour le même fait et la même période ;</w:t>
      </w:r>
      <w:r>
        <w:t xml:space="preserve"> </w:t>
      </w:r>
      <w:r>
        <w:t xml:space="preserve">- elle passe ensuite par le circuit commun (</w:t>
      </w:r>
      <w:r>
        <w:rPr>
          <w:rStyle w:val="VerbatimChar"/>
        </w:rPr>
        <w:t xml:space="preserve">ctx.assessment</w:t>
      </w:r>
      <w:r>
        <w:t xml:space="preserve">), avec la règle ACTIVE de l’entité.</w:t>
      </w:r>
    </w:p>
    <w:p>
      <w:pPr>
        <w:pStyle w:val="BodyText"/>
      </w:pPr>
      <w:r>
        <w:rPr>
          <w:b/>
          <w:bCs/>
        </w:rPr>
        <w:t xml:space="preserve">Invitations en cascade.</w:t>
      </w:r>
      <w:r>
        <w:t xml:space="preserve"> </w:t>
      </w:r>
      <w:r>
        <w:t xml:space="preserve">Aucun compte de travail ne naît d’une inscription publique. Le parcours public ne crée que des comptes de contribuable ; il rejette tout champ de rôle. Inviter est une permission explicite, délégable après seconde validation et révocable.</w:t>
      </w:r>
    </w:p>
    <w:p>
      <w:pPr>
        <w:pStyle w:val="BodyText"/>
      </w:pPr>
      <w:r>
        <w:t xml:space="preserve">Une invitation est nominative : nom, téléphone, entité, niveau d’accès, rôles, périmètre, date de fin, motif. Elle respecte trois interdits :</w:t>
      </w:r>
      <w:r>
        <w:t xml:space="preserve"> </w:t>
      </w:r>
      <w:r>
        <w:t xml:space="preserve">- pas d’élévation : le niveau et les rôles accordés sont inférieurs ou égaux à ceux de l’invitant ;</w:t>
      </w:r>
      <w:r>
        <w:t xml:space="preserve"> </w:t>
      </w:r>
      <w:r>
        <w:t xml:space="preserve">- pas de sortie de périmètre : même entité, même territoire, mêmes modules ;</w:t>
      </w:r>
      <w:r>
        <w:t xml:space="preserve"> </w:t>
      </w:r>
      <w:r>
        <w:t xml:space="preserve">- pas de rôles incompatibles au sens du § 12.5.</w:t>
      </w:r>
    </w:p>
    <w:p>
      <w:pPr>
        <w:pStyle w:val="BodyText"/>
      </w:pPr>
      <w:r>
        <w:t xml:space="preserve">L’invité reçoit un lien et un code à usage unique. Le lien est valable 72 heures, ne sert qu’une fois et ne fonctionne qu’avec le numéro invité. Pour finaliser, la personne présente :</w:t>
      </w:r>
      <w:r>
        <w:t xml:space="preserve"> </w:t>
      </w:r>
      <w:r>
        <w:t xml:space="preserve">- ce code ;</w:t>
      </w:r>
      <w:r>
        <w:t xml:space="preserve"> </w:t>
      </w:r>
      <w:r>
        <w:t xml:space="preserve">- une pièce d’identité ;</w:t>
      </w:r>
      <w:r>
        <w:t xml:space="preserve"> </w:t>
      </w:r>
      <w:r>
        <w:t xml:space="preserve">- une photographie ;</w:t>
      </w:r>
      <w:r>
        <w:t xml:space="preserve"> </w:t>
      </w:r>
      <w:r>
        <w:t xml:space="preserve">- un second facteur qu’elle définit elle-même (une clé d’accès pour les rôles sensibles) ;</w:t>
      </w:r>
      <w:r>
        <w:t xml:space="preserve"> </w:t>
      </w:r>
      <w:r>
        <w:t xml:space="preserve">- un terminal enregistré, s’il s’agit d’un agent de terrain.</w:t>
      </w:r>
    </w:p>
    <w:p>
      <w:pPr>
        <w:pStyle w:val="BodyText"/>
      </w:pPr>
      <w:r>
        <w:t xml:space="preserve">Certains comptes restent inactifs jusqu’à une seconde validation par une personne distincte de l’invitant :</w:t>
      </w:r>
      <w:r>
        <w:t xml:space="preserve"> </w:t>
      </w:r>
      <w:r>
        <w:t xml:space="preserve">- rôles sensibles et comptes disposant du droit d’inviter : responsable sécurité ou direction de l’entité ;</w:t>
      </w:r>
      <w:r>
        <w:t xml:space="preserve"> </w:t>
      </w:r>
      <w:r>
        <w:t xml:space="preserve">- compte du Gouverneur : confirmation hors bande par le Cabinet ou le Secrétariat général ;</w:t>
      </w:r>
      <w:r>
        <w:t xml:space="preserve"> </w:t>
      </w:r>
      <w:r>
        <w:t xml:space="preserve">- comptes d’audit : autorité d’audit ;</w:t>
      </w:r>
      <w:r>
        <w:t xml:space="preserve"> </w:t>
      </w:r>
      <w:r>
        <w:t xml:space="preserve">- agents de terrain : habilitation par la régie, sur formation certifiée.</w:t>
      </w:r>
    </w:p>
    <w:p>
      <w:pPr>
        <w:pStyle w:val="BodyText"/>
      </w:pPr>
      <w:r>
        <w:t xml:space="preserve">L’opérateur d’accès désigné peut finaliser en présence de la personne une invitation déjà émise par son entité. Il ne modifie ni le niveau ni le périmètre et ne connaît jamais les secrets. La révocation d’un compte est immédiate et révoque aussi ses terminaux ; ses invités sont rattachés au successeur. La suspension d’une entité révoque en cascade tous ses comptes et toutes ses invitations. Chaque étape est journalisée dans le journal chaîné, qui est visible de l’administrateur de l’entité et de l’audit.</w:t>
      </w:r>
    </w:p>
    <w:p>
      <w:pPr>
        <w:pStyle w:val="BodyText"/>
      </w:pPr>
      <w:r>
        <w:rPr>
          <w:b/>
          <w:bCs/>
        </w:rPr>
        <w:t xml:space="preserve">Identité avancée.</w:t>
      </w:r>
      <w:r>
        <w:t xml:space="preserve"> </w:t>
      </w:r>
      <w:r>
        <w:t xml:space="preserve">Le téléphone est vérifié par un code à usage unique : 5 minutes, 5 essais, empreinte stockée seulement. En bac à sable, le code est journalisé dans une boîte d’envoi de démonstration. Il n’est jamais renvoyé par l’API métier, et cette boîte disparaît dès qu’un fournisseur SMS est branché.</w:t>
      </w:r>
    </w:p>
    <w:p>
      <w:pPr>
        <w:pStyle w:val="BodyText"/>
      </w:pPr>
      <w:r>
        <w:t xml:space="preserve">Les niveaux N0-A et N0 à N3 sont calculés à partir de preuves. Chaque pièce est contrôlée par une personne distincte de celle qui l’a saisie, et le niveau ne baisse jamais d’office.</w:t>
      </w:r>
    </w:p>
    <w:p>
      <w:pPr>
        <w:pStyle w:val="BodyText"/>
      </w:pPr>
      <w:r>
        <w:t xml:space="preserve">Les personnes morales s’inscrivent avec leurs identifiants RCCM, identification nationale et NIF. Ces identifiants ont le statut probant « déclaré » tant qu’ils ne sont pas contrôlés. L’inscription désigne des représentants nommément habilités. L’enrôlement assisté N0-A se fait avec un consentement devant témoin ou oral enregistré. L’empreinte reste désactivée tant que la question J18 n’est pas certifiée, et l’agent ne reçoit jamais de paiement.</w:t>
      </w:r>
    </w:p>
    <w:p>
      <w:pPr>
        <w:pStyle w:val="BodyText"/>
      </w:pPr>
      <w:r>
        <w:t xml:space="preserve">Le système propose les doublons à partir d’une même pièce, d’un même RCCM, d’un même NIF ou d’un même courriel. Une similitude de noms ne suffit pas sans pièce justificative. La fusion suit trois étapes, par trois personnes distinctes : proposition, vérification, approbation. Elle conserve les preuves des deux comptes et reste réversible.</w:t>
      </w:r>
    </w:p>
    <w:p>
      <w:pPr>
        <w:pStyle w:val="BodyText"/>
      </w:pPr>
      <w:r>
        <w:t xml:space="preserve">Le contribuable de niveau N1 au moins peut désigner un mandataire. Le mandat précise les actions (consulter, déclarer, payer, contester), les objets et la durée (trois ans au plus). Un mandat de tiers professionnel est réservé aux mandataires certifiés N3. Le mandat est révocable par le mandant ou par le mandataire, et la politique d’accès commune suit immédiatement son état.</w:t>
      </w:r>
    </w:p>
    <w:p>
      <w:pPr>
        <w:pStyle w:val="BodyText"/>
      </w:pPr>
      <w:r>
        <w:rPr>
          <w:b/>
          <w:bCs/>
        </w:rPr>
        <w:t xml:space="preserve">Consultation motivée.</w:t>
      </w:r>
      <w:r>
        <w:t xml:space="preserve"> </w:t>
      </w:r>
      <w:r>
        <w:t xml:space="preserve">Toute consultation d’un dossier individuel par cette voie déclare sa finalité et son motif. Hors du périmètre de l’agent, l’accès « bris de glace » :</w:t>
      </w:r>
      <w:r>
        <w:t xml:space="preserve"> </w:t>
      </w:r>
      <w:r>
        <w:t xml:space="preserve">- exige un second facteur ;</w:t>
      </w:r>
      <w:r>
        <w:t xml:space="preserve"> </w:t>
      </w:r>
      <w:r>
        <w:t xml:space="preserve">- dure 30 minutes ;</w:t>
      </w:r>
      <w:r>
        <w:t xml:space="preserve"> </w:t>
      </w:r>
      <w:r>
        <w:t xml:space="preserve">- déclenche une alerte à l’audit et à la sécurité ;</w:t>
      </w:r>
      <w:r>
        <w:t xml:space="preserve"> </w:t>
      </w:r>
      <w:r>
        <w:t xml:space="preserve">- fait l’objet d’une revue a posteriori.</w:t>
      </w:r>
    </w:p>
    <w:p>
      <w:pPr>
        <w:pStyle w:val="BodyText"/>
      </w:pPr>
      <w:r>
        <w:t xml:space="preserve">La consultation de son propre dossier ou de celui d’un proche déclaré est refusée, et l’administrateur de la plateforme n’y a pas accès. Une revue qui conclut à une consultation injustifiée ouvre un signalement, sans sanction automatique.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Fonction</w:t>
            </w:r>
          </w:p>
        </w:tc>
        <w:tc>
          <w:tcPr>
            <w:shd w:val="clear" w:color="auto" w:fill="232C6B"/>
          </w:tcPr>
          <w:p>
            <w:pPr>
              <w:pStyle w:val="Compact"/>
            </w:pPr>
            <w:r>
              <w:rPr>
                <w:b/>
                <w:color w:val="FFFFFF"/>
                <w:sz w:val="17"/>
              </w:rPr>
              <w:t xml:space="preserve">Garde-fou principal</w:t>
            </w:r>
          </w:p>
        </w:tc>
        <w:tc>
          <w:tcPr>
            <w:shd w:val="clear" w:color="auto" w:fill="232C6B"/>
          </w:tcPr>
          <w:p>
            <w:pPr>
              <w:pStyle w:val="Compact"/>
            </w:pPr>
            <w:r>
              <w:rPr>
                <w:b/>
                <w:color w:val="FFFFFF"/>
                <w:sz w:val="17"/>
              </w:rPr>
              <w:t xml:space="preserve">Références</w:t>
            </w:r>
          </w:p>
        </w:tc>
      </w:tr>
      <w:tr>
        <w:tc>
          <w:tcPr/>
          <w:p>
            <w:pPr>
              <w:pStyle w:val="Compact"/>
            </w:pPr>
            <w:r>
              <w:rPr>
                <w:sz w:val="17"/>
              </w:rPr>
              <w:t xml:space="preserve">Espaces d’entité</w:t>
            </w:r>
          </w:p>
        </w:tc>
        <w:tc>
          <w:tcPr/>
          <w:p>
            <w:pPr>
              <w:pStyle w:val="Compact"/>
            </w:pPr>
            <w:r>
              <w:rPr>
                <w:sz w:val="17"/>
              </w:rPr>
              <w:t xml:space="preserve">Création sur décision écrite du Comité de pilotage ; suspension ⇒ révocation en cascade</w:t>
            </w:r>
          </w:p>
        </w:tc>
        <w:tc>
          <w:tcPr/>
          <w:p>
            <w:pPr>
              <w:pStyle w:val="Compact"/>
            </w:pPr>
            <w:r>
              <w:rPr>
                <w:sz w:val="17"/>
              </w:rPr>
              <w:t xml:space="preserve">§ 12A.3, § 12A.5, ARB-63</w:t>
            </w:r>
          </w:p>
        </w:tc>
      </w:tr>
      <w:tr>
        <w:tc>
          <w:tcPr>
            <w:shd w:val="clear" w:color="auto" w:fill="F5F7FB"/>
          </w:tcPr>
          <w:p>
            <w:pPr>
              <w:pStyle w:val="Compact"/>
            </w:pPr>
            <w:r>
              <w:rPr>
                <w:sz w:val="17"/>
              </w:rPr>
              <w:t xml:space="preserve">Fiche de module</w:t>
            </w:r>
          </w:p>
        </w:tc>
        <w:tc>
          <w:tcPr>
            <w:shd w:val="clear" w:color="auto" w:fill="F5F7FB"/>
          </w:tcPr>
          <w:p>
            <w:pPr>
              <w:pStyle w:val="Compact"/>
            </w:pPr>
            <w:r>
              <w:rPr>
                <w:sz w:val="17"/>
              </w:rPr>
              <w:t xml:space="preserve">Visas distincts, recette, seconde validation sur arrêté ; règles ACTIVE ; comptes du coffre seulement</w:t>
            </w:r>
          </w:p>
        </w:tc>
        <w:tc>
          <w:tcPr>
            <w:shd w:val="clear" w:color="auto" w:fill="F5F7FB"/>
          </w:tcPr>
          <w:p>
            <w:pPr>
              <w:pStyle w:val="Compact"/>
            </w:pPr>
            <w:r>
              <w:rPr>
                <w:sz w:val="17"/>
              </w:rPr>
              <w:t xml:space="preserve">§ 10A.4, H.4.3, AC-ENT-02/03</w:t>
            </w:r>
          </w:p>
        </w:tc>
      </w:tr>
      <w:tr>
        <w:tc>
          <w:tcPr/>
          <w:p>
            <w:pPr>
              <w:pStyle w:val="Compact"/>
            </w:pPr>
            <w:r>
              <w:rPr>
                <w:sz w:val="17"/>
              </w:rPr>
              <w:t xml:space="preserve">Arbitrage</w:t>
            </w:r>
          </w:p>
        </w:tc>
        <w:tc>
          <w:tcPr/>
          <w:p>
            <w:pPr>
              <w:pStyle w:val="Compact"/>
            </w:pPr>
            <w:r>
              <w:rPr>
                <w:sz w:val="17"/>
              </w:rPr>
              <w:t xml:space="preserve">Seconde revendication bloquée ; avis puis décision motivée d’une autorité étrangère au litige ; aucune annulation d’office</w:t>
            </w:r>
          </w:p>
        </w:tc>
        <w:tc>
          <w:tcPr/>
          <w:p>
            <w:pPr>
              <w:pStyle w:val="Compact"/>
            </w:pPr>
            <w:r>
              <w:rPr>
                <w:sz w:val="17"/>
              </w:rPr>
              <w:t xml:space="preserve">§ 10A.3, § 10A.4, J22</w:t>
            </w:r>
          </w:p>
        </w:tc>
      </w:tr>
      <w:tr>
        <w:tc>
          <w:tcPr>
            <w:shd w:val="clear" w:color="auto" w:fill="F5F7FB"/>
          </w:tcPr>
          <w:p>
            <w:pPr>
              <w:pStyle w:val="Compact"/>
            </w:pPr>
            <w:r>
              <w:rPr>
                <w:sz w:val="17"/>
              </w:rPr>
              <w:t xml:space="preserve">Invitations</w:t>
            </w:r>
          </w:p>
        </w:tc>
        <w:tc>
          <w:tcPr>
            <w:shd w:val="clear" w:color="auto" w:fill="F5F7FB"/>
          </w:tcPr>
          <w:p>
            <w:pPr>
              <w:pStyle w:val="Compact"/>
            </w:pPr>
            <w:r>
              <w:rPr>
                <w:sz w:val="17"/>
              </w:rPr>
              <w:t xml:space="preserve">Droit d’inviter explicite ; pas d’élévation ni de sortie de périmètre ; lien à usage unique, lié au numéro, 72 h</w:t>
            </w:r>
          </w:p>
        </w:tc>
        <w:tc>
          <w:tcPr>
            <w:shd w:val="clear" w:color="auto" w:fill="F5F7FB"/>
          </w:tcPr>
          <w:p>
            <w:pPr>
              <w:pStyle w:val="Compact"/>
            </w:pPr>
            <w:r>
              <w:rPr>
                <w:sz w:val="17"/>
              </w:rPr>
              <w:t xml:space="preserve">§ 12A.2, § 12A.5, AC-INV-01 à 03</w:t>
            </w:r>
          </w:p>
        </w:tc>
      </w:tr>
      <w:tr>
        <w:tc>
          <w:tcPr/>
          <w:p>
            <w:pPr>
              <w:pStyle w:val="Compact"/>
            </w:pPr>
            <w:r>
              <w:rPr>
                <w:sz w:val="17"/>
              </w:rPr>
              <w:t xml:space="preserve">Seconde validation</w:t>
            </w:r>
          </w:p>
        </w:tc>
        <w:tc>
          <w:tcPr/>
          <w:p>
            <w:pPr>
              <w:pStyle w:val="Compact"/>
            </w:pPr>
            <w:r>
              <w:rPr>
                <w:sz w:val="17"/>
              </w:rPr>
              <w:t xml:space="preserve">Personne distincte de l’invitant ; hors bande pour le Gouverneur ; habilitation par la régie pour le terrain</w:t>
            </w:r>
          </w:p>
        </w:tc>
        <w:tc>
          <w:tcPr/>
          <w:p>
            <w:pPr>
              <w:pStyle w:val="Compact"/>
            </w:pPr>
            <w:r>
              <w:rPr>
                <w:sz w:val="17"/>
              </w:rPr>
              <w:t xml:space="preserve">§ 12A.5, § 12A.6, AC-INV-05</w:t>
            </w:r>
          </w:p>
        </w:tc>
      </w:tr>
      <w:tr>
        <w:tc>
          <w:tcPr>
            <w:shd w:val="clear" w:color="auto" w:fill="F5F7FB"/>
          </w:tcPr>
          <w:p>
            <w:pPr>
              <w:pStyle w:val="Compact"/>
            </w:pPr>
            <w:r>
              <w:rPr>
                <w:sz w:val="17"/>
              </w:rPr>
              <w:t xml:space="preserve">Inscription assistée</w:t>
            </w:r>
          </w:p>
        </w:tc>
        <w:tc>
          <w:tcPr>
            <w:shd w:val="clear" w:color="auto" w:fill="F5F7FB"/>
          </w:tcPr>
          <w:p>
            <w:pPr>
              <w:pStyle w:val="Compact"/>
            </w:pPr>
            <w:r>
              <w:rPr>
                <w:sz w:val="17"/>
              </w:rPr>
              <w:t xml:space="preserve">Invitation préalable, même entité, niveau conservé, secrets définis par la personne</w:t>
            </w:r>
          </w:p>
        </w:tc>
        <w:tc>
          <w:tcPr>
            <w:shd w:val="clear" w:color="auto" w:fill="F5F7FB"/>
          </w:tcPr>
          <w:p>
            <w:pPr>
              <w:pStyle w:val="Compact"/>
            </w:pPr>
            <w:r>
              <w:rPr>
                <w:sz w:val="17"/>
              </w:rPr>
              <w:t xml:space="preserve">§ 12A.7, AC-INV-04</w:t>
            </w:r>
          </w:p>
        </w:tc>
      </w:tr>
      <w:tr>
        <w:tc>
          <w:tcPr/>
          <w:p>
            <w:pPr>
              <w:pStyle w:val="Compact"/>
            </w:pPr>
            <w:r>
              <w:rPr>
                <w:sz w:val="17"/>
              </w:rPr>
              <w:t xml:space="preserve">Vérification d’identité</w:t>
            </w:r>
          </w:p>
        </w:tc>
        <w:tc>
          <w:tcPr/>
          <w:p>
            <w:pPr>
              <w:pStyle w:val="Compact"/>
            </w:pPr>
            <w:r>
              <w:rPr>
                <w:sz w:val="17"/>
              </w:rPr>
              <w:t xml:space="preserve">Code à usage unique jamais exposé en production ; niveaux N0-A à N3 fondés sur des preuves</w:t>
            </w:r>
          </w:p>
        </w:tc>
        <w:tc>
          <w:tcPr/>
          <w:p>
            <w:pPr>
              <w:pStyle w:val="Compact"/>
            </w:pPr>
            <w:r>
              <w:rPr>
                <w:sz w:val="17"/>
              </w:rPr>
              <w:t xml:space="preserve">§ 9.1, § 9.2</w:t>
            </w:r>
          </w:p>
        </w:tc>
      </w:tr>
      <w:tr>
        <w:tc>
          <w:tcPr>
            <w:shd w:val="clear" w:color="auto" w:fill="F5F7FB"/>
          </w:tcPr>
          <w:p>
            <w:pPr>
              <w:pStyle w:val="Compact"/>
            </w:pPr>
            <w:r>
              <w:rPr>
                <w:sz w:val="17"/>
              </w:rPr>
              <w:t xml:space="preserve">Doublons et fusion</w:t>
            </w:r>
          </w:p>
        </w:tc>
        <w:tc>
          <w:tcPr>
            <w:shd w:val="clear" w:color="auto" w:fill="F5F7FB"/>
          </w:tcPr>
          <w:p>
            <w:pPr>
              <w:pStyle w:val="Compact"/>
            </w:pPr>
            <w:r>
              <w:rPr>
                <w:sz w:val="17"/>
              </w:rPr>
              <w:t xml:space="preserve">Aucune fusion sur la seule similitude de noms ; trois personnes ; réversible</w:t>
            </w:r>
          </w:p>
        </w:tc>
        <w:tc>
          <w:tcPr>
            <w:shd w:val="clear" w:color="auto" w:fill="F5F7FB"/>
          </w:tcPr>
          <w:p>
            <w:pPr>
              <w:pStyle w:val="Compact"/>
            </w:pPr>
            <w:r>
              <w:rPr>
                <w:sz w:val="17"/>
              </w:rPr>
              <w:t xml:space="preserve">§ 9.1, § 12.3</w:t>
            </w:r>
          </w:p>
        </w:tc>
      </w:tr>
      <w:tr>
        <w:tc>
          <w:tcPr/>
          <w:p>
            <w:pPr>
              <w:pStyle w:val="Compact"/>
            </w:pPr>
            <w:r>
              <w:rPr>
                <w:sz w:val="17"/>
              </w:rPr>
              <w:t xml:space="preserve">Mandats</w:t>
            </w:r>
          </w:p>
        </w:tc>
        <w:tc>
          <w:tcPr/>
          <w:p>
            <w:pPr>
              <w:pStyle w:val="Compact"/>
            </w:pPr>
            <w:r>
              <w:rPr>
                <w:sz w:val="17"/>
              </w:rPr>
              <w:t xml:space="preserve">Périmètre, durée, révocation ; N1 pour le mandant, N3 pour un tiers professionnel</w:t>
            </w:r>
          </w:p>
        </w:tc>
        <w:tc>
          <w:tcPr/>
          <w:p>
            <w:pPr>
              <w:pStyle w:val="Compact"/>
            </w:pPr>
            <w:r>
              <w:rPr>
                <w:sz w:val="17"/>
              </w:rPr>
              <w:t xml:space="preserve">§ 9.1, § 13.5</w:t>
            </w:r>
          </w:p>
        </w:tc>
      </w:tr>
      <w:tr>
        <w:tc>
          <w:tcPr>
            <w:shd w:val="clear" w:color="auto" w:fill="F5F7FB"/>
          </w:tcPr>
          <w:p>
            <w:pPr>
              <w:pStyle w:val="Compact"/>
            </w:pPr>
            <w:r>
              <w:rPr>
                <w:sz w:val="17"/>
              </w:rPr>
              <w:t xml:space="preserve">Consultation motivée</w:t>
            </w:r>
          </w:p>
        </w:tc>
        <w:tc>
          <w:tcPr>
            <w:shd w:val="clear" w:color="auto" w:fill="F5F7FB"/>
          </w:tcPr>
          <w:p>
            <w:pPr>
              <w:pStyle w:val="Compact"/>
            </w:pPr>
            <w:r>
              <w:rPr>
                <w:sz w:val="17"/>
              </w:rPr>
              <w:t xml:space="preserve">Motif obligatoire ; bris de glace avec MFA, 30 min, alerte et revue ; récusation</w:t>
            </w:r>
          </w:p>
        </w:tc>
        <w:tc>
          <w:tcPr>
            <w:shd w:val="clear" w:color="auto" w:fill="F5F7FB"/>
          </w:tcPr>
          <w:p>
            <w:pPr>
              <w:pStyle w:val="Compact"/>
            </w:pPr>
            <w:r>
              <w:rPr>
                <w:sz w:val="17"/>
              </w:rPr>
              <w:t xml:space="preserve">§ 12.1, H.6.8</w:t>
            </w:r>
          </w:p>
        </w:tc>
      </w:tr>
      <w:tr>
        <w:tc>
          <w:tcPr/>
          <w:p>
            <w:pPr>
              <w:pStyle w:val="Compact"/>
            </w:pPr>
            <w:r>
              <w:rPr>
                <w:sz w:val="17"/>
              </w:rPr>
              <w:t xml:space="preserve">MFA (simulé)</w:t>
            </w:r>
          </w:p>
        </w:tc>
        <w:tc>
          <w:tcPr/>
          <w:p>
            <w:pPr>
              <w:pStyle w:val="Compact"/>
            </w:pPr>
            <w:r>
              <w:rPr>
                <w:sz w:val="17"/>
              </w:rPr>
              <w:t xml:space="preserve">Second facteur récent pour les actions sensibles ; clé d’accès exigée pour les rôles sensibles</w:t>
            </w:r>
          </w:p>
        </w:tc>
        <w:tc>
          <w:tcPr/>
          <w:p>
            <w:pPr>
              <w:pStyle w:val="Compact"/>
            </w:pPr>
            <w:r>
              <w:rPr>
                <w:sz w:val="17"/>
              </w:rPr>
              <w:t xml:space="preserve">§ 12.5, § 12A.5</w:t>
            </w:r>
          </w:p>
        </w:tc>
      </w:tr>
    </w:tbl>
    <w:bookmarkEnd w:id="612"/>
    <w:bookmarkEnd w:id="613"/>
    <w:bookmarkStart w:id="614" w:name="X04691651cd553fba44afd9d76156b53680e1cc8"/>
    <w:p>
      <w:pPr>
        <w:pStyle w:val="Heading2"/>
      </w:pPr>
      <w:r>
        <w:t xml:space="preserve">I.3 Fiscal : biens, déclarations, exonérations, quitus</w:t>
      </w:r>
    </w:p>
    <w:p>
      <w:pPr>
        <w:pStyle w:val="FirstParagraph"/>
      </w:pPr>
      <w:r>
        <w:t xml:space="preserve">Le module fiscal (extension</w:t>
      </w:r>
      <w:r>
        <w:t xml:space="preserve"> </w:t>
      </w:r>
      <w:r>
        <w:rPr>
          <w:rStyle w:val="VerbatimChar"/>
        </w:rPr>
        <w:t xml:space="preserve">backend/src/plugins/fiscal</w:t>
      </w:r>
      <w:r>
        <w:t xml:space="preserve">, écrans</w:t>
      </w:r>
      <w:r>
        <w:t xml:space="preserve"> </w:t>
      </w:r>
      <w:r>
        <w:rPr>
          <w:rStyle w:val="VerbatimChar"/>
        </w:rPr>
        <w:t xml:space="preserve">frontend/src/modules/fiscal</w:t>
      </w:r>
      <w:r>
        <w:t xml:space="preserve">) donne une identité fiscale stable à chaque bien et organise les démarches qui s’y rattachent, sans créer de circuit parallèle : liquidation par le moteur commun et les règles du registre, paiement par le circuit commun, audit chaîné et communications du catalogue. La hiérarchie SIG suit le document maître (§ 16.1, § 17) : commune › quartier › avenue › parcelle › bâtiment › unité. À la</w:t>
      </w:r>
      <w:r>
        <w:t xml:space="preserve"> </w:t>
      </w:r>
      <w:r>
        <w:rPr>
          <w:b/>
          <w:bCs/>
        </w:rPr>
        <w:t xml:space="preserve">validation</w:t>
      </w:r>
      <w:r>
        <w:t xml:space="preserve"> </w:t>
      </w:r>
      <w:r>
        <w:t xml:space="preserve">d’un objet par un agent habilité (contrôleur, chef de service ou direction, jamais l’auteur du recensement), le système attribue un</w:t>
      </w:r>
      <w:r>
        <w:t xml:space="preserve"> </w:t>
      </w:r>
      <w:r>
        <w:rPr>
          <w:b/>
          <w:bCs/>
        </w:rPr>
        <w:t xml:space="preserve">identifiant géographique fiscal</w:t>
      </w:r>
      <w:r>
        <w:t xml:space="preserve"> </w:t>
      </w:r>
      <w:r>
        <w:t xml:space="preserve">: un UUID interne permanent et un code territorial lisible au format</w:t>
      </w:r>
      <w:r>
        <w:t xml:space="preserve"> </w:t>
      </w:r>
      <w:r>
        <w:rPr>
          <w:rStyle w:val="VerbatimChar"/>
        </w:rPr>
        <w:t xml:space="preserve">KIN-LIM-Q001-P000001-U01</w:t>
      </w:r>
      <w:r>
        <w:t xml:space="preserve"> </w:t>
      </w:r>
      <w:r>
        <w:t xml:space="preserve">(§ 17.3). Le code n’est jamais réattribué et un sous-objet prolonge le code de son parent. Une étiquette QR signée (« QR par bien », NFIU) est émise à la validation, puis posée par un agent. Avant l’acte J27, elle sert à l’identification administrative et n’entraîne aucune restriction de location (ARB-16).</w:t>
      </w:r>
    </w:p>
    <w:p>
      <w:pPr>
        <w:pStyle w:val="BodyText"/>
      </w:pPr>
      <w:r>
        <w:t xml:space="preserve">Les</w:t>
      </w:r>
      <w:r>
        <w:t xml:space="preserve"> </w:t>
      </w:r>
      <w:r>
        <w:rPr>
          <w:b/>
          <w:bCs/>
        </w:rPr>
        <w:t xml:space="preserve">relations contribuable–objet</w:t>
      </w:r>
      <w:r>
        <w:t xml:space="preserve"> </w:t>
      </w:r>
      <w:r>
        <w:t xml:space="preserve">(propriétaire, copropriétaire, usufruitier, héritier présumé, gestionnaire) sont datées. Elles portent une quote-part, des pièces et un statut probant (déclaré, observé, vérifié, contesté). Une relation sans pièce est refusée. La déclaration d’un contribuable ouvre une instruction et ne vaut jamais preuve de propriété. Un agent distinct du déclarant la valide. Pour un objet de forte valeur, le niveau N2 est exigé. Des revendications qui dépasseraient 100 % sur une même période ouvrent un dossier de conflit, sans qu’aucune donnée de l’autre partie ne soit communiquée. Le conflit est ensuite tranché par une décision motivée. Un détachement (vente, mutation…) clôt la relation sans jamais la supprimer.</w:t>
      </w:r>
    </w:p>
    <w:p>
      <w:pPr>
        <w:pStyle w:val="BodyText"/>
      </w:pPr>
      <w:r>
        <w:t xml:space="preserve">La</w:t>
      </w:r>
      <w:r>
        <w:t xml:space="preserve"> </w:t>
      </w:r>
      <w:r>
        <w:rPr>
          <w:b/>
          <w:bCs/>
        </w:rPr>
        <w:t xml:space="preserve">déclaration pré-remplie</w:t>
      </w:r>
      <w:r>
        <w:t xml:space="preserve"> </w:t>
      </w:r>
      <w:r>
        <w:t xml:space="preserve">reprend les données connues de l’objet : loyers annuels calculés à partir des baux déclarés, superficie et rang de localité. Le contribuable confirme ou corrige, atteste, puis dépose. Il reçoit un accusé de réception horodaté avec l’empreinte du contenu. Une obligation n’est liquidée que si la règle est ACTIVE (quatre visas). Sinon, le calcul reste une</w:t>
      </w:r>
      <w:r>
        <w:t xml:space="preserve"> </w:t>
      </w:r>
      <w:r>
        <w:rPr>
          <w:b/>
          <w:bCs/>
        </w:rPr>
        <w:t xml:space="preserve">simulation non opposable</w:t>
      </w:r>
      <w:r>
        <w:t xml:space="preserve">. Un même fait générateur n’est jamais facturé deux fois sur une même période. Une correction à la baisse d’un élément vérifié ouvre une vérification sans bloquer le dépôt. La correction d’une déclaration déjà liquidée est instruite par un contrôleur ; si elle est acceptée, une obligation rectificative est émise par contre-écriture.</w:t>
      </w:r>
    </w:p>
    <w:p>
      <w:pPr>
        <w:pStyle w:val="BodyText"/>
      </w:pPr>
      <w:r>
        <w:t xml:space="preserve">Le</w:t>
      </w:r>
      <w:r>
        <w:t xml:space="preserve"> </w:t>
      </w:r>
      <w:r>
        <w:rPr>
          <w:b/>
          <w:bCs/>
        </w:rPr>
        <w:t xml:space="preserve">registre des exonérations et remises</w:t>
      </w:r>
      <w:r>
        <w:t xml:space="preserve"> </w:t>
      </w:r>
      <w:r>
        <w:t xml:space="preserve">suit le circuit du § 12.6 : demande, instruction avec base légale obligatoire, visa juridique, puis décision. La base légale doit être un instrument EN VIGUEUR du registre juridique, avec l’article cité. Les deux validations sont données par des personnes distinctes entre elles et distinctes de l’initiateur. Une exonération n’est jamais décidée par l’IA (garde</w:t>
      </w:r>
      <w:r>
        <w:t xml:space="preserve"> </w:t>
      </w:r>
      <w:r>
        <w:rPr>
          <w:rStyle w:val="VerbatimChar"/>
        </w:rPr>
        <w:t xml:space="preserve">APPROVE_EXEMPTION</w:t>
      </w:r>
      <w:r>
        <w:t xml:space="preserve">). Son effet est daté et ne rétroagit jamais sans décision expresse de rétroactivité. Une exonération approuvée s’applique aux liquidations suivantes ; le montant brut et la réduction, avec sa base légale, figurent dans la trace et l’explication de l’obligation. Une remise approuvée rectifie l’obligation visée par contre-écriture. Des alertes de concentration (même décideur, même commune) sont proposées à l’audit.</w:t>
      </w:r>
    </w:p>
    <w:p>
      <w:pPr>
        <w:pStyle w:val="BodyText"/>
      </w:pPr>
      <w:r>
        <w:t xml:space="preserve">Le</w:t>
      </w:r>
      <w:r>
        <w:t xml:space="preserve"> </w:t>
      </w:r>
      <w:r>
        <w:rPr>
          <w:b/>
          <w:bCs/>
        </w:rPr>
        <w:t xml:space="preserve">quitus fiscal numérique</w:t>
      </w:r>
      <w:r>
        <w:t xml:space="preserve"> </w:t>
      </w:r>
      <w:r>
        <w:t xml:space="preserve">n’est délivré que si aucune obligation exigible n’est impayée. Les obligations en recours sont exclues, sauf refus exprès de l’effet suspensif (ARB-17). Chaque obligation exigible doit être soldée sur</w:t>
      </w:r>
      <w:r>
        <w:t xml:space="preserve"> </w:t>
      </w:r>
      <w:r>
        <w:rPr>
          <w:b/>
          <w:bCs/>
        </w:rPr>
        <w:t xml:space="preserve">quittance définitive</w:t>
      </w:r>
      <w:r>
        <w:t xml:space="preserve"> </w:t>
      </w:r>
      <w:r>
        <w:t xml:space="preserve">: un paiement seulement confirmé ne suffit pas. Sa validité est limitée (90 jours, seuil ambre à 15 jours, paramètres de démonstration). Il est vérifiable par QR sans nom ni montant, l’identifiant du contribuable étant masqué, et par l’API des services (R37). Il est révocable sur décision motivée ; la revue ne fait que proposer. Il reste</w:t>
      </w:r>
      <w:r>
        <w:t xml:space="preserve"> </w:t>
      </w:r>
      <w:r>
        <w:rPr>
          <w:b/>
          <w:bCs/>
        </w:rPr>
        <w:t xml:space="preserve">informatif</w:t>
      </w:r>
      <w:r>
        <w:t xml:space="preserve"> </w:t>
      </w:r>
      <w:r>
        <w:t xml:space="preserve">tant que l’acte J6 n’est pas certifié. L’</w:t>
      </w:r>
      <w:r>
        <w:rPr>
          <w:b/>
          <w:bCs/>
        </w:rPr>
        <w:t xml:space="preserve">attestation de bail enregistré</w:t>
      </w:r>
      <w:r>
        <w:t xml:space="preserve"> </w:t>
      </w:r>
      <w:r>
        <w:t xml:space="preserve">est délivrée au bailleur ou au locataire et se vérifie publiquement sans nom ni loyer. Enfin, la</w:t>
      </w:r>
      <w:r>
        <w:t xml:space="preserve"> </w:t>
      </w:r>
      <w:r>
        <w:rPr>
          <w:b/>
          <w:bCs/>
        </w:rPr>
        <w:t xml:space="preserve">carte à deux couches</w:t>
      </w:r>
      <w:r>
        <w:t xml:space="preserve"> </w:t>
      </w:r>
      <w:r>
        <w:t xml:space="preserve">(situation fiscale, et vérification / couverture du recensement) affiche des couleurs calculées par le serveur. Le public ne voit que des agrégats par commune, masqués sous 20 objets. Le contribuable voit ses biens, l’agent son périmètre, sans aucun montant.</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Fonction</w:t>
            </w:r>
          </w:p>
        </w:tc>
        <w:tc>
          <w:tcPr>
            <w:shd w:val="clear" w:color="auto" w:fill="232C6B"/>
          </w:tcPr>
          <w:p>
            <w:pPr>
              <w:pStyle w:val="Compact"/>
            </w:pPr>
            <w:r>
              <w:rPr>
                <w:b/>
                <w:color w:val="FFFFFF"/>
                <w:sz w:val="17"/>
              </w:rPr>
              <w:t xml:space="preserve">Garde-fou principal</w:t>
            </w:r>
          </w:p>
        </w:tc>
        <w:tc>
          <w:tcPr>
            <w:shd w:val="clear" w:color="auto" w:fill="232C6B"/>
          </w:tcPr>
          <w:p>
            <w:pPr>
              <w:pStyle w:val="Compact"/>
            </w:pPr>
            <w:r>
              <w:rPr>
                <w:b/>
                <w:color w:val="FFFFFF"/>
                <w:sz w:val="17"/>
              </w:rPr>
              <w:t xml:space="preserve">Route clé</w:t>
            </w:r>
          </w:p>
        </w:tc>
      </w:tr>
      <w:tr>
        <w:tc>
          <w:tcPr/>
          <w:p>
            <w:pPr>
              <w:pStyle w:val="Compact"/>
            </w:pPr>
            <w:r>
              <w:rPr>
                <w:sz w:val="17"/>
              </w:rPr>
              <w:t xml:space="preserve">IGF et QR par bien</w:t>
            </w:r>
          </w:p>
        </w:tc>
        <w:tc>
          <w:tcPr/>
          <w:p>
            <w:pPr>
              <w:pStyle w:val="Compact"/>
            </w:pPr>
            <w:r>
              <w:rPr>
                <w:sz w:val="17"/>
              </w:rPr>
              <w:t xml:space="preserve">Validation par une personne distincte ; IGF jamais réattribué</w:t>
            </w:r>
          </w:p>
        </w:tc>
        <w:tc>
          <w:tcPr/>
          <w:p>
            <w:pPr>
              <w:pStyle w:val="Compact"/>
            </w:pPr>
            <w:r>
              <w:rPr>
                <w:rStyle w:val="VerbatimChar"/>
                <w:sz w:val="17"/>
              </w:rPr>
              <w:t xml:space="preserve">POST /v1/fiscal/objects/:id/validate</w:t>
            </w:r>
          </w:p>
        </w:tc>
      </w:tr>
      <w:tr>
        <w:tc>
          <w:tcPr>
            <w:shd w:val="clear" w:color="auto" w:fill="F5F7FB"/>
          </w:tcPr>
          <w:p>
            <w:pPr>
              <w:pStyle w:val="Compact"/>
            </w:pPr>
            <w:r>
              <w:rPr>
                <w:sz w:val="17"/>
              </w:rPr>
              <w:t xml:space="preserve">Scan public de plaque</w:t>
            </w:r>
          </w:p>
        </w:tc>
        <w:tc>
          <w:tcPr>
            <w:shd w:val="clear" w:color="auto" w:fill="F5F7FB"/>
          </w:tcPr>
          <w:p>
            <w:pPr>
              <w:pStyle w:val="Compact"/>
            </w:pPr>
            <w:r>
              <w:rPr>
                <w:sz w:val="17"/>
              </w:rPr>
              <w:t xml:space="preserve">Authenticité, commune, quartier et couleur de situation avec légende générique ; ni nom ni montant (le Cahier prévaut, ARB-76 révisé)</w:t>
            </w:r>
          </w:p>
        </w:tc>
        <w:tc>
          <w:tcPr>
            <w:shd w:val="clear" w:color="auto" w:fill="F5F7FB"/>
          </w:tcPr>
          <w:p>
            <w:pPr>
              <w:pStyle w:val="Compact"/>
            </w:pPr>
            <w:r>
              <w:rPr>
                <w:rStyle w:val="VerbatimChar"/>
                <w:sz w:val="17"/>
              </w:rPr>
              <w:t xml:space="preserve">GET /v1/public/fiscal/plates/:code</w:t>
            </w:r>
          </w:p>
        </w:tc>
      </w:tr>
      <w:tr>
        <w:tc>
          <w:tcPr/>
          <w:p>
            <w:pPr>
              <w:pStyle w:val="Compact"/>
            </w:pPr>
            <w:r>
              <w:rPr>
                <w:sz w:val="17"/>
              </w:rPr>
              <w:t xml:space="preserve">Relations</w:t>
            </w:r>
          </w:p>
        </w:tc>
        <w:tc>
          <w:tcPr/>
          <w:p>
            <w:pPr>
              <w:pStyle w:val="Compact"/>
            </w:pPr>
            <w:r>
              <w:rPr>
                <w:sz w:val="17"/>
              </w:rPr>
              <w:t xml:space="preserve">Pièce obligatoire ; N2 pour forte valeur ; conflit &gt; 100 %</w:t>
            </w:r>
          </w:p>
        </w:tc>
        <w:tc>
          <w:tcPr/>
          <w:p>
            <w:pPr>
              <w:pStyle w:val="Compact"/>
            </w:pPr>
            <w:r>
              <w:rPr>
                <w:rStyle w:val="VerbatimChar"/>
                <w:sz w:val="17"/>
              </w:rPr>
              <w:t xml:space="preserve">POST /v1/fiscal/relationships</w:t>
            </w:r>
          </w:p>
        </w:tc>
      </w:tr>
      <w:tr>
        <w:tc>
          <w:tcPr>
            <w:shd w:val="clear" w:color="auto" w:fill="F5F7FB"/>
          </w:tcPr>
          <w:p>
            <w:pPr>
              <w:pStyle w:val="Compact"/>
            </w:pPr>
            <w:r>
              <w:rPr>
                <w:sz w:val="17"/>
              </w:rPr>
              <w:t xml:space="preserve">Déclaration pré-remplie</w:t>
            </w:r>
          </w:p>
        </w:tc>
        <w:tc>
          <w:tcPr>
            <w:shd w:val="clear" w:color="auto" w:fill="F5F7FB"/>
          </w:tcPr>
          <w:p>
            <w:pPr>
              <w:pStyle w:val="Compact"/>
            </w:pPr>
            <w:r>
              <w:rPr>
                <w:sz w:val="17"/>
              </w:rPr>
              <w:t xml:space="preserve">Règle ACTIVE sinon simulation non opposable ; anti-double facturation</w:t>
            </w:r>
          </w:p>
        </w:tc>
        <w:tc>
          <w:tcPr>
            <w:shd w:val="clear" w:color="auto" w:fill="F5F7FB"/>
          </w:tcPr>
          <w:p>
            <w:pPr>
              <w:pStyle w:val="Compact"/>
            </w:pPr>
            <w:r>
              <w:rPr>
                <w:rStyle w:val="VerbatimChar"/>
                <w:sz w:val="17"/>
              </w:rPr>
              <w:t xml:space="preserve">POST /v1/fiscal/declarations</w:t>
            </w:r>
          </w:p>
        </w:tc>
      </w:tr>
      <w:tr>
        <w:tc>
          <w:tcPr/>
          <w:p>
            <w:pPr>
              <w:pStyle w:val="Compact"/>
            </w:pPr>
            <w:r>
              <w:rPr>
                <w:sz w:val="17"/>
              </w:rPr>
              <w:t xml:space="preserve">Exonérations / remises</w:t>
            </w:r>
          </w:p>
        </w:tc>
        <w:tc>
          <w:tcPr/>
          <w:p>
            <w:pPr>
              <w:pStyle w:val="Compact"/>
            </w:pPr>
            <w:r>
              <w:rPr>
                <w:sz w:val="17"/>
              </w:rPr>
              <w:t xml:space="preserve">Base légale du registre ; 2 validations distinctes ; jamais l’IA ; pas de rétroactivité sans décision</w:t>
            </w:r>
          </w:p>
        </w:tc>
        <w:tc>
          <w:tcPr/>
          <w:p>
            <w:pPr>
              <w:pStyle w:val="Compact"/>
            </w:pPr>
            <w:r>
              <w:rPr>
                <w:rStyle w:val="VerbatimChar"/>
                <w:sz w:val="17"/>
              </w:rPr>
              <w:t xml:space="preserve">POST /v1/fiscal/exemptions/:id/decision</w:t>
            </w:r>
          </w:p>
        </w:tc>
      </w:tr>
      <w:tr>
        <w:tc>
          <w:tcPr>
            <w:shd w:val="clear" w:color="auto" w:fill="F5F7FB"/>
          </w:tcPr>
          <w:p>
            <w:pPr>
              <w:pStyle w:val="Compact"/>
            </w:pPr>
            <w:r>
              <w:rPr>
                <w:sz w:val="17"/>
              </w:rPr>
              <w:t xml:space="preserve">Quitus</w:t>
            </w:r>
          </w:p>
        </w:tc>
        <w:tc>
          <w:tcPr>
            <w:shd w:val="clear" w:color="auto" w:fill="F5F7FB"/>
          </w:tcPr>
          <w:p>
            <w:pPr>
              <w:pStyle w:val="Compact"/>
            </w:pPr>
            <w:r>
              <w:rPr>
                <w:sz w:val="17"/>
              </w:rPr>
              <w:t xml:space="preserve">Quittances définitives ; recours exclus ; informatif (J6) ; révocation motivée</w:t>
            </w:r>
          </w:p>
        </w:tc>
        <w:tc>
          <w:tcPr>
            <w:shd w:val="clear" w:color="auto" w:fill="F5F7FB"/>
          </w:tcPr>
          <w:p>
            <w:pPr>
              <w:pStyle w:val="Compact"/>
            </w:pPr>
            <w:r>
              <w:rPr>
                <w:rStyle w:val="VerbatimChar"/>
                <w:sz w:val="17"/>
              </w:rPr>
              <w:t xml:space="preserve">POST /v1/fiscal/clearances</w:t>
            </w:r>
          </w:p>
        </w:tc>
      </w:tr>
      <w:tr>
        <w:tc>
          <w:tcPr/>
          <w:p>
            <w:pPr>
              <w:pStyle w:val="Compact"/>
            </w:pPr>
            <w:r>
              <w:rPr>
                <w:sz w:val="17"/>
              </w:rPr>
              <w:t xml:space="preserve">Attestation de bail</w:t>
            </w:r>
          </w:p>
        </w:tc>
        <w:tc>
          <w:tcPr/>
          <w:p>
            <w:pPr>
              <w:pStyle w:val="Compact"/>
            </w:pPr>
            <w:r>
              <w:rPr>
                <w:sz w:val="17"/>
              </w:rPr>
              <w:t xml:space="preserve">Parties du bail seulement ; vérification sans nom ni loyer</w:t>
            </w:r>
          </w:p>
        </w:tc>
        <w:tc>
          <w:tcPr/>
          <w:p>
            <w:pPr>
              <w:pStyle w:val="Compact"/>
            </w:pPr>
            <w:r>
              <w:rPr>
                <w:rStyle w:val="VerbatimChar"/>
                <w:sz w:val="17"/>
              </w:rPr>
              <w:t xml:space="preserve">POST /v1/fiscal/leases/:id/attestations</w:t>
            </w:r>
          </w:p>
        </w:tc>
      </w:tr>
      <w:tr>
        <w:tc>
          <w:tcPr>
            <w:shd w:val="clear" w:color="auto" w:fill="F5F7FB"/>
          </w:tcPr>
          <w:p>
            <w:pPr>
              <w:pStyle w:val="Compact"/>
            </w:pPr>
            <w:r>
              <w:rPr>
                <w:sz w:val="17"/>
              </w:rPr>
              <w:t xml:space="preserve">Carte à deux couches</w:t>
            </w:r>
          </w:p>
        </w:tc>
        <w:tc>
          <w:tcPr>
            <w:shd w:val="clear" w:color="auto" w:fill="F5F7FB"/>
          </w:tcPr>
          <w:p>
            <w:pPr>
              <w:pStyle w:val="Compact"/>
            </w:pPr>
            <w:r>
              <w:rPr>
                <w:sz w:val="17"/>
              </w:rPr>
              <w:t xml:space="preserve">Agrégats publics ≥ 20 objets ; aucun montant</w:t>
            </w:r>
          </w:p>
        </w:tc>
        <w:tc>
          <w:tcPr>
            <w:shd w:val="clear" w:color="auto" w:fill="F5F7FB"/>
          </w:tcPr>
          <w:p>
            <w:pPr>
              <w:pStyle w:val="Compact"/>
            </w:pPr>
            <w:r>
              <w:rPr>
                <w:rStyle w:val="VerbatimChar"/>
                <w:sz w:val="17"/>
              </w:rPr>
              <w:t xml:space="preserve">GET /v1/fiscal/map</w:t>
            </w:r>
          </w:p>
        </w:tc>
      </w:tr>
    </w:tbl>
    <w:bookmarkEnd w:id="614"/>
    <w:bookmarkStart w:id="615" w:name="Xc8d37b8f9fe2810a08f7bc40aa6c4f608aff9c6"/>
    <w:p>
      <w:pPr>
        <w:pStyle w:val="Heading2"/>
      </w:pPr>
      <w:r>
        <w:t xml:space="preserve">I.4 Trésor et cycle complet de la quittance</w:t>
      </w:r>
    </w:p>
    <w:p>
      <w:pPr>
        <w:pStyle w:val="FirstParagraph"/>
      </w:pPr>
      <w:r>
        <w:t xml:space="preserve">Le module « tresor » achève la chaîne financière décrite aux chapitres 18 à 20 : une quittance n’est plus seulement émise puis rendue définitive, elle peut aussi être annulée, remplacée, contrepassée ou remboursée, et réimprimée en duplicata. Toute modification d’état suit une décision humaine motivée, proposée par une personne et validée par une autre (quatre yeux). Aucune quittance n’est jamais supprimée ni ne « expire » : son statut public évolue. La vérification publique, sans authentification, renvoie un statut minimal (valide, en attente, annulée, contrepassée, remboursée, remplacée par la quittance n° …, suspecte, inconnue), le motif générique et la date du statut, sans nom, adresse ni historique. Un remplacement produit un nouveau numéro repris des données faisant foi (le montant, la référence de paiement et la transaction ne changent jamais) ; l’ancienne quittance renvoie vers la nouvelle. Un duplicata garde le même numéro et la même signature, porte la mention « DUPLICATA n° k », est horodaté et compté ; un duplicata présenté mais jamais délivré est déclaré suspect.</w:t>
      </w:r>
    </w:p>
    <w:p>
      <w:pPr>
        <w:pStyle w:val="BodyText"/>
      </w:pPr>
      <w:r>
        <w:t xml:space="preserve">La vérification publique est protégée contre l’énumération : le chiffre de contrôle du code court est vérifié avant toute recherche, et le débit est limité par poste (30 vérifications par minute, 10 codes inconnus par quart d’heure, réponse 429 avec délai d’attente). Le poste n’est connu que par une empreinte salée et tronquée. Le journal des vérifications est agrégé (compteurs par jour et par résultat, nombre de postes distincts) et réservé au Trésor, à l’audit, à l’anti-fraude et à la sécurité. Pour les contrôleurs hors connexion, une liste de révocation signée Ed25519 (codes et statuts uniquement) est publiée à côté de la clé publique des quittances (§ 19.3).</w:t>
      </w:r>
    </w:p>
    <w:p>
      <w:pPr>
        <w:pStyle w:val="BodyText"/>
      </w:pPr>
      <w:r>
        <w:t xml:space="preserve">Côté Trésor, les exceptions de rapprochement sont rangées dans les quatre files du § 20 (paiement sans obligation, obligation payée sans règlement, règlement sans paiement identifié, écart de montant, de devise ou de compte). Chaque exception a une échéance de 48 heures, un responsable (affecté parmi les analystes de rapprochement ou comptables publics), un état (ouverte, en cours, résolue, classée), des justificatifs référencés par empreinte SHA-256 et un historique. La clôture est proposée par la personne affectée, avec motif, et validée par un comptable public distinct ; un dépassement de délai est signalé une fois au Trésor. Un crédit non identifié peut être porté, par cette même validation, au compte d’attente : le suspens est daté (date de valeur), justifié, suivi par ancienneté (0–2 j, 3–5 j, 6–30 j, plus de 30 j) et apuré en double validation, soit par affectation à un paiement confirmé du même montant et du même compte public (rapprochement, quittance définitive, obligation soldée), soit par restitution à l’émetteur d’origine.</w:t>
      </w:r>
    </w:p>
    <w:p>
      <w:pPr>
        <w:pStyle w:val="BodyText"/>
      </w:pPr>
      <w:r>
        <w:t xml:space="preserve">Les opérations financières sensibles passent toutes par la double validation : annulation et remplacement de quittance, contrepassation d’un paiement (contre-écriture liée à l’original, paiement « contrepassé », quittance « contrepassée », obligation de nouveau exigible, notification), remboursement (seulement après rapprochement ou sur doublon, montant payé exactement, vers l’instrument d’origine — aucun compte ne peut être saisi), contre-écriture d’une écriture du grand livre, apurement de suspens et paramétrage de la nomenclature. L’auteur ne peut pas valider sa propre proposition ; un agent d’IA ne peut ni proposer ni valider. Chaque proposition, validation ou rejet est journalisé avec son motif.</w:t>
      </w:r>
    </w:p>
    <w:p>
      <w:pPr>
        <w:pStyle w:val="BodyText"/>
      </w:pPr>
      <w:r>
        <w:t xml:space="preserve">La comptabilisation suit l’échelle v3.0 : un paiement rapproché devient « Comptabilisé » lorsqu’il est imputé selon une nomenclature paramétrable (les codes livrés sont fictifs et marqués DÉMO tant que la nomenclature officielle n’est pas fournie ; un code n’est réputé officiel que s’il cite son acte). La clôture quotidienne couvre toutes les écritures non encore clôturées jusqu’à la journée choisie (heure de Kinshasa) ; elle enregistre les totaux par devise, l’équilibre, les exceptions, suspens et imputations en attente, et son empreinte SHA-256 est chaînée à la précédente puis signée Ed25519. La clôture mensuelle exige que toutes les écritures du mois soient couvertes et imputées. L’export vers la comptabilité publique (CSV séparé par points-virgules ou JSON) ne contient aucune donnée nominative, porte l’empreinte et la signature du contenu, et signale les codes de démonstration.</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Fonction</w:t>
            </w:r>
          </w:p>
        </w:tc>
        <w:tc>
          <w:tcPr>
            <w:shd w:val="clear" w:color="auto" w:fill="232C6B"/>
          </w:tcPr>
          <w:p>
            <w:pPr>
              <w:pStyle w:val="Compact"/>
            </w:pPr>
            <w:r>
              <w:rPr>
                <w:b/>
                <w:color w:val="FFFFFF"/>
                <w:sz w:val="17"/>
              </w:rPr>
              <w:t xml:space="preserve">Règle appliquée</w:t>
            </w:r>
          </w:p>
        </w:tc>
        <w:tc>
          <w:tcPr>
            <w:shd w:val="clear" w:color="auto" w:fill="232C6B"/>
          </w:tcPr>
          <w:p>
            <w:pPr>
              <w:pStyle w:val="Compact"/>
            </w:pPr>
            <w:r>
              <w:rPr>
                <w:b/>
                <w:color w:val="FFFFFF"/>
                <w:sz w:val="17"/>
              </w:rPr>
              <w:t xml:space="preserve">Qui propose</w:t>
            </w:r>
          </w:p>
        </w:tc>
        <w:tc>
          <w:tcPr>
            <w:shd w:val="clear" w:color="auto" w:fill="232C6B"/>
          </w:tcPr>
          <w:p>
            <w:pPr>
              <w:pStyle w:val="Compact"/>
            </w:pPr>
            <w:r>
              <w:rPr>
                <w:b/>
                <w:color w:val="FFFFFF"/>
                <w:sz w:val="17"/>
              </w:rPr>
              <w:t xml:space="preserve">Qui valide / consulte</w:t>
            </w:r>
          </w:p>
        </w:tc>
      </w:tr>
      <w:tr>
        <w:tc>
          <w:tcPr/>
          <w:p>
            <w:pPr>
              <w:pStyle w:val="Compact"/>
            </w:pPr>
            <w:r>
              <w:rPr>
                <w:sz w:val="17"/>
              </w:rPr>
              <w:t xml:space="preserve">Annulation de quittance</w:t>
            </w:r>
          </w:p>
        </w:tc>
        <w:tc>
          <w:tcPr/>
          <w:p>
            <w:pPr>
              <w:pStyle w:val="Compact"/>
            </w:pPr>
            <w:r>
              <w:rPr>
                <w:sz w:val="17"/>
              </w:rPr>
              <w:t xml:space="preserve">Provisoire ou suspecte seulement, paiement non réglé</w:t>
            </w:r>
          </w:p>
        </w:tc>
        <w:tc>
          <w:tcPr/>
          <w:p>
            <w:pPr>
              <w:pStyle w:val="Compact"/>
            </w:pPr>
            <w:r>
              <w:rPr>
                <w:sz w:val="17"/>
              </w:rPr>
              <w:t xml:space="preserve">Trésor (R17), analyste (R18), contentieux (R20), guichet (R12)</w:t>
            </w:r>
          </w:p>
        </w:tc>
        <w:tc>
          <w:tcPr/>
          <w:p>
            <w:pPr>
              <w:pStyle w:val="Compact"/>
            </w:pPr>
            <w:r>
              <w:rPr>
                <w:sz w:val="17"/>
              </w:rPr>
              <w:t xml:space="preserve">Comptable public distinct (R17)</w:t>
            </w:r>
          </w:p>
        </w:tc>
      </w:tr>
      <w:tr>
        <w:tc>
          <w:tcPr>
            <w:shd w:val="clear" w:color="auto" w:fill="F5F7FB"/>
          </w:tcPr>
          <w:p>
            <w:pPr>
              <w:pStyle w:val="Compact"/>
            </w:pPr>
            <w:r>
              <w:rPr>
                <w:sz w:val="17"/>
              </w:rPr>
              <w:t xml:space="preserve">Remplacement de quittance</w:t>
            </w:r>
          </w:p>
        </w:tc>
        <w:tc>
          <w:tcPr>
            <w:shd w:val="clear" w:color="auto" w:fill="F5F7FB"/>
          </w:tcPr>
          <w:p>
            <w:pPr>
              <w:pStyle w:val="Compact"/>
            </w:pPr>
            <w:r>
              <w:rPr>
                <w:sz w:val="17"/>
              </w:rPr>
              <w:t xml:space="preserve">Nouveau numéro, données faisant foi, renvoi public</w:t>
            </w:r>
          </w:p>
        </w:tc>
        <w:tc>
          <w:tcPr>
            <w:shd w:val="clear" w:color="auto" w:fill="F5F7FB"/>
          </w:tcPr>
          <w:p>
            <w:pPr>
              <w:pStyle w:val="Compact"/>
            </w:pPr>
            <w:r>
              <w:rPr>
                <w:sz w:val="17"/>
              </w:rPr>
              <w:t xml:space="preserve">idem</w:t>
            </w:r>
          </w:p>
        </w:tc>
        <w:tc>
          <w:tcPr>
            <w:shd w:val="clear" w:color="auto" w:fill="F5F7FB"/>
          </w:tcPr>
          <w:p>
            <w:pPr>
              <w:pStyle w:val="Compact"/>
            </w:pPr>
            <w:r>
              <w:rPr>
                <w:sz w:val="17"/>
              </w:rPr>
              <w:t xml:space="preserve">R17 distinct</w:t>
            </w:r>
          </w:p>
        </w:tc>
      </w:tr>
      <w:tr>
        <w:tc>
          <w:tcPr/>
          <w:p>
            <w:pPr>
              <w:pStyle w:val="Compact"/>
            </w:pPr>
            <w:r>
              <w:rPr>
                <w:sz w:val="17"/>
              </w:rPr>
              <w:t xml:space="preserve">Contrepassation</w:t>
            </w:r>
          </w:p>
        </w:tc>
        <w:tc>
          <w:tcPr/>
          <w:p>
            <w:pPr>
              <w:pStyle w:val="Compact"/>
            </w:pPr>
            <w:r>
              <w:rPr>
                <w:sz w:val="17"/>
              </w:rPr>
              <w:t xml:space="preserve">Paiement confirmé ou contesté ; contre-écriture liée</w:t>
            </w:r>
          </w:p>
        </w:tc>
        <w:tc>
          <w:tcPr/>
          <w:p>
            <w:pPr>
              <w:pStyle w:val="Compact"/>
            </w:pPr>
            <w:r>
              <w:rPr>
                <w:sz w:val="17"/>
              </w:rPr>
              <w:t xml:space="preserve">R17, R18</w:t>
            </w:r>
          </w:p>
        </w:tc>
        <w:tc>
          <w:tcPr/>
          <w:p>
            <w:pPr>
              <w:pStyle w:val="Compact"/>
            </w:pPr>
            <w:r>
              <w:rPr>
                <w:sz w:val="17"/>
              </w:rPr>
              <w:t xml:space="preserve">R17 distinct</w:t>
            </w:r>
          </w:p>
        </w:tc>
      </w:tr>
      <w:tr>
        <w:tc>
          <w:tcPr>
            <w:shd w:val="clear" w:color="auto" w:fill="F5F7FB"/>
          </w:tcPr>
          <w:p>
            <w:pPr>
              <w:pStyle w:val="Compact"/>
            </w:pPr>
            <w:r>
              <w:rPr>
                <w:sz w:val="17"/>
              </w:rPr>
              <w:t xml:space="preserve">Remboursement</w:t>
            </w:r>
          </w:p>
        </w:tc>
        <w:tc>
          <w:tcPr>
            <w:shd w:val="clear" w:color="auto" w:fill="F5F7FB"/>
          </w:tcPr>
          <w:p>
            <w:pPr>
              <w:pStyle w:val="Compact"/>
            </w:pPr>
            <w:r>
              <w:rPr>
                <w:sz w:val="17"/>
              </w:rPr>
              <w:t xml:space="preserve">Après rapprochement ou doublon ; instrument d’origine uniquement</w:t>
            </w:r>
          </w:p>
        </w:tc>
        <w:tc>
          <w:tcPr>
            <w:shd w:val="clear" w:color="auto" w:fill="F5F7FB"/>
          </w:tcPr>
          <w:p>
            <w:pPr>
              <w:pStyle w:val="Compact"/>
            </w:pPr>
            <w:r>
              <w:rPr>
                <w:sz w:val="17"/>
              </w:rPr>
              <w:t xml:space="preserve">R17, R18</w:t>
            </w:r>
          </w:p>
        </w:tc>
        <w:tc>
          <w:tcPr>
            <w:shd w:val="clear" w:color="auto" w:fill="F5F7FB"/>
          </w:tcPr>
          <w:p>
            <w:pPr>
              <w:pStyle w:val="Compact"/>
            </w:pPr>
            <w:r>
              <w:rPr>
                <w:sz w:val="17"/>
              </w:rPr>
              <w:t xml:space="preserve">R17 distinct</w:t>
            </w:r>
          </w:p>
        </w:tc>
      </w:tr>
      <w:tr>
        <w:tc>
          <w:tcPr/>
          <w:p>
            <w:pPr>
              <w:pStyle w:val="Compact"/>
            </w:pPr>
            <w:r>
              <w:rPr>
                <w:sz w:val="17"/>
              </w:rPr>
              <w:t xml:space="preserve">Duplicata</w:t>
            </w:r>
          </w:p>
        </w:tc>
        <w:tc>
          <w:tcPr/>
          <w:p>
            <w:pPr>
              <w:pStyle w:val="Compact"/>
            </w:pPr>
            <w:r>
              <w:rPr>
                <w:sz w:val="17"/>
              </w:rPr>
              <w:t xml:space="preserve">Même numéro, mention DUPLICATA n° k, compteur audité</w:t>
            </w:r>
          </w:p>
        </w:tc>
        <w:tc>
          <w:tcPr/>
          <w:p>
            <w:pPr>
              <w:pStyle w:val="Compact"/>
            </w:pPr>
            <w:r>
              <w:rPr>
                <w:sz w:val="17"/>
              </w:rPr>
              <w:t xml:space="preserve">Contribuable (sa quittance), mandataire, guichet, Trésor</w:t>
            </w:r>
          </w:p>
        </w:tc>
        <w:tc>
          <w:tcPr/>
          <w:p>
            <w:pPr>
              <w:pStyle w:val="Compact"/>
            </w:pPr>
            <w:r>
              <w:rPr>
                <w:sz w:val="17"/>
              </w:rPr>
              <w:t xml:space="preserve">—</w:t>
            </w:r>
          </w:p>
        </w:tc>
      </w:tr>
      <w:tr>
        <w:tc>
          <w:tcPr>
            <w:shd w:val="clear" w:color="auto" w:fill="F5F7FB"/>
          </w:tcPr>
          <w:p>
            <w:pPr>
              <w:pStyle w:val="Compact"/>
            </w:pPr>
            <w:r>
              <w:rPr>
                <w:sz w:val="17"/>
              </w:rPr>
              <w:t xml:space="preserve">Exceptions (4 files)</w:t>
            </w:r>
          </w:p>
        </w:tc>
        <w:tc>
          <w:tcPr>
            <w:shd w:val="clear" w:color="auto" w:fill="F5F7FB"/>
          </w:tcPr>
          <w:p>
            <w:pPr>
              <w:pStyle w:val="Compact"/>
            </w:pPr>
            <w:r>
              <w:rPr>
                <w:sz w:val="17"/>
              </w:rPr>
              <w:t xml:space="preserve">Délai 48 h, responsable, justificatif, motif</w:t>
            </w:r>
          </w:p>
        </w:tc>
        <w:tc>
          <w:tcPr>
            <w:shd w:val="clear" w:color="auto" w:fill="F5F7FB"/>
          </w:tcPr>
          <w:p>
            <w:pPr>
              <w:pStyle w:val="Compact"/>
            </w:pPr>
            <w:r>
              <w:rPr>
                <w:sz w:val="17"/>
              </w:rPr>
              <w:t xml:space="preserve">Personne affectée (R17/R18)</w:t>
            </w:r>
          </w:p>
        </w:tc>
        <w:tc>
          <w:tcPr>
            <w:shd w:val="clear" w:color="auto" w:fill="F5F7FB"/>
          </w:tcPr>
          <w:p>
            <w:pPr>
              <w:pStyle w:val="Compact"/>
            </w:pPr>
            <w:r>
              <w:rPr>
                <w:sz w:val="17"/>
              </w:rPr>
              <w:t xml:space="preserve">R17 distinct ; lecture R22</w:t>
            </w:r>
          </w:p>
        </w:tc>
      </w:tr>
      <w:tr>
        <w:tc>
          <w:tcPr/>
          <w:p>
            <w:pPr>
              <w:pStyle w:val="Compact"/>
            </w:pPr>
            <w:r>
              <w:rPr>
                <w:sz w:val="17"/>
              </w:rPr>
              <w:t xml:space="preserve">Compte d’attente</w:t>
            </w:r>
          </w:p>
        </w:tc>
        <w:tc>
          <w:tcPr/>
          <w:p>
            <w:pPr>
              <w:pStyle w:val="Compact"/>
            </w:pPr>
            <w:r>
              <w:rPr>
                <w:sz w:val="17"/>
              </w:rPr>
              <w:t xml:space="preserve">Daté, justifié, ancienneté, apurement à quatre yeux</w:t>
            </w:r>
          </w:p>
        </w:tc>
        <w:tc>
          <w:tcPr/>
          <w:p>
            <w:pPr>
              <w:pStyle w:val="Compact"/>
            </w:pPr>
            <w:r>
              <w:rPr>
                <w:sz w:val="17"/>
              </w:rPr>
              <w:t xml:space="preserve">R17, R18</w:t>
            </w:r>
          </w:p>
        </w:tc>
        <w:tc>
          <w:tcPr/>
          <w:p>
            <w:pPr>
              <w:pStyle w:val="Compact"/>
            </w:pPr>
            <w:r>
              <w:rPr>
                <w:sz w:val="17"/>
              </w:rPr>
              <w:t xml:space="preserve">R17 distinct ; lecture R22, R23</w:t>
            </w:r>
          </w:p>
        </w:tc>
      </w:tr>
      <w:tr>
        <w:tc>
          <w:tcPr>
            <w:shd w:val="clear" w:color="auto" w:fill="F5F7FB"/>
          </w:tcPr>
          <w:p>
            <w:pPr>
              <w:pStyle w:val="Compact"/>
            </w:pPr>
            <w:r>
              <w:rPr>
                <w:sz w:val="17"/>
              </w:rPr>
              <w:t xml:space="preserve">Clôtures</w:t>
            </w:r>
          </w:p>
        </w:tc>
        <w:tc>
          <w:tcPr>
            <w:shd w:val="clear" w:color="auto" w:fill="F5F7FB"/>
          </w:tcPr>
          <w:p>
            <w:pPr>
              <w:pStyle w:val="Compact"/>
            </w:pPr>
            <w:r>
              <w:rPr>
                <w:sz w:val="17"/>
              </w:rPr>
              <w:t xml:space="preserve">Quotidienne chaînée et signée ; mensuelle si tout est clôturé et imputé</w:t>
            </w:r>
          </w:p>
        </w:tc>
        <w:tc>
          <w:tcPr>
            <w:shd w:val="clear" w:color="auto" w:fill="F5F7FB"/>
          </w:tcPr>
          <w:p>
            <w:pPr>
              <w:pStyle w:val="Compact"/>
            </w:pPr>
            <w:r>
              <w:rPr>
                <w:sz w:val="17"/>
              </w:rPr>
              <w:t xml:space="preserve">R17</w:t>
            </w:r>
          </w:p>
        </w:tc>
        <w:tc>
          <w:tcPr>
            <w:shd w:val="clear" w:color="auto" w:fill="F5F7FB"/>
          </w:tcPr>
          <w:p>
            <w:pPr>
              <w:pStyle w:val="Compact"/>
            </w:pPr>
            <w:r>
              <w:rPr>
                <w:sz w:val="17"/>
              </w:rPr>
              <w:t xml:space="preserve">Lecture R18, R22, R23, R05</w:t>
            </w:r>
          </w:p>
        </w:tc>
      </w:tr>
      <w:tr>
        <w:tc>
          <w:tcPr/>
          <w:p>
            <w:pPr>
              <w:pStyle w:val="Compact"/>
            </w:pPr>
            <w:r>
              <w:rPr>
                <w:sz w:val="17"/>
              </w:rPr>
              <w:t xml:space="preserve">Imputation / export</w:t>
            </w:r>
          </w:p>
        </w:tc>
        <w:tc>
          <w:tcPr/>
          <w:p>
            <w:pPr>
              <w:pStyle w:val="Compact"/>
            </w:pPr>
            <w:r>
              <w:rPr>
                <w:sz w:val="17"/>
              </w:rPr>
              <w:t xml:space="preserve">Nomenclature paramétrable (codes DÉMO), export signé sans nominatif</w:t>
            </w:r>
          </w:p>
        </w:tc>
        <w:tc>
          <w:tcPr/>
          <w:p>
            <w:pPr>
              <w:pStyle w:val="Compact"/>
            </w:pPr>
            <w:r>
              <w:rPr>
                <w:sz w:val="17"/>
              </w:rPr>
              <w:t xml:space="preserve">R17</w:t>
            </w:r>
          </w:p>
        </w:tc>
        <w:tc>
          <w:tcPr/>
          <w:p>
            <w:pPr>
              <w:pStyle w:val="Compact"/>
            </w:pPr>
            <w:r>
              <w:rPr>
                <w:sz w:val="17"/>
              </w:rPr>
              <w:t xml:space="preserve">Export R17, R22, R23</w:t>
            </w:r>
          </w:p>
        </w:tc>
      </w:tr>
      <w:tr>
        <w:tc>
          <w:tcPr>
            <w:shd w:val="clear" w:color="auto" w:fill="F5F7FB"/>
          </w:tcPr>
          <w:p>
            <w:pPr>
              <w:pStyle w:val="Compact"/>
            </w:pPr>
            <w:r>
              <w:rPr>
                <w:sz w:val="17"/>
              </w:rPr>
              <w:t xml:space="preserve">Vérification publique</w:t>
            </w:r>
          </w:p>
        </w:tc>
        <w:tc>
          <w:tcPr>
            <w:shd w:val="clear" w:color="auto" w:fill="F5F7FB"/>
          </w:tcPr>
          <w:p>
            <w:pPr>
              <w:pStyle w:val="Compact"/>
            </w:pPr>
            <w:r>
              <w:rPr>
                <w:sz w:val="17"/>
              </w:rPr>
              <w:t xml:space="preserve">Statut minimal, clé de contrôle, 30/min et 10 inconnus/15 min par poste</w:t>
            </w:r>
          </w:p>
        </w:tc>
        <w:tc>
          <w:tcPr>
            <w:shd w:val="clear" w:color="auto" w:fill="F5F7FB"/>
          </w:tcPr>
          <w:p>
            <w:pPr>
              <w:pStyle w:val="Compact"/>
            </w:pPr>
            <w:r>
              <w:rPr>
                <w:sz w:val="17"/>
              </w:rPr>
              <w:t xml:space="preserve">Public</w:t>
            </w:r>
          </w:p>
        </w:tc>
        <w:tc>
          <w:tcPr>
            <w:shd w:val="clear" w:color="auto" w:fill="F5F7FB"/>
          </w:tcPr>
          <w:p>
            <w:pPr>
              <w:pStyle w:val="Compact"/>
            </w:pPr>
            <w:r>
              <w:rPr>
                <w:sz w:val="17"/>
              </w:rPr>
              <w:t xml:space="preserve">Journal agrégé : R17, R22, R24, R28</w:t>
            </w:r>
          </w:p>
        </w:tc>
      </w:tr>
    </w:tbl>
    <w:bookmarkEnd w:id="615"/>
    <w:bookmarkStart w:id="617" w:name="X433facfeae44327db6802119a06dbf129f5fc9d"/>
    <w:p>
      <w:pPr>
        <w:pStyle w:val="Heading2"/>
      </w:pPr>
      <w:r>
        <w:t xml:space="preserve">I.5 Registre juridique complet, avis et recouvrement</w:t>
      </w:r>
    </w:p>
    <w:bookmarkStart w:id="616" w:name="X954b599750821e1dfc99fdf00c15580b55edcda"/>
    <w:p>
      <w:pPr>
        <w:pStyle w:val="Heading4"/>
      </w:pPr>
      <w:r>
        <w:t xml:space="preserve">Recouvrement gradué, avis légaux, arriérés et recours (module d’extension « recouvrement » et compléments du registre)</w:t>
      </w:r>
    </w:p>
    <w:p>
      <w:pPr>
        <w:pStyle w:val="FirstParagraph"/>
      </w:pPr>
      <w:r>
        <w:t xml:space="preserve">Le registre juridique couvre désormais tout le cycle de vie d’une règle au-delà de la publication. Une règle PUBLIEE ou ACTIVE peut être</w:t>
      </w:r>
      <w:r>
        <w:t xml:space="preserve"> </w:t>
      </w:r>
      <w:r>
        <w:rPr>
          <w:b/>
          <w:bCs/>
        </w:rPr>
        <w:t xml:space="preserve">suspendue</w:t>
      </w:r>
      <w:r>
        <w:t xml:space="preserve"> </w:t>
      </w:r>
      <w:r>
        <w:t xml:space="preserve">par l’autorité de publication (R16) sur décision motivée (autorité et motif obligatoires) : elle cesse immédiatement de produire des obligations, et la levée, elle aussi motivée, lui rend son statut antérieur. L’</w:t>
      </w:r>
      <w:r>
        <w:rPr>
          <w:b/>
          <w:bCs/>
        </w:rPr>
        <w:t xml:space="preserve">abrogation</w:t>
      </w:r>
      <w:r>
        <w:t xml:space="preserve"> </w:t>
      </w:r>
      <w:r>
        <w:t xml:space="preserve">est datée et citée : l’instrument abrogatoire doit figurer au registre et être en vigueur ; à compter de la date, la règle passe ABROGEE et toute liquidation est refusée ; en cas de date passée, les obligations émises depuis sont signalées pour examen, jamais annulées d’office. L’abrogation d’un instrument l’inscrit sur la liste noire et signale les règles qui le citent, sans abrogation automatique. Chaque version porte son</w:t>
      </w:r>
      <w:r>
        <w:t xml:space="preserve"> </w:t>
      </w:r>
      <w:r>
        <w:rPr>
          <w:b/>
          <w:bCs/>
        </w:rPr>
        <w:t xml:space="preserve">historique</w:t>
      </w:r>
      <w:r>
        <w:t xml:space="preserve"> </w:t>
      </w:r>
      <w:r>
        <w:t xml:space="preserve">en ajout seul (création, visas, entrée en vigueur, suspension, levée, abrogation, remplacement), consultable version par version ; à l’entrée en vigueur d’une nouvelle version, la précédente est close (EXPIREE, « remplacée par »). La</w:t>
      </w:r>
      <w:r>
        <w:t xml:space="preserve"> </w:t>
      </w:r>
      <w:r>
        <w:rPr>
          <w:b/>
          <w:bCs/>
        </w:rPr>
        <w:t xml:space="preserve">rétroactivité</w:t>
      </w:r>
      <w:r>
        <w:t xml:space="preserve"> </w:t>
      </w:r>
      <w:r>
        <w:t xml:space="preserve">est bloquée : une nouvelle version dont la date d’effet précède sa publication n’est publiable que si elle cite un acte en vigueur (instrument, article, justification) l’autorisant expressément.</w:t>
      </w:r>
    </w:p>
    <w:p>
      <w:pPr>
        <w:pStyle w:val="BodyText"/>
      </w:pPr>
      <w:r>
        <w:t xml:space="preserve">Le</w:t>
      </w:r>
      <w:r>
        <w:t xml:space="preserve"> </w:t>
      </w:r>
      <w:r>
        <w:rPr>
          <w:b/>
          <w:bCs/>
        </w:rPr>
        <w:t xml:space="preserve">recalcul contrôlé</w:t>
      </w:r>
      <w:r>
        <w:t xml:space="preserve"> </w:t>
      </w:r>
      <w:r>
        <w:t xml:space="preserve">suit trois temps. La simulation d’impact, sans effet, examine les obligations des versions antérieures : ancien et nouveau montant, sens de l’écart, traitement proposé et motif d’exclusion (obligation soldée, contestée, partiellement payée, émise avant la date d’effet, hausse sans acte de rétroactivité). La décision appartient à la direction de la régie (R06, même entité), personne distincte de l’auteur de la simulation, et exige que la nouvelle version soit ACTIVE. L’application se fait par obligation rectificative : l’originale est conservée (ANNULEE, contre-écriture au grand livre) et la nouvelle porte la version de règle appliquée et son explication complète. Une obligation modifiée entre simulation et décision est écartée.</w:t>
      </w:r>
    </w:p>
    <w:p>
      <w:pPr>
        <w:pStyle w:val="BodyText"/>
      </w:pPr>
      <w:r>
        <w:t xml:space="preserve">Les</w:t>
      </w:r>
      <w:r>
        <w:t xml:space="preserve"> </w:t>
      </w:r>
      <w:r>
        <w:rPr>
          <w:b/>
          <w:bCs/>
        </w:rPr>
        <w:t xml:space="preserve">avis légaux</w:t>
      </w:r>
      <w:r>
        <w:t xml:space="preserve"> </w:t>
      </w:r>
      <w:r>
        <w:t xml:space="preserve">sont numérotés par nature (AI avis d’imposition, RA rappel, AE échéance dépassée, RL relance, AF notification formelle, MD mise en demeure, ME mesure envisagée, DM décision de mesure, LM levée, EC échéancier). Un avis n’est jamais émis sans ses mentions obligatoires : base légale, montant, échéance, voie et délai de recours, destinataire. Chaque avis porte l’empreinte SHA-256 de son contenu, la preuve de notification (lignes du journal de délivrance du moteur de communications, canal, statut, horodatage) et l’accusé de lecture horodaté enregistré à l’ouverture par le destinataire. L’aperçu est imprimable.</w:t>
      </w:r>
    </w:p>
    <w:p>
      <w:pPr>
        <w:pStyle w:val="BodyText"/>
      </w:pPr>
      <w:r>
        <w:t xml:space="preserve">Les</w:t>
      </w:r>
      <w:r>
        <w:t xml:space="preserve"> </w:t>
      </w:r>
      <w:r>
        <w:rPr>
          <w:b/>
          <w:bCs/>
        </w:rPr>
        <w:t xml:space="preserve">arriérés</w:t>
      </w:r>
      <w:r>
        <w:t xml:space="preserve"> </w:t>
      </w:r>
      <w:r>
        <w:t xml:space="preserve">sont constatés (âge, tranche de la balance âgée, totaux par devise jamais additionnés entre devises, commune du fait générateur) et</w:t>
      </w:r>
      <w:r>
        <w:t xml:space="preserve"> </w:t>
      </w:r>
      <w:r>
        <w:rPr>
          <w:b/>
          <w:bCs/>
        </w:rPr>
        <w:t xml:space="preserve">segmentés</w:t>
      </w:r>
      <w:r>
        <w:t xml:space="preserve"> </w:t>
      </w:r>
      <w:r>
        <w:t xml:space="preserve">selon le § 21.2 (oubli, friction, capacité limitée, contestation, retards répétés, refus présumé à vérifier, grand redevable) avec un profil de risque explicable ; segment et profil sont des aides à l’orientation (</w:t>
      </w:r>
      <w:r>
        <w:rPr>
          <w:rStyle w:val="VerbatimChar"/>
        </w:rPr>
        <w:t xml:space="preserve">automaticDecision: false</w:t>
      </w:r>
      <w:r>
        <w:t xml:space="preserve">) et ne sont jamais montrés au contribuable. La prescription est calculée à titre indicatif (cinq ans, à vérifier) : elle bloque les mesures et appelle un examen juridique, sans extinction automatique. La reprise d’un arriéré historique exige sa base légale d’origine (un instrument abrogé ne fonde que les exercices nés sous son empire), un avis juridique, un acte interruptif si la prescription indicative est atteinte, et la validation d’une personne distincte (R06).</w:t>
      </w:r>
    </w:p>
    <w:p>
      <w:pPr>
        <w:pStyle w:val="BodyText"/>
      </w:pPr>
      <w:r>
        <w:t xml:space="preserve">Le</w:t>
      </w:r>
      <w:r>
        <w:t xml:space="preserve"> </w:t>
      </w:r>
      <w:r>
        <w:rPr>
          <w:b/>
          <w:bCs/>
        </w:rPr>
        <w:t xml:space="preserve">parcours gradué</w:t>
      </w:r>
      <w:r>
        <w:t xml:space="preserve"> </w:t>
      </w:r>
      <w:r>
        <w:t xml:space="preserve">combine des rappels amiables datés (J−15, J−3, J+1 avec constat du retard, J+15 avec offre d’assistance), exécutés par la planification sans jamais sauter d’étape, et des étapes au-delà du rappel qui sont toujours une</w:t>
      </w:r>
      <w:r>
        <w:t xml:space="preserve"> </w:t>
      </w:r>
      <w:r>
        <w:rPr>
          <w:b/>
          <w:bCs/>
        </w:rPr>
        <w:t xml:space="preserve">proposition</w:t>
      </w:r>
      <w:r>
        <w:t xml:space="preserve"> </w:t>
      </w:r>
      <w:r>
        <w:t xml:space="preserve">d’un agent de recouvrement (R20) suivie d’une</w:t>
      </w:r>
      <w:r>
        <w:t xml:space="preserve"> </w:t>
      </w:r>
      <w:r>
        <w:rPr>
          <w:b/>
          <w:bCs/>
        </w:rPr>
        <w:t xml:space="preserve">décision motivée</w:t>
      </w:r>
      <w:r>
        <w:t xml:space="preserve"> </w:t>
      </w:r>
      <w:r>
        <w:t xml:space="preserve">d’une autorité distincte (R21) : notification formelle, mise en demeure (base légale en vigueur obligatoire), mesure d’exécution (nature prévue par l’acte, information préalable du contribuable et recueil de ses observations), levée proposée par le système dès régularisation, classement motivé. Aucune proposition ni décision n’est possible sur un dossier contesté avec effet suspensif demandé ou accordé, sans adresse de notification vérifiée, pendant un paiement en cours de règlement, pendant un échéancier en vigueur, sur une règle suspendue ou une créance à prescription indicative atteinte. Les</w:t>
      </w:r>
      <w:r>
        <w:t xml:space="preserve"> </w:t>
      </w:r>
      <w:r>
        <w:rPr>
          <w:b/>
          <w:bCs/>
        </w:rPr>
        <w:t xml:space="preserve">échéanciers</w:t>
      </w:r>
      <w:r>
        <w:t xml:space="preserve"> </w:t>
      </w:r>
      <w:r>
        <w:t xml:space="preserve">ne sont possibles que si un instrument en vigueur les autorise (instrument fictif en démonstration) ; le découpage est exact en unités mineures, le suivi impute les paiements confirmés par le circuit commun, et la défaillance est constatée par une personne.</w:t>
      </w:r>
      <w:r>
        <w:t xml:space="preserve"> </w:t>
      </w:r>
      <w:r>
        <w:rPr>
          <w:b/>
          <w:bCs/>
        </w:rPr>
        <w:t xml:space="preserve">Pénalités</w:t>
      </w:r>
      <w:r>
        <w:t xml:space="preserve"> </w:t>
      </w:r>
      <w:r>
        <w:t xml:space="preserve">et</w:t>
      </w:r>
      <w:r>
        <w:t xml:space="preserve"> </w:t>
      </w:r>
      <w:r>
        <w:rPr>
          <w:b/>
          <w:bCs/>
        </w:rPr>
        <w:t xml:space="preserve">remises</w:t>
      </w:r>
      <w:r>
        <w:t xml:space="preserve"> </w:t>
      </w:r>
      <w:r>
        <w:t xml:space="preserve">exigent une règle ACTIVE du registre (catégorie PENALITE pour une pénalité ; base de remise déclarée pour une remise), une décision R21 distincte et, pour la pénalité, une liquidation par le moteur commun par un troisième agent ; la remise produit une obligation rectificative.</w:t>
      </w:r>
    </w:p>
    <w:p>
      <w:pPr>
        <w:pStyle w:val="BodyText"/>
      </w:pPr>
      <w:r>
        <w:t xml:space="preserve">Les</w:t>
      </w:r>
      <w:r>
        <w:t xml:space="preserve"> </w:t>
      </w:r>
      <w:r>
        <w:rPr>
          <w:b/>
          <w:bCs/>
        </w:rPr>
        <w:t xml:space="preserve">réclamations</w:t>
      </w:r>
      <w:r>
        <w:t xml:space="preserve"> </w:t>
      </w:r>
      <w:r>
        <w:t xml:space="preserve">sont typées (bien non détenu, activité fermée, véhicule vendu, information erronée, double imposition, montant erroné), reçoivent un accusé de réception numéroté et scellé, affichent leurs délais (introduction, décision) et un décompte calculé à l’heure serveur, acceptent des pièces par empreinte SHA-256 (dédoublonnées), conservent un historique complet et indiquent la voie de recours suivante avec la décision. L’effet suspensif est demandé par le contribuable et décidé par l’autorité (R21). Le décideur est distinct de l’instructeur et de l’auteur de la liquidation contestée ; le dépassement du délai de réponse est signalé une seule fois à la régie et à l’audit (</w:t>
      </w:r>
      <w:r>
        <w:rPr>
          <w:rStyle w:val="VerbatimChar"/>
        </w:rPr>
        <w:t xml:space="preserve">appeal.sla_breach</w:t>
      </w:r>
      <w:r>
        <w:t xml:space="preserve">). Tous les délais sont des valeurs de conception à remplacer par l’Édit n° 005/2021.</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Élément</w:t>
            </w:r>
          </w:p>
        </w:tc>
        <w:tc>
          <w:tcPr>
            <w:shd w:val="clear" w:color="auto" w:fill="232C6B"/>
          </w:tcPr>
          <w:p>
            <w:pPr>
              <w:pStyle w:val="Compact"/>
            </w:pPr>
            <w:r>
              <w:rPr>
                <w:b/>
                <w:color w:val="FFFFFF"/>
                <w:sz w:val="17"/>
              </w:rPr>
              <w:t xml:space="preserve">Règle appliquée</w:t>
            </w:r>
          </w:p>
        </w:tc>
        <w:tc>
          <w:tcPr>
            <w:shd w:val="clear" w:color="auto" w:fill="232C6B"/>
          </w:tcPr>
          <w:p>
            <w:pPr>
              <w:pStyle w:val="Compact"/>
            </w:pPr>
            <w:r>
              <w:rPr>
                <w:b/>
                <w:color w:val="FFFFFF"/>
                <w:sz w:val="17"/>
              </w:rPr>
              <w:t xml:space="preserve">Qui décide</w:t>
            </w:r>
          </w:p>
        </w:tc>
        <w:tc>
          <w:tcPr>
            <w:shd w:val="clear" w:color="auto" w:fill="232C6B"/>
          </w:tcPr>
          <w:p>
            <w:pPr>
              <w:pStyle w:val="Compact"/>
            </w:pPr>
            <w:r>
              <w:rPr>
                <w:b/>
                <w:color w:val="FFFFFF"/>
                <w:sz w:val="17"/>
              </w:rPr>
              <w:t xml:space="preserve">Événement / trace</w:t>
            </w:r>
          </w:p>
        </w:tc>
      </w:tr>
      <w:tr>
        <w:tc>
          <w:tcPr/>
          <w:p>
            <w:pPr>
              <w:pStyle w:val="Compact"/>
            </w:pPr>
            <w:r>
              <w:rPr>
                <w:sz w:val="17"/>
              </w:rPr>
              <w:t xml:space="preserve">Suspension d’une règle</w:t>
            </w:r>
          </w:p>
        </w:tc>
        <w:tc>
          <w:tcPr/>
          <w:p>
            <w:pPr>
              <w:pStyle w:val="Compact"/>
            </w:pPr>
            <w:r>
              <w:rPr>
                <w:sz w:val="17"/>
              </w:rPr>
              <w:t xml:space="preserve">Motif + autorité ; plus aucune liquidation</w:t>
            </w:r>
          </w:p>
        </w:tc>
        <w:tc>
          <w:tcPr/>
          <w:p>
            <w:pPr>
              <w:pStyle w:val="Compact"/>
            </w:pPr>
            <w:r>
              <w:rPr>
                <w:sz w:val="17"/>
              </w:rPr>
              <w:t xml:space="preserve">R16</w:t>
            </w:r>
          </w:p>
        </w:tc>
        <w:tc>
          <w:tcPr/>
          <w:p>
            <w:pPr>
              <w:pStyle w:val="Compact"/>
            </w:pPr>
            <w:r>
              <w:rPr>
                <w:rStyle w:val="VerbatimChar"/>
                <w:sz w:val="17"/>
              </w:rPr>
              <w:t xml:space="preserve">rule.suspended</w:t>
            </w:r>
            <w:r>
              <w:rPr>
                <w:sz w:val="17"/>
              </w:rPr>
              <w:t xml:space="preserve">, historique</w:t>
            </w:r>
          </w:p>
        </w:tc>
      </w:tr>
      <w:tr>
        <w:tc>
          <w:tcPr>
            <w:shd w:val="clear" w:color="auto" w:fill="F5F7FB"/>
          </w:tcPr>
          <w:p>
            <w:pPr>
              <w:pStyle w:val="Compact"/>
            </w:pPr>
            <w:r>
              <w:rPr>
                <w:sz w:val="17"/>
              </w:rPr>
              <w:t xml:space="preserve">Abrogation</w:t>
            </w:r>
          </w:p>
        </w:tc>
        <w:tc>
          <w:tcPr>
            <w:shd w:val="clear" w:color="auto" w:fill="F5F7FB"/>
          </w:tcPr>
          <w:p>
            <w:pPr>
              <w:pStyle w:val="Compact"/>
            </w:pPr>
            <w:r>
              <w:rPr>
                <w:sz w:val="17"/>
              </w:rPr>
              <w:t xml:space="preserve">Instrument abrogatoire en vigueur ; aucune liquidation après la date</w:t>
            </w:r>
          </w:p>
        </w:tc>
        <w:tc>
          <w:tcPr>
            <w:shd w:val="clear" w:color="auto" w:fill="F5F7FB"/>
          </w:tcPr>
          <w:p>
            <w:pPr>
              <w:pStyle w:val="Compact"/>
            </w:pPr>
            <w:r>
              <w:rPr>
                <w:sz w:val="17"/>
              </w:rPr>
              <w:t xml:space="preserve">R16</w:t>
            </w:r>
          </w:p>
        </w:tc>
        <w:tc>
          <w:tcPr>
            <w:shd w:val="clear" w:color="auto" w:fill="F5F7FB"/>
          </w:tcPr>
          <w:p>
            <w:pPr>
              <w:pStyle w:val="Compact"/>
            </w:pPr>
            <w:r>
              <w:rPr>
                <w:rStyle w:val="VerbatimChar"/>
                <w:sz w:val="17"/>
              </w:rPr>
              <w:t xml:space="preserve">rule.abrogated</w:t>
            </w:r>
            <w:r>
              <w:rPr>
                <w:sz w:val="17"/>
              </w:rPr>
              <w:t xml:space="preserve">,</w:t>
            </w:r>
            <w:r>
              <w:rPr>
                <w:sz w:val="17"/>
              </w:rPr>
              <w:t xml:space="preserve"> </w:t>
            </w:r>
            <w:r>
              <w:rPr>
                <w:rStyle w:val="VerbatimChar"/>
                <w:sz w:val="17"/>
              </w:rPr>
              <w:t xml:space="preserve">rule.abrogated.effective</w:t>
            </w:r>
          </w:p>
        </w:tc>
      </w:tr>
      <w:tr>
        <w:tc>
          <w:tcPr/>
          <w:p>
            <w:pPr>
              <w:pStyle w:val="Compact"/>
            </w:pPr>
            <w:r>
              <w:rPr>
                <w:sz w:val="17"/>
              </w:rPr>
              <w:t xml:space="preserve">Nouvelle version rétroactive</w:t>
            </w:r>
          </w:p>
        </w:tc>
        <w:tc>
          <w:tcPr/>
          <w:p>
            <w:pPr>
              <w:pStyle w:val="Compact"/>
            </w:pPr>
            <w:r>
              <w:rPr>
                <w:sz w:val="17"/>
              </w:rPr>
              <w:t xml:space="preserve">Bloquée sans acte autorisant</w:t>
            </w:r>
          </w:p>
        </w:tc>
        <w:tc>
          <w:tcPr/>
          <w:p>
            <w:pPr>
              <w:pStyle w:val="Compact"/>
            </w:pPr>
            <w:r>
              <w:rPr>
                <w:sz w:val="17"/>
              </w:rPr>
              <w:t xml:space="preserve">4 visas + acte</w:t>
            </w:r>
          </w:p>
        </w:tc>
        <w:tc>
          <w:tcPr/>
          <w:p>
            <w:pPr>
              <w:pStyle w:val="Compact"/>
            </w:pPr>
            <w:r>
              <w:rPr>
                <w:rStyle w:val="VerbatimChar"/>
                <w:sz w:val="17"/>
              </w:rPr>
              <w:t xml:space="preserve">RETROACTIVITY_NOT_AUTHORIZED</w:t>
            </w:r>
          </w:p>
        </w:tc>
      </w:tr>
      <w:tr>
        <w:tc>
          <w:tcPr>
            <w:shd w:val="clear" w:color="auto" w:fill="F5F7FB"/>
          </w:tcPr>
          <w:p>
            <w:pPr>
              <w:pStyle w:val="Compact"/>
            </w:pPr>
            <w:r>
              <w:rPr>
                <w:sz w:val="17"/>
              </w:rPr>
              <w:t xml:space="preserve">Recalcul</w:t>
            </w:r>
          </w:p>
        </w:tc>
        <w:tc>
          <w:tcPr>
            <w:shd w:val="clear" w:color="auto" w:fill="F5F7FB"/>
          </w:tcPr>
          <w:p>
            <w:pPr>
              <w:pStyle w:val="Compact"/>
            </w:pPr>
            <w:r>
              <w:rPr>
                <w:sz w:val="17"/>
              </w:rPr>
              <w:t xml:space="preserve">Simulation → décision → rectificative ; jamais en défaveur sans acte</w:t>
            </w:r>
          </w:p>
        </w:tc>
        <w:tc>
          <w:tcPr>
            <w:shd w:val="clear" w:color="auto" w:fill="F5F7FB"/>
          </w:tcPr>
          <w:p>
            <w:pPr>
              <w:pStyle w:val="Compact"/>
            </w:pPr>
            <w:r>
              <w:rPr>
                <w:sz w:val="17"/>
              </w:rPr>
              <w:t xml:space="preserve">R06 (≠ auteur simulation)</w:t>
            </w:r>
          </w:p>
        </w:tc>
        <w:tc>
          <w:tcPr>
            <w:shd w:val="clear" w:color="auto" w:fill="F5F7FB"/>
          </w:tcPr>
          <w:p>
            <w:pPr>
              <w:pStyle w:val="Compact"/>
            </w:pPr>
            <w:r>
              <w:rPr>
                <w:rStyle w:val="VerbatimChar"/>
                <w:sz w:val="17"/>
              </w:rPr>
              <w:t xml:space="preserve">rule.recalculation.*</w:t>
            </w:r>
          </w:p>
        </w:tc>
      </w:tr>
      <w:tr>
        <w:tc>
          <w:tcPr/>
          <w:p>
            <w:pPr>
              <w:pStyle w:val="Compact"/>
            </w:pPr>
            <w:r>
              <w:rPr>
                <w:sz w:val="17"/>
              </w:rPr>
              <w:t xml:space="preserve">Avis légal</w:t>
            </w:r>
          </w:p>
        </w:tc>
        <w:tc>
          <w:tcPr/>
          <w:p>
            <w:pPr>
              <w:pStyle w:val="Compact"/>
            </w:pPr>
            <w:r>
              <w:rPr>
                <w:sz w:val="17"/>
              </w:rPr>
              <w:t xml:space="preserve">Mentions obligatoires, empreinte, preuve de délivrance, accusé de lecture</w:t>
            </w:r>
          </w:p>
        </w:tc>
        <w:tc>
          <w:tcPr/>
          <w:p>
            <w:pPr>
              <w:pStyle w:val="Compact"/>
            </w:pPr>
            <w:r>
              <w:rPr>
                <w:sz w:val="17"/>
              </w:rPr>
              <w:t xml:space="preserve">Système / agent</w:t>
            </w:r>
          </w:p>
        </w:tc>
        <w:tc>
          <w:tcPr/>
          <w:p>
            <w:pPr>
              <w:pStyle w:val="Compact"/>
            </w:pPr>
            <w:r>
              <w:rPr>
                <w:rStyle w:val="VerbatimChar"/>
                <w:sz w:val="17"/>
              </w:rPr>
              <w:t xml:space="preserve">recovery.notice.issued</w:t>
            </w:r>
            <w:r>
              <w:rPr>
                <w:sz w:val="17"/>
              </w:rPr>
              <w:t xml:space="preserve">,</w:t>
            </w:r>
            <w:r>
              <w:rPr>
                <w:sz w:val="17"/>
              </w:rPr>
              <w:t xml:space="preserve"> </w:t>
            </w:r>
            <w:r>
              <w:rPr>
                <w:rStyle w:val="VerbatimChar"/>
                <w:sz w:val="17"/>
              </w:rPr>
              <w:t xml:space="preserve">recovery.notice.read</w:t>
            </w:r>
          </w:p>
        </w:tc>
      </w:tr>
      <w:tr>
        <w:tc>
          <w:tcPr>
            <w:shd w:val="clear" w:color="auto" w:fill="F5F7FB"/>
          </w:tcPr>
          <w:p>
            <w:pPr>
              <w:pStyle w:val="Compact"/>
            </w:pPr>
            <w:r>
              <w:rPr>
                <w:sz w:val="17"/>
              </w:rPr>
              <w:t xml:space="preserve">Rappels J−15, J−3, J+1, J+15</w:t>
            </w:r>
          </w:p>
        </w:tc>
        <w:tc>
          <w:tcPr>
            <w:shd w:val="clear" w:color="auto" w:fill="F5F7FB"/>
          </w:tcPr>
          <w:p>
            <w:pPr>
              <w:pStyle w:val="Compact"/>
            </w:pPr>
            <w:r>
              <w:rPr>
                <w:sz w:val="17"/>
              </w:rPr>
              <w:t xml:space="preserve">Datés, un par étape, écart minimal 7 j</w:t>
            </w:r>
          </w:p>
        </w:tc>
        <w:tc>
          <w:tcPr>
            <w:shd w:val="clear" w:color="auto" w:fill="F5F7FB"/>
          </w:tcPr>
          <w:p>
            <w:pPr>
              <w:pStyle w:val="Compact"/>
            </w:pPr>
            <w:r>
              <w:rPr>
                <w:sz w:val="17"/>
              </w:rPr>
              <w:t xml:space="preserve">Planification</w:t>
            </w:r>
          </w:p>
        </w:tc>
        <w:tc>
          <w:tcPr>
            <w:shd w:val="clear" w:color="auto" w:fill="F5F7FB"/>
          </w:tcPr>
          <w:p>
            <w:pPr>
              <w:pStyle w:val="Compact"/>
            </w:pPr>
            <w:r>
              <w:rPr>
                <w:rStyle w:val="VerbatimChar"/>
                <w:sz w:val="17"/>
              </w:rPr>
              <w:t xml:space="preserve">obligation.due_soon</w:t>
            </w:r>
            <w:r>
              <w:rPr>
                <w:sz w:val="17"/>
              </w:rPr>
              <w:t xml:space="preserve">,</w:t>
            </w:r>
            <w:r>
              <w:rPr>
                <w:sz w:val="17"/>
              </w:rPr>
              <w:t xml:space="preserve"> </w:t>
            </w:r>
            <w:r>
              <w:rPr>
                <w:rStyle w:val="VerbatimChar"/>
                <w:sz w:val="17"/>
              </w:rPr>
              <w:t xml:space="preserve">obligation.overdue</w:t>
            </w:r>
            <w:r>
              <w:rPr>
                <w:sz w:val="17"/>
              </w:rPr>
              <w:t xml:space="preserve">,</w:t>
            </w:r>
            <w:r>
              <w:rPr>
                <w:sz w:val="17"/>
              </w:rPr>
              <w:t xml:space="preserve"> </w:t>
            </w:r>
            <w:r>
              <w:rPr>
                <w:rStyle w:val="VerbatimChar"/>
                <w:sz w:val="17"/>
              </w:rPr>
              <w:t xml:space="preserve">recovery.reminder.1</w:t>
            </w:r>
          </w:p>
        </w:tc>
      </w:tr>
      <w:tr>
        <w:tc>
          <w:tcPr/>
          <w:p>
            <w:pPr>
              <w:pStyle w:val="Compact"/>
            </w:pPr>
            <w:r>
              <w:rPr>
                <w:sz w:val="17"/>
              </w:rPr>
              <w:t xml:space="preserve">Notification formelle, mise en demeure, mesure</w:t>
            </w:r>
          </w:p>
        </w:tc>
        <w:tc>
          <w:tcPr/>
          <w:p>
            <w:pPr>
              <w:pStyle w:val="Compact"/>
            </w:pPr>
            <w:r>
              <w:rPr>
                <w:sz w:val="17"/>
              </w:rPr>
              <w:t xml:space="preserve">Proposition + décision motivée ; garde-fous § 21.3</w:t>
            </w:r>
          </w:p>
        </w:tc>
        <w:tc>
          <w:tcPr/>
          <w:p>
            <w:pPr>
              <w:pStyle w:val="Compact"/>
            </w:pPr>
            <w:r>
              <w:rPr>
                <w:sz w:val="17"/>
              </w:rPr>
              <w:t xml:space="preserve">R20 propose, R21 décide</w:t>
            </w:r>
          </w:p>
        </w:tc>
        <w:tc>
          <w:tcPr/>
          <w:p>
            <w:pPr>
              <w:pStyle w:val="Compact"/>
            </w:pPr>
            <w:r>
              <w:rPr>
                <w:rStyle w:val="VerbatimChar"/>
                <w:sz w:val="17"/>
              </w:rPr>
              <w:t xml:space="preserve">recovery.proposal.*</w:t>
            </w:r>
            <w:r>
              <w:rPr>
                <w:sz w:val="17"/>
              </w:rPr>
              <w:t xml:space="preserve">,</w:t>
            </w:r>
            <w:r>
              <w:rPr>
                <w:sz w:val="17"/>
              </w:rPr>
              <w:t xml:space="preserve"> </w:t>
            </w:r>
            <w:r>
              <w:rPr>
                <w:rStyle w:val="VerbatimChar"/>
                <w:sz w:val="17"/>
              </w:rPr>
              <w:t xml:space="preserve">recovery.formal_notice</w:t>
            </w:r>
            <w:r>
              <w:rPr>
                <w:sz w:val="17"/>
              </w:rPr>
              <w:t xml:space="preserve">,</w:t>
            </w:r>
            <w:r>
              <w:rPr>
                <w:sz w:val="17"/>
              </w:rPr>
              <w:t xml:space="preserve"> </w:t>
            </w:r>
            <w:r>
              <w:rPr>
                <w:rStyle w:val="VerbatimChar"/>
                <w:sz w:val="17"/>
              </w:rPr>
              <w:t xml:space="preserve">recovery.enforcement.*</w:t>
            </w:r>
          </w:p>
        </w:tc>
      </w:tr>
      <w:tr>
        <w:tc>
          <w:tcPr>
            <w:shd w:val="clear" w:color="auto" w:fill="F5F7FB"/>
          </w:tcPr>
          <w:p>
            <w:pPr>
              <w:pStyle w:val="Compact"/>
            </w:pPr>
            <w:r>
              <w:rPr>
                <w:sz w:val="17"/>
              </w:rPr>
              <w:t xml:space="preserve">Échéancier</w:t>
            </w:r>
          </w:p>
        </w:tc>
        <w:tc>
          <w:tcPr>
            <w:shd w:val="clear" w:color="auto" w:fill="F5F7FB"/>
          </w:tcPr>
          <w:p>
            <w:pPr>
              <w:pStyle w:val="Compact"/>
            </w:pPr>
            <w:r>
              <w:rPr>
                <w:sz w:val="17"/>
              </w:rPr>
              <w:t xml:space="preserve">Acte requis ; défaillance constatée par une personne</w:t>
            </w:r>
          </w:p>
        </w:tc>
        <w:tc>
          <w:tcPr>
            <w:shd w:val="clear" w:color="auto" w:fill="F5F7FB"/>
          </w:tcPr>
          <w:p>
            <w:pPr>
              <w:pStyle w:val="Compact"/>
            </w:pPr>
            <w:r>
              <w:rPr>
                <w:sz w:val="17"/>
              </w:rPr>
              <w:t xml:space="preserve">R20 / R21</w:t>
            </w:r>
          </w:p>
        </w:tc>
        <w:tc>
          <w:tcPr>
            <w:shd w:val="clear" w:color="auto" w:fill="F5F7FB"/>
          </w:tcPr>
          <w:p>
            <w:pPr>
              <w:pStyle w:val="Compact"/>
            </w:pPr>
            <w:r>
              <w:rPr>
                <w:rStyle w:val="VerbatimChar"/>
                <w:sz w:val="17"/>
              </w:rPr>
              <w:t xml:space="preserve">installment_plan.*</w:t>
            </w:r>
          </w:p>
        </w:tc>
      </w:tr>
      <w:tr>
        <w:tc>
          <w:tcPr/>
          <w:p>
            <w:pPr>
              <w:pStyle w:val="Compact"/>
            </w:pPr>
            <w:r>
              <w:rPr>
                <w:sz w:val="17"/>
              </w:rPr>
              <w:t xml:space="preserve">Pénalité / remise</w:t>
            </w:r>
          </w:p>
        </w:tc>
        <w:tc>
          <w:tcPr/>
          <w:p>
            <w:pPr>
              <w:pStyle w:val="Compact"/>
            </w:pPr>
            <w:r>
              <w:rPr>
                <w:sz w:val="17"/>
              </w:rPr>
              <w:t xml:space="preserve">Règle ACTIVE ; décision humaine ; liquidation ou rectificative</w:t>
            </w:r>
          </w:p>
        </w:tc>
        <w:tc>
          <w:tcPr/>
          <w:p>
            <w:pPr>
              <w:pStyle w:val="Compact"/>
            </w:pPr>
            <w:r>
              <w:rPr>
                <w:sz w:val="17"/>
              </w:rPr>
              <w:t xml:space="preserve">R20, R21, liquidateur</w:t>
            </w:r>
          </w:p>
        </w:tc>
        <w:tc>
          <w:tcPr/>
          <w:p>
            <w:pPr>
              <w:pStyle w:val="Compact"/>
            </w:pPr>
            <w:r>
              <w:rPr>
                <w:rStyle w:val="VerbatimChar"/>
                <w:sz w:val="17"/>
              </w:rPr>
              <w:t xml:space="preserve">recovery.penalty.*</w:t>
            </w:r>
            <w:r>
              <w:rPr>
                <w:sz w:val="17"/>
              </w:rPr>
              <w:t xml:space="preserve">,</w:t>
            </w:r>
            <w:r>
              <w:rPr>
                <w:sz w:val="17"/>
              </w:rPr>
              <w:t xml:space="preserve"> </w:t>
            </w:r>
            <w:r>
              <w:rPr>
                <w:rStyle w:val="VerbatimChar"/>
                <w:sz w:val="17"/>
              </w:rPr>
              <w:t xml:space="preserve">recovery.remission.*</w:t>
            </w:r>
          </w:p>
        </w:tc>
      </w:tr>
      <w:tr>
        <w:tc>
          <w:tcPr>
            <w:shd w:val="clear" w:color="auto" w:fill="F5F7FB"/>
          </w:tcPr>
          <w:p>
            <w:pPr>
              <w:pStyle w:val="Compact"/>
            </w:pPr>
            <w:r>
              <w:rPr>
                <w:sz w:val="17"/>
              </w:rPr>
              <w:t xml:space="preserve">Réclamation</w:t>
            </w:r>
          </w:p>
        </w:tc>
        <w:tc>
          <w:tcPr>
            <w:shd w:val="clear" w:color="auto" w:fill="F5F7FB"/>
          </w:tcPr>
          <w:p>
            <w:pPr>
              <w:pStyle w:val="Compact"/>
            </w:pPr>
            <w:r>
              <w:rPr>
                <w:sz w:val="17"/>
              </w:rPr>
              <w:t xml:space="preserve">Délais, pièces par empreinte, effet suspensif décidé</w:t>
            </w:r>
          </w:p>
        </w:tc>
        <w:tc>
          <w:tcPr>
            <w:shd w:val="clear" w:color="auto" w:fill="F5F7FB"/>
          </w:tcPr>
          <w:p>
            <w:pPr>
              <w:pStyle w:val="Compact"/>
            </w:pPr>
            <w:r>
              <w:rPr>
                <w:sz w:val="17"/>
              </w:rPr>
              <w:t xml:space="preserve">R20 instruit, R21 décide</w:t>
            </w:r>
          </w:p>
        </w:tc>
        <w:tc>
          <w:tcPr>
            <w:shd w:val="clear" w:color="auto" w:fill="F5F7FB"/>
          </w:tcPr>
          <w:p>
            <w:pPr>
              <w:pStyle w:val="Compact"/>
            </w:pPr>
            <w:r>
              <w:rPr>
                <w:rStyle w:val="VerbatimChar"/>
                <w:sz w:val="17"/>
              </w:rPr>
              <w:t xml:space="preserve">appeal.*</w:t>
            </w:r>
            <w:r>
              <w:rPr>
                <w:sz w:val="17"/>
              </w:rPr>
              <w:t xml:space="preserve">,</w:t>
            </w:r>
            <w:r>
              <w:rPr>
                <w:sz w:val="17"/>
              </w:rPr>
              <w:t xml:space="preserve"> </w:t>
            </w:r>
            <w:r>
              <w:rPr>
                <w:rStyle w:val="VerbatimChar"/>
                <w:sz w:val="17"/>
              </w:rPr>
              <w:t xml:space="preserve">appeal.sla_breach</w:t>
            </w:r>
          </w:p>
        </w:tc>
      </w:tr>
    </w:tbl>
    <w:bookmarkEnd w:id="616"/>
    <w:bookmarkEnd w:id="617"/>
    <w:bookmarkStart w:id="618" w:name="Xf49baa0a17dba3d7e770ce65d4fc526c40cdcb4"/>
    <w:p>
      <w:pPr>
        <w:pStyle w:val="Heading2"/>
      </w:pPr>
      <w:r>
        <w:t xml:space="preserve">I.6 Moteur de titres, RakaPay et pass wewa</w:t>
      </w:r>
    </w:p>
    <w:p>
      <w:pPr>
        <w:pStyle w:val="FirstParagraph"/>
      </w:pPr>
      <w:r>
        <w:t xml:space="preserve">Le</w:t>
      </w:r>
      <w:r>
        <w:t xml:space="preserve"> </w:t>
      </w:r>
      <w:r>
        <w:rPr>
          <w:b/>
          <w:bCs/>
        </w:rPr>
        <w:t xml:space="preserve">moteur de titres</w:t>
      </w:r>
      <w:r>
        <w:t xml:space="preserve"> </w:t>
      </w:r>
      <w:r>
        <w:t xml:space="preserve">(plugin</w:t>
      </w:r>
      <w:r>
        <w:t xml:space="preserve"> </w:t>
      </w:r>
      <w:r>
        <w:rPr>
          <w:rStyle w:val="VerbatimChar"/>
        </w:rPr>
        <w:t xml:space="preserve">titres</w:t>
      </w:r>
      <w:r>
        <w:t xml:space="preserve">) distingue la quittance, preuve permanente d’un paiement, du titre, droit ouvert limité dans le temps ou dans l’usage. Aucun titre n’existe sans paiement confirmé : une commande de titre crée une obligation par la règle du registre (liquidation déterministe d’une règle ACTIVE, jamais un prix saisi), puis un ordre de paiement du circuit commun ; le titre n’est émis qu’après le rappel signé du prestataire et la quittance provisoire, à laquelle il reste adossé (§ H.11.1). Une référence expirée ou un paiement échoué ferme la commande et annule l’obligation par contre-écriture (aucune dette pour un service non rendu) ; un paiement contrepassé ou une quittance annulée révoque le titre (ARB-22). Chaque type de titre porte une référence d’acte (J21, J28) : un type « acte requis » n’est pas activable. La validité est calculée sur l’heure du serveur, au fuseau de Kinshasa, selon les neuf modèles du § H.11.3, et restituée par six statuts affichés couleur + icône + texte (+ signal sonore au contrôle).</w:t>
      </w:r>
    </w:p>
    <w:p>
      <w:pPr>
        <w:pStyle w:val="BodyText"/>
      </w:pPr>
      <w:r>
        <w:t xml:space="preserve">Le</w:t>
      </w:r>
      <w:r>
        <w:t xml:space="preserve"> </w:t>
      </w:r>
      <w:r>
        <w:rPr>
          <w:b/>
          <w:bCs/>
        </w:rPr>
        <w:t xml:space="preserve">contrôle</w:t>
      </w:r>
      <w:r>
        <w:t xml:space="preserve"> </w:t>
      </w:r>
      <w:r>
        <w:t xml:space="preserve">accepte le QR dynamique de l’application (HMAC-SHA256 du titre et de la fenêtre de 30 s, régénéré automatiquement : une capture d’écran ou un code copié est refusé à la fenêtre suivante), le QR statique signé Ed25519 (papier, autocollant, gilet), le code court et la plaque. La réponse est minimale — valide, expiré ou invalide — sans nom, adresse ni identifiant de contribuable. Un titre à usage unique est consommé au premier contrôle valide ; toute nouvelle présentation affiche « DÉJÀ UTILISÉ » avec l’heure et le lieu du premier usage et lève une alerte. Hors ligne, le terminal enrôlé télécharge un paquet signé (clé publique, liste de révocation signée, plaques actives), contrôle localement puis synchronise un lot signé HMAC par sa clé : le serveur reconfirme chaque contrôle, détecte les divergences et les doubles usages. Un contrôle négatif ouvre un</w:t>
      </w:r>
      <w:r>
        <w:t xml:space="preserve"> </w:t>
      </w:r>
      <w:r>
        <w:rPr>
          <w:b/>
          <w:bCs/>
        </w:rPr>
        <w:t xml:space="preserve">constat</w:t>
      </w:r>
      <w:r>
        <w:t xml:space="preserve"> </w:t>
      </w:r>
      <w:r>
        <w:t xml:space="preserve">à instruire (</w:t>
      </w:r>
      <w:r>
        <w:rPr>
          <w:rStyle w:val="VerbatimChar"/>
        </w:rPr>
        <w:t xml:space="preserve">legalEffect: AUCUN_MONTANT</w:t>
      </w:r>
      <w:r>
        <w:t xml:space="preserve">) : jamais d’amende, d’obligation, d’immobilisation ni d’encaissement ; le contrôleur auteur ne peut pas en décider. Suspension, levée, annulation et remplacement d’un titre sont des décisions humaines motivées (chef de service ou directeur de l’entité), journalisées.</w:t>
      </w:r>
    </w:p>
    <w:p>
      <w:pPr>
        <w:pStyle w:val="BodyText"/>
      </w:pPr>
      <w:r>
        <w:t xml:space="preserve">La</w:t>
      </w:r>
      <w:r>
        <w:t xml:space="preserve"> </w:t>
      </w:r>
      <w:r>
        <w:rPr>
          <w:b/>
          <w:bCs/>
        </w:rPr>
        <w:t xml:space="preserve">billetterie RakaPay</w:t>
      </w:r>
      <w:r>
        <w:t xml:space="preserve"> </w:t>
      </w:r>
      <w:r>
        <w:t xml:space="preserve">(plugin</w:t>
      </w:r>
      <w:r>
        <w:t xml:space="preserve"> </w:t>
      </w:r>
      <w:r>
        <w:rPr>
          <w:rStyle w:val="VerbatimChar"/>
        </w:rPr>
        <w:t xml:space="preserve">rakapay</w:t>
      </w:r>
      <w:r>
        <w:t xml:space="preserve">) gère opérateurs (public, coopératives, privé), stations géoréférencées, lignes et catalogue de tickets (trajet à usage unique, accès 1, 7 et 30 jours). La station de départ fixe la commune à laquelle la recette est attribuée (</w:t>
      </w:r>
      <w:r>
        <w:rPr>
          <w:rStyle w:val="VerbatimChar"/>
        </w:rPr>
        <w:t xml:space="preserve">STATION_DEPART</w:t>
      </w:r>
      <w:r>
        <w:t xml:space="preserve">, § 20.3). Le</w:t>
      </w:r>
      <w:r>
        <w:t xml:space="preserve"> </w:t>
      </w:r>
      <w:r>
        <w:rPr>
          <w:b/>
          <w:bCs/>
        </w:rPr>
        <w:t xml:space="preserve">pass wewa</w:t>
      </w:r>
      <w:r>
        <w:t xml:space="preserve"> </w:t>
      </w:r>
      <w:r>
        <w:t xml:space="preserve">est un ticket RakaPay à durée (jour en 24 h glissantes, semaine, mois ; seuils ambre 2 h / 1 j / 3 j) lié à la plaque et au conducteur, non transférable ; il se renouvelle en continuité. Le registre des motos (plaque, numéro d’ordre, marque, propriétaire, commune, station d’attache, autocollant QR signé) et des conducteurs (permis, gilet numéroté QR signé, carte conducteur, affectation historisée conducteur ↔ moto) est tenu</w:t>
      </w:r>
      <w:r>
        <w:t xml:space="preserve"> </w:t>
      </w:r>
      <w:r>
        <w:rPr>
          <w:b/>
          <w:bCs/>
        </w:rPr>
        <w:t xml:space="preserve">gratuitement</w:t>
      </w:r>
      <w:r>
        <w:t xml:space="preserve">. Le conducteur paie son pass (USSD, Mobile Money, point agréé) ; la coopérative accréditée peut payer en groupe (une référence par commune, activation individuelle de chaque pass). La coopérative inscrit et suit ses membres mais n’encaisse pas, ne fixe aucun tarif et ne valide aucun contrôle ; son accréditation et sa suspension sont des décisions humaines motivées.</w:t>
      </w:r>
    </w:p>
    <w:p>
      <w:pPr>
        <w:pStyle w:val="BodyText"/>
      </w:pPr>
      <w:r>
        <w:t xml:space="preserve">Le</w:t>
      </w:r>
      <w:r>
        <w:t xml:space="preserve"> </w:t>
      </w:r>
      <w:r>
        <w:rPr>
          <w:b/>
          <w:bCs/>
        </w:rPr>
        <w:t xml:space="preserve">contrôle protecteur</w:t>
      </w:r>
      <w:r>
        <w:t xml:space="preserve"> </w:t>
      </w:r>
      <w:r>
        <w:t xml:space="preserve">lit le gilet, l’autocollant, la plaque ou le QR du téléphone : un wewa en vert obtient « rien à payer » et aucun constat n’est possible ; le passager peut vérifier publiquement un gilet (conducteur enregistré, pass vert ou rouge, sans nom). Une période de grâce paramétrable marque les constats comme pédagogiques. Les signalements de prélèvements irréguliers sont reçus sans compte, anonymes, et instruits par la cellule anti-fraude. Le tableau de pilotage expose des agrégats : couverture par station et commune (estimations [EXEMPLE]), conformité au contrôle, paiement numérique (cible 100 %, espèces sur la route : 0), plaintes (délai, part confirmée), tickets, réutilisations détectées et recette par commune.</w:t>
      </w:r>
    </w:p>
    <w:p>
      <w:pPr>
        <w:pStyle w:val="BodyText"/>
      </w:pPr>
      <w:r>
        <w:rPr>
          <w:b/>
          <w:bCs/>
        </w:rPr>
        <w:t xml:space="preserve">Démonstration.</w:t>
      </w:r>
      <w:r>
        <w:t xml:space="preserve"> </w:t>
      </w:r>
      <w:r>
        <w:t xml:space="preserve">Les tarifs proviennent de deux règles FICTIVES publiées par le circuit complet (quatre visas distincts,</w:t>
      </w:r>
      <w:r>
        <w:t xml:space="preserve"> </w:t>
      </w:r>
      <w:r>
        <w:rPr>
          <w:rStyle w:val="VerbatimChar"/>
        </w:rPr>
        <w:t xml:space="preserve">demo: true</w:t>
      </w:r>
      <w:r>
        <w:t xml:space="preserve">) : pass wewa 500 / 3 500 / 15 000 FC (illustration [EXEMPLE] du § H.27.16.1), bus 500 / 1 500 / 9 000 / 30 000 FC. Les tarifs réels restent « acte requis » (J28, J21, J25). Les paiements de démonstration passent par un rappel prestataire signé HMAC traité par le circuit commun.</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Élément</w:t>
            </w:r>
          </w:p>
        </w:tc>
        <w:tc>
          <w:tcPr>
            <w:shd w:val="clear" w:color="auto" w:fill="232C6B"/>
          </w:tcPr>
          <w:p>
            <w:pPr>
              <w:pStyle w:val="Compact"/>
            </w:pPr>
            <w:r>
              <w:rPr>
                <w:b/>
                <w:color w:val="FFFFFF"/>
                <w:sz w:val="17"/>
              </w:rPr>
              <w:t xml:space="preserve">Construit</w:t>
            </w:r>
          </w:p>
        </w:tc>
        <w:tc>
          <w:tcPr>
            <w:shd w:val="clear" w:color="auto" w:fill="232C6B"/>
          </w:tcPr>
          <w:p>
            <w:pPr>
              <w:pStyle w:val="Compact"/>
            </w:pPr>
            <w:r>
              <w:rPr>
                <w:b/>
                <w:color w:val="FFFFFF"/>
                <w:sz w:val="17"/>
              </w:rPr>
              <w:t xml:space="preserve">Garde-fou</w:t>
            </w:r>
          </w:p>
        </w:tc>
      </w:tr>
      <w:tr>
        <w:tc>
          <w:tcPr/>
          <w:p>
            <w:pPr>
              <w:pStyle w:val="Compact"/>
            </w:pPr>
            <w:r>
              <w:rPr>
                <w:sz w:val="17"/>
              </w:rPr>
              <w:t xml:space="preserve">Statuts</w:t>
            </w:r>
          </w:p>
        </w:tc>
        <w:tc>
          <w:tcPr/>
          <w:p>
            <w:pPr>
              <w:pStyle w:val="Compact"/>
            </w:pPr>
            <w:r>
              <w:rPr>
                <w:sz w:val="17"/>
              </w:rPr>
              <w:t xml:space="preserve">Gris, vert, ambre, rouge, bleu, noir ; texte + icône + son</w:t>
            </w:r>
          </w:p>
        </w:tc>
        <w:tc>
          <w:tcPr/>
          <w:p>
            <w:pPr>
              <w:pStyle w:val="Compact"/>
            </w:pPr>
            <w:r>
              <w:rPr>
                <w:sz w:val="17"/>
              </w:rPr>
              <w:t xml:space="preserve">Heure serveur seule (AC-TIT-01, 02, 04)</w:t>
            </w:r>
          </w:p>
        </w:tc>
      </w:tr>
      <w:tr>
        <w:tc>
          <w:tcPr>
            <w:shd w:val="clear" w:color="auto" w:fill="F5F7FB"/>
          </w:tcPr>
          <w:p>
            <w:pPr>
              <w:pStyle w:val="Compact"/>
            </w:pPr>
            <w:r>
              <w:rPr>
                <w:sz w:val="17"/>
              </w:rPr>
              <w:t xml:space="preserve">Modèles de validité</w:t>
            </w:r>
          </w:p>
        </w:tc>
        <w:tc>
          <w:tcPr>
            <w:shd w:val="clear" w:color="auto" w:fill="F5F7FB"/>
          </w:tcPr>
          <w:p>
            <w:pPr>
              <w:pStyle w:val="Compact"/>
            </w:pPr>
            <w:r>
              <w:rPr>
                <w:sz w:val="17"/>
              </w:rPr>
              <w:t xml:space="preserve">Durée courte, journalier (calendaire / 24 h), hebdo-mensuel, exercice, événement, usage unique, carnet, abonnement (consentement), glissant conditionnel</w:t>
            </w:r>
          </w:p>
        </w:tc>
        <w:tc>
          <w:tcPr>
            <w:shd w:val="clear" w:color="auto" w:fill="F5F7FB"/>
          </w:tcPr>
          <w:p>
            <w:pPr>
              <w:pStyle w:val="Compact"/>
            </w:pPr>
            <w:r>
              <w:rPr>
                <w:sz w:val="17"/>
              </w:rPr>
              <w:t xml:space="preserve">Calcul serveur, plafond, tolérance, seuil ambre par type</w:t>
            </w:r>
          </w:p>
        </w:tc>
      </w:tr>
      <w:tr>
        <w:tc>
          <w:tcPr/>
          <w:p>
            <w:pPr>
              <w:pStyle w:val="Compact"/>
            </w:pPr>
            <w:r>
              <w:rPr>
                <w:sz w:val="17"/>
              </w:rPr>
              <w:t xml:space="preserve">Émission</w:t>
            </w:r>
          </w:p>
        </w:tc>
        <w:tc>
          <w:tcPr/>
          <w:p>
            <w:pPr>
              <w:pStyle w:val="Compact"/>
            </w:pPr>
            <w:r>
              <w:rPr>
                <w:sz w:val="17"/>
              </w:rPr>
              <w:t xml:space="preserve">Commande → obligation (règle ACTIVE) → ordre → rappel signé → quittance → titre</w:t>
            </w:r>
          </w:p>
        </w:tc>
        <w:tc>
          <w:tcPr/>
          <w:p>
            <w:pPr>
              <w:pStyle w:val="Compact"/>
            </w:pPr>
            <w:r>
              <w:rPr>
                <w:sz w:val="17"/>
              </w:rPr>
              <w:t xml:space="preserve">Type sans acte refusé ; aucun titre sans quittance</w:t>
            </w:r>
          </w:p>
        </w:tc>
      </w:tr>
      <w:tr>
        <w:tc>
          <w:tcPr>
            <w:shd w:val="clear" w:color="auto" w:fill="F5F7FB"/>
          </w:tcPr>
          <w:p>
            <w:pPr>
              <w:pStyle w:val="Compact"/>
            </w:pPr>
            <w:r>
              <w:rPr>
                <w:sz w:val="17"/>
              </w:rPr>
              <w:t xml:space="preserve">QR</w:t>
            </w:r>
          </w:p>
        </w:tc>
        <w:tc>
          <w:tcPr>
            <w:shd w:val="clear" w:color="auto" w:fill="F5F7FB"/>
          </w:tcPr>
          <w:p>
            <w:pPr>
              <w:pStyle w:val="Compact"/>
            </w:pPr>
            <w:r>
              <w:rPr>
                <w:sz w:val="17"/>
              </w:rPr>
              <w:t xml:space="preserve">Dynamique HMAC 30 s ; statique Ed25519 ; code court ; plaque</w:t>
            </w:r>
          </w:p>
        </w:tc>
        <w:tc>
          <w:tcPr>
            <w:shd w:val="clear" w:color="auto" w:fill="F5F7FB"/>
          </w:tcPr>
          <w:p>
            <w:pPr>
              <w:pStyle w:val="Compact"/>
            </w:pPr>
            <w:r>
              <w:rPr>
                <w:sz w:val="17"/>
              </w:rPr>
              <w:t xml:space="preserve">Capture refusée (AC-TIT-05) ; préfixe par module</w:t>
            </w:r>
          </w:p>
        </w:tc>
      </w:tr>
      <w:tr>
        <w:tc>
          <w:tcPr/>
          <w:p>
            <w:pPr>
              <w:pStyle w:val="Compact"/>
            </w:pPr>
            <w:r>
              <w:rPr>
                <w:sz w:val="17"/>
              </w:rPr>
              <w:t xml:space="preserve">Contrôle</w:t>
            </w:r>
          </w:p>
        </w:tc>
        <w:tc>
          <w:tcPr/>
          <w:p>
            <w:pPr>
              <w:pStyle w:val="Compact"/>
            </w:pPr>
            <w:r>
              <w:rPr>
                <w:sz w:val="17"/>
              </w:rPr>
              <w:t xml:space="preserve">En ligne, par plaque, hors ligne (paquet + lot signés)</w:t>
            </w:r>
          </w:p>
        </w:tc>
        <w:tc>
          <w:tcPr/>
          <w:p>
            <w:pPr>
              <w:pStyle w:val="Compact"/>
            </w:pPr>
            <w:r>
              <w:rPr>
                <w:sz w:val="17"/>
              </w:rPr>
              <w:t xml:space="preserve">Usage unique une fois (AC-TIT-03) ; constat sans montant (AC-TIT-06)</w:t>
            </w:r>
          </w:p>
        </w:tc>
      </w:tr>
      <w:tr>
        <w:tc>
          <w:tcPr>
            <w:shd w:val="clear" w:color="auto" w:fill="F5F7FB"/>
          </w:tcPr>
          <w:p>
            <w:pPr>
              <w:pStyle w:val="Compact"/>
            </w:pPr>
            <w:r>
              <w:rPr>
                <w:sz w:val="17"/>
              </w:rPr>
              <w:t xml:space="preserve">Décisions</w:t>
            </w:r>
          </w:p>
        </w:tc>
        <w:tc>
          <w:tcPr>
            <w:shd w:val="clear" w:color="auto" w:fill="F5F7FB"/>
          </w:tcPr>
          <w:p>
            <w:pPr>
              <w:pStyle w:val="Compact"/>
            </w:pPr>
            <w:r>
              <w:rPr>
                <w:sz w:val="17"/>
              </w:rPr>
              <w:t xml:space="preserve">Suspendre, lever, annuler, remplacer ; classer / transmettre un constat</w:t>
            </w:r>
          </w:p>
        </w:tc>
        <w:tc>
          <w:tcPr>
            <w:shd w:val="clear" w:color="auto" w:fill="F5F7FB"/>
          </w:tcPr>
          <w:p>
            <w:pPr>
              <w:pStyle w:val="Compact"/>
            </w:pPr>
            <w:r>
              <w:rPr>
                <w:sz w:val="17"/>
              </w:rPr>
              <w:t xml:space="preserve">Personne habilitée de l’entité, motif, séparation contrôleur / décideur</w:t>
            </w:r>
          </w:p>
        </w:tc>
      </w:tr>
      <w:tr>
        <w:tc>
          <w:tcPr/>
          <w:p>
            <w:pPr>
              <w:pStyle w:val="Compact"/>
            </w:pPr>
            <w:r>
              <w:rPr>
                <w:sz w:val="17"/>
              </w:rPr>
              <w:t xml:space="preserve">Wewa</w:t>
            </w:r>
          </w:p>
        </w:tc>
        <w:tc>
          <w:tcPr/>
          <w:p>
            <w:pPr>
              <w:pStyle w:val="Compact"/>
            </w:pPr>
            <w:r>
              <w:rPr>
                <w:sz w:val="17"/>
              </w:rPr>
              <w:t xml:space="preserve">Registre gratuit, pass plaque + conducteur, paiement individuel ou groupé, vérification passager</w:t>
            </w:r>
          </w:p>
        </w:tc>
        <w:tc>
          <w:tcPr/>
          <w:p>
            <w:pPr>
              <w:pStyle w:val="Compact"/>
            </w:pPr>
            <w:r>
              <w:rPr>
                <w:sz w:val="17"/>
              </w:rPr>
              <w:t xml:space="preserve">Vert = rien à payer ; coopérative sans encaissement ni contrôle</w:t>
            </w:r>
          </w:p>
        </w:tc>
      </w:tr>
      <w:tr>
        <w:tc>
          <w:tcPr>
            <w:shd w:val="clear" w:color="auto" w:fill="F5F7FB"/>
          </w:tcPr>
          <w:p>
            <w:pPr>
              <w:pStyle w:val="Compact"/>
            </w:pPr>
            <w:r>
              <w:rPr>
                <w:sz w:val="17"/>
              </w:rPr>
              <w:t xml:space="preserve">Pilotage</w:t>
            </w:r>
          </w:p>
        </w:tc>
        <w:tc>
          <w:tcPr>
            <w:shd w:val="clear" w:color="auto" w:fill="F5F7FB"/>
          </w:tcPr>
          <w:p>
            <w:pPr>
              <w:pStyle w:val="Compact"/>
            </w:pPr>
            <w:r>
              <w:rPr>
                <w:sz w:val="17"/>
              </w:rPr>
              <w:t xml:space="preserve">Couverture, conformité, paiement numérique, plaintes, recette par commune</w:t>
            </w:r>
          </w:p>
        </w:tc>
        <w:tc>
          <w:tcPr>
            <w:shd w:val="clear" w:color="auto" w:fill="F5F7FB"/>
          </w:tcPr>
          <w:p>
            <w:pPr>
              <w:pStyle w:val="Compact"/>
            </w:pPr>
            <w:r>
              <w:rPr>
                <w:sz w:val="17"/>
              </w:rPr>
              <w:t xml:space="preserve">Agrégats uniquement ; estimations [EXEMPLE]</w:t>
            </w:r>
          </w:p>
        </w:tc>
      </w:tr>
    </w:tbl>
    <w:bookmarkEnd w:id="618"/>
    <w:bookmarkStart w:id="619" w:name="X6188e85d0d4d667dcffb89fe2a3a19be79ee9b9"/>
    <w:p>
      <w:pPr>
        <w:pStyle w:val="Heading2"/>
      </w:pPr>
      <w:r>
        <w:t xml:space="preserve">I.7 Stationnement (ParkSmart) et publicité (KIN PUB CONTROL)</w:t>
      </w:r>
    </w:p>
    <w:p>
      <w:pPr>
        <w:pStyle w:val="FirstParagraph"/>
      </w:pPr>
      <w:r>
        <w:rPr>
          <w:b/>
          <w:bCs/>
        </w:rPr>
        <w:t xml:space="preserve">MOSOLO Parking (ParkSmart, § 11A ; § H.27.5).</w:t>
      </w:r>
      <w:r>
        <w:t xml:space="preserve"> </w:t>
      </w:r>
      <w:r>
        <w:t xml:space="preserve">Le module</w:t>
      </w:r>
      <w:r>
        <w:t xml:space="preserve"> </w:t>
      </w:r>
      <w:r>
        <w:rPr>
          <w:rStyle w:val="VerbatimChar"/>
        </w:rPr>
        <w:t xml:space="preserve">parking</w:t>
      </w:r>
      <w:r>
        <w:t xml:space="preserve"> </w:t>
      </w:r>
      <w:r>
        <w:t xml:space="preserve">gère des zones de stationnement délimitées par une géométrie simple (polygone pour une zone, ligne pour une artère), leur capacité (places standard, livraison, PMR, mètres linéaires) et leur rang de localité. Une zone n’est payante que si elle est rattachée à une grille tarifaire qui est une règle ACTIVE du registre juridique (quatre visas, date d’effet atteinte). Sinon elle reste « acte requis » et aucune session ne peut y être vendue. Les deux décisions structurantes du dossier source, la Gombe en zone payante intégrale et le boulevard du 30 Juin en artère payante, sont enregistrées avec ce statut (décision D20, acte J24). La démonstration s’appuie sur deux zones fictives, « DEMO-GOMBE-CENTRE » et « DEMO-LIMETE-LUMUMBA ». Elles sont liées à une grille et à un barème fictifs (</w:t>
      </w:r>
      <w:r>
        <w:rPr>
          <w:rStyle w:val="VerbatimChar"/>
        </w:rPr>
        <w:t xml:space="preserve">DEMO-PARK-HORAIRE</w:t>
      </w:r>
      <w:r>
        <w:t xml:space="preserve">,</w:t>
      </w:r>
      <w:r>
        <w:t xml:space="preserve"> </w:t>
      </w:r>
      <w:r>
        <w:rPr>
          <w:rStyle w:val="VerbatimChar"/>
        </w:rPr>
        <w:t xml:space="preserve">DEMO-PARK-PENALITE</w:t>
      </w:r>
      <w:r>
        <w:t xml:space="preserve">) publiés par le circuit réel et marqués démonstration. La régie peut créer une zone, la rattacher à une grille et la suspendre ou la rouvrir avec un motif. Elle ne saisit jamais de montant.</w:t>
      </w:r>
    </w:p>
    <w:p>
      <w:pPr>
        <w:pStyle w:val="BodyText"/>
      </w:pPr>
      <w:r>
        <w:rPr>
          <w:b/>
          <w:bCs/>
        </w:rPr>
        <w:t xml:space="preserve">Sessions liées à la plaque.</w:t>
      </w:r>
      <w:r>
        <w:t xml:space="preserve"> </w:t>
      </w:r>
      <w:r>
        <w:t xml:space="preserve">L’usager démarre une session pour une plaque, une zone et une durée (multiple de 15 minutes, dans la limite fixée par l’acte). Le moteur commun liquide alors une obligation sur la règle ACTIVE, au nom d’un compte technique de liquidation. Cette obligation est rattachée à un objet « occupation de voirie » situé dans la commune de la zone : la recette est donc attribuée au lieu du stationnement (§ 20.3). Le paiement passe exclusivement par le circuit commun : ordre de paiement, confirmation signée du prestataire, quittance provisoire, puis rapprochement. La validité court à partir de la confirmation. La prolongation suit le même chemin : chaque achat est une obligation distincte, créée avec une clé d’idempotence. Un rappel « ambre » (événement</w:t>
      </w:r>
      <w:r>
        <w:t xml:space="preserve"> </w:t>
      </w:r>
      <w:r>
        <w:rPr>
          <w:rStyle w:val="VerbatimChar"/>
        </w:rPr>
        <w:t xml:space="preserve">ticket.expiring</w:t>
      </w:r>
      <w:r>
        <w:t xml:space="preserve">) est envoyé une seule fois avant l’expiration. L’usager peut terminer sa session et consulter son historique. Un marchand peut payer une session pour la plaque d’un client. Les réservations de voirie (déménagement, chantier, livraison, événement) sont soumises à une décision motivée de la régie. Leur approbation liquide la redevance. La surréservation est désactivée (ARB-14) et la capacité publiée est une borne stricte. Les parkings privés et marchands partenaires sont inscrits, conventionnés ou suspendus sur décision motivée. Leurs places libres sont déclarées par l’exploitant et aucun fonds privé ne transite par MOSOLO.</w:t>
      </w:r>
    </w:p>
    <w:p>
      <w:pPr>
        <w:pStyle w:val="BodyText"/>
      </w:pPr>
      <w:r>
        <w:rPr>
          <w:b/>
          <w:bCs/>
        </w:rPr>
        <w:t xml:space="preserve">Contrôle et constat (RW1, ARB-12).</w:t>
      </w:r>
      <w:r>
        <w:t xml:space="preserve"> </w:t>
      </w:r>
      <w:r>
        <w:t xml:space="preserve">Le contrôle par plaque rend un résultat minimal (vert, ambre ou rouge, avec l’échéance), sans nom ni adresse, et chaque contrôle est journalisé. Un feu rouge ne crée aucune obligation. Le constat est humain et photographique : empreintes SHA-256 des photos, GPS et heure du serveur, preuves en ajout seul. Le constat de non-paiement est impossible si un titre valide existe. Le superviseur vérifie ensuite le constat ; il doit être une personne distincte de l’agent. Le système prépare alors une proposition selon le barème ACTIF de la zone, ou « acte requis » si aucun barème n’est publié. Une troisième personne décide avec motif. Si la décision retient le constat et que le titulaire déclaré de la plaque est connu, l’obligation de pénalité est liquidée au nom du décideur. Sinon, la décision est tracée sans montant. L’usager présente ses observations avant la décision. Après la décision, sa contestation ouvre une réclamation dans le circuit commun des recours. Le module ne contient aucune route de blocage, de fourrière ou d’encaissement par un agent.</w:t>
      </w:r>
    </w:p>
    <w:p>
      <w:pPr>
        <w:pStyle w:val="BodyText"/>
      </w:pPr>
      <w:r>
        <w:rPr>
          <w:b/>
          <w:bCs/>
        </w:rPr>
        <w:t xml:space="preserve">KIN PUB CONTROL (§ 11B ; § H.27.6).</w:t>
      </w:r>
      <w:r>
        <w:t xml:space="preserve"> </w:t>
      </w:r>
      <w:r>
        <w:t xml:space="preserve">Le module</w:t>
      </w:r>
      <w:r>
        <w:t xml:space="preserve"> </w:t>
      </w:r>
      <w:r>
        <w:rPr>
          <w:rStyle w:val="VerbatimChar"/>
        </w:rPr>
        <w:t xml:space="preserve">publicite</w:t>
      </w:r>
      <w:r>
        <w:t xml:space="preserve"> </w:t>
      </w:r>
      <w:r>
        <w:t xml:space="preserve">tient l’inventaire géolocalisé des dispositifs. Chaque fiche comporte le type, les dimensions, la surface calculée exactement en décimal, les faces, l’éclairage, les empreintes des photos, l’exploitant (compte unique) ou l’exploitant présumé, un identifiant unique et un jeton de plaque QR. Un objet fiscal</w:t>
      </w:r>
      <w:r>
        <w:t xml:space="preserve"> </w:t>
      </w:r>
      <w:r>
        <w:rPr>
          <w:rStyle w:val="VerbatimChar"/>
        </w:rPr>
        <w:t xml:space="preserve">PANNEAU</w:t>
      </w:r>
      <w:r>
        <w:t xml:space="preserve"> </w:t>
      </w:r>
      <w:r>
        <w:t xml:space="preserve">est créé dès que l’exploitant est connu. L’exploitant déclare ses supports et demande l’autorisation en ligne, pièces jointes par empreinte. La demande est instruite (complément ou proposition) puis décidée par une personne distincte. Quand l’autorisation est accordée, les droits sont liquidés par la règle du registre (démonstration :</w:t>
      </w:r>
      <w:r>
        <w:t xml:space="preserve"> </w:t>
      </w:r>
      <w:r>
        <w:rPr>
          <w:rStyle w:val="VerbatimChar"/>
        </w:rPr>
        <w:t xml:space="preserve">DEMO-PUB-SURFACE</w:t>
      </w:r>
      <w:r>
        <w:t xml:space="preserve">, surface × faces × tarif du rang + supplément d’éclairage). Sans règle active, la liquidation est tracée « acte requis », sans montant. L’avis au redevable (base, formule, taux, échéance, voie de recours) et le paiement passent par le circuit commun. Les échéances font l’objet d’un préavis à 30 jours puis d’un avis d’expiration. Seul un inspecteur accrédité (commune, période) peut constater ; son accréditation est révocable et son badge est vérifiable publiquement. L’inspecteur recherche l’autorisation par référence, jeton QR ou texte lu par lecture optique (simple proposition), puis dresse un constat en ajout seul. Un constat non conforme, non déclaré ou de retrait ouvre un dossier : vérification par le superviseur, puis décision motivée par une personne distincte. La décision peut rattacher l’exploitant, constater un retrait et liquider les droits. Elle n’émet aucune pénalité, faute de barème publié. L’exploitant est notifié et peut contester.</w:t>
      </w:r>
    </w:p>
    <w:p>
      <w:pPr>
        <w:pStyle w:val="BodyText"/>
      </w:pPr>
      <w:r>
        <w:rPr>
          <w:b/>
          <w:bCs/>
        </w:rPr>
        <w:t xml:space="preserve">Pilotage.</w:t>
      </w:r>
      <w:r>
        <w:t xml:space="preserve"> </w:t>
      </w:r>
      <w:r>
        <w:t xml:space="preserve">Les deux tableaux de bord ne présentent que des agrégats. Côté stationnement : occupation et cible de 15 à 25 % de places libres, rotation, recettes confirmées et rapprochées par zone, par place, par mètre linéaire et par commune, taux de conformité au contrôle, priorités de patrouille (usage exclusif du « score »), et garde-fous affichés. Côté publicité : taux d’autorisation, échéances, contrôles par nature, dossiers, régularisations, recettes par m², situation par commune, et qualité des inspecteurs, mesurée par l’exactitude et non par le nombre de sanctions.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Élément</w:t>
            </w:r>
          </w:p>
        </w:tc>
        <w:tc>
          <w:tcPr>
            <w:shd w:val="clear" w:color="auto" w:fill="232C6B"/>
          </w:tcPr>
          <w:p>
            <w:pPr>
              <w:pStyle w:val="Compact"/>
            </w:pPr>
            <w:r>
              <w:rPr>
                <w:b/>
                <w:color w:val="FFFFFF"/>
                <w:sz w:val="17"/>
              </w:rPr>
              <w:t xml:space="preserve">Parking (ParkSmart)</w:t>
            </w:r>
          </w:p>
        </w:tc>
        <w:tc>
          <w:tcPr>
            <w:shd w:val="clear" w:color="auto" w:fill="232C6B"/>
          </w:tcPr>
          <w:p>
            <w:pPr>
              <w:pStyle w:val="Compact"/>
            </w:pPr>
            <w:r>
              <w:rPr>
                <w:b/>
                <w:color w:val="FFFFFF"/>
                <w:sz w:val="17"/>
              </w:rPr>
              <w:t xml:space="preserve">Publicité (KIN PUB CONTROL)</w:t>
            </w:r>
          </w:p>
        </w:tc>
      </w:tr>
      <w:tr>
        <w:tc>
          <w:tcPr/>
          <w:p>
            <w:pPr>
              <w:pStyle w:val="Compact"/>
            </w:pPr>
            <w:r>
              <w:rPr>
                <w:sz w:val="17"/>
              </w:rPr>
              <w:t xml:space="preserve">Règle de liquidation</w:t>
            </w:r>
          </w:p>
        </w:tc>
        <w:tc>
          <w:tcPr/>
          <w:p>
            <w:pPr>
              <w:pStyle w:val="Compact"/>
            </w:pPr>
            <w:r>
              <w:rPr>
                <w:sz w:val="17"/>
              </w:rPr>
              <w:t xml:space="preserve">Grille de la zone, règle ACTIVE (démo :</w:t>
            </w:r>
            <w:r>
              <w:rPr>
                <w:sz w:val="17"/>
              </w:rPr>
              <w:t xml:space="preserve"> </w:t>
            </w:r>
            <w:r>
              <w:rPr>
                <w:rStyle w:val="VerbatimChar"/>
                <w:sz w:val="17"/>
              </w:rPr>
              <w:t xml:space="preserve">DEMO-PARK-HORAIRE</w:t>
            </w:r>
            <w:r>
              <w:rPr>
                <w:sz w:val="17"/>
              </w:rPr>
              <w:t xml:space="preserve">, CDF)</w:t>
            </w:r>
          </w:p>
        </w:tc>
        <w:tc>
          <w:tcPr/>
          <w:p>
            <w:pPr>
              <w:pStyle w:val="Compact"/>
            </w:pPr>
            <w:r>
              <w:rPr>
                <w:rStyle w:val="VerbatimChar"/>
                <w:sz w:val="17"/>
              </w:rPr>
              <w:t xml:space="preserve">DEMO-PUB-SURFACE</w:t>
            </w:r>
            <w:r>
              <w:rPr>
                <w:sz w:val="17"/>
              </w:rPr>
              <w:t xml:space="preserve"> </w:t>
            </w:r>
            <w:r>
              <w:rPr>
                <w:sz w:val="17"/>
              </w:rPr>
              <w:t xml:space="preserve">(démo, CDF) ; sinon « acte requis »</w:t>
            </w:r>
          </w:p>
        </w:tc>
      </w:tr>
      <w:tr>
        <w:tc>
          <w:tcPr>
            <w:shd w:val="clear" w:color="auto" w:fill="F5F7FB"/>
          </w:tcPr>
          <w:p>
            <w:pPr>
              <w:pStyle w:val="Compact"/>
            </w:pPr>
            <w:r>
              <w:rPr>
                <w:sz w:val="17"/>
              </w:rPr>
              <w:t xml:space="preserve">Pénalités</w:t>
            </w:r>
          </w:p>
        </w:tc>
        <w:tc>
          <w:tcPr>
            <w:shd w:val="clear" w:color="auto" w:fill="F5F7FB"/>
          </w:tcPr>
          <w:p>
            <w:pPr>
              <w:pStyle w:val="Compact"/>
            </w:pPr>
            <w:r>
              <w:rPr>
                <w:sz w:val="17"/>
              </w:rPr>
              <w:t xml:space="preserve">Barème ACTIF de la zone (démo :</w:t>
            </w:r>
            <w:r>
              <w:rPr>
                <w:sz w:val="17"/>
              </w:rPr>
              <w:t xml:space="preserve"> </w:t>
            </w:r>
            <w:r>
              <w:rPr>
                <w:rStyle w:val="VerbatimChar"/>
                <w:sz w:val="17"/>
              </w:rPr>
              <w:t xml:space="preserve">DEMO-PARK-PENALITE</w:t>
            </w:r>
            <w:r>
              <w:rPr>
                <w:sz w:val="17"/>
              </w:rPr>
              <w:t xml:space="preserve">), après décision motivée seulement</w:t>
            </w:r>
          </w:p>
        </w:tc>
        <w:tc>
          <w:tcPr>
            <w:shd w:val="clear" w:color="auto" w:fill="F5F7FB"/>
          </w:tcPr>
          <w:p>
            <w:pPr>
              <w:pStyle w:val="Compact"/>
            </w:pPr>
            <w:r>
              <w:rPr>
                <w:sz w:val="17"/>
              </w:rPr>
              <w:t xml:space="preserve">Aucune (barème non publié)</w:t>
            </w:r>
          </w:p>
        </w:tc>
      </w:tr>
      <w:tr>
        <w:tc>
          <w:tcPr/>
          <w:p>
            <w:pPr>
              <w:pStyle w:val="Compact"/>
            </w:pPr>
            <w:r>
              <w:rPr>
                <w:sz w:val="17"/>
              </w:rPr>
              <w:t xml:space="preserve">Compte bénéficiaire</w:t>
            </w:r>
          </w:p>
        </w:tc>
        <w:tc>
          <w:tcPr/>
          <w:p>
            <w:pPr>
              <w:pStyle w:val="Compact"/>
            </w:pPr>
            <w:r>
              <w:rPr>
                <w:sz w:val="17"/>
              </w:rPr>
              <w:t xml:space="preserve">Alias du coffre</w:t>
            </w:r>
            <w:r>
              <w:rPr>
                <w:sz w:val="17"/>
              </w:rPr>
              <w:t xml:space="preserve"> </w:t>
            </w:r>
            <w:r>
              <w:rPr>
                <w:rStyle w:val="VerbatimChar"/>
                <w:sz w:val="17"/>
              </w:rPr>
              <w:t xml:space="preserve">KIN-DGTK-RECETTES-01</w:t>
            </w:r>
          </w:p>
        </w:tc>
        <w:tc>
          <w:tcPr/>
          <w:p>
            <w:pPr>
              <w:pStyle w:val="Compact"/>
            </w:pPr>
            <w:r>
              <w:rPr>
                <w:sz w:val="17"/>
              </w:rPr>
              <w:t xml:space="preserve">Idem</w:t>
            </w:r>
          </w:p>
        </w:tc>
      </w:tr>
      <w:tr>
        <w:tc>
          <w:tcPr>
            <w:shd w:val="clear" w:color="auto" w:fill="F5F7FB"/>
          </w:tcPr>
          <w:p>
            <w:pPr>
              <w:pStyle w:val="Compact"/>
            </w:pPr>
            <w:r>
              <w:rPr>
                <w:sz w:val="17"/>
              </w:rPr>
              <w:t xml:space="preserve">Attribution (§ 20.3)</w:t>
            </w:r>
          </w:p>
        </w:tc>
        <w:tc>
          <w:tcPr>
            <w:shd w:val="clear" w:color="auto" w:fill="F5F7FB"/>
          </w:tcPr>
          <w:p>
            <w:pPr>
              <w:pStyle w:val="Compact"/>
            </w:pPr>
            <w:r>
              <w:rPr>
                <w:sz w:val="17"/>
              </w:rPr>
              <w:t xml:space="preserve">Commune de la zone (objet d’occupation de voirie)</w:t>
            </w:r>
          </w:p>
        </w:tc>
        <w:tc>
          <w:tcPr>
            <w:shd w:val="clear" w:color="auto" w:fill="F5F7FB"/>
          </w:tcPr>
          <w:p>
            <w:pPr>
              <w:pStyle w:val="Compact"/>
            </w:pPr>
            <w:r>
              <w:rPr>
                <w:sz w:val="17"/>
              </w:rPr>
              <w:t xml:space="preserve">Commune du support (objet</w:t>
            </w:r>
            <w:r>
              <w:rPr>
                <w:sz w:val="17"/>
              </w:rPr>
              <w:t xml:space="preserve"> </w:t>
            </w:r>
            <w:r>
              <w:rPr>
                <w:rStyle w:val="VerbatimChar"/>
                <w:sz w:val="17"/>
              </w:rPr>
              <w:t xml:space="preserve">PANNEAU</w:t>
            </w:r>
            <w:r>
              <w:rPr>
                <w:sz w:val="17"/>
              </w:rPr>
              <w:t xml:space="preserve">)</w:t>
            </w:r>
          </w:p>
        </w:tc>
      </w:tr>
      <w:tr>
        <w:tc>
          <w:tcPr/>
          <w:p>
            <w:pPr>
              <w:pStyle w:val="Compact"/>
            </w:pPr>
            <w:r>
              <w:rPr>
                <w:sz w:val="17"/>
              </w:rPr>
              <w:t xml:space="preserve">Circuit RW1</w:t>
            </w:r>
          </w:p>
        </w:tc>
        <w:tc>
          <w:tcPr/>
          <w:p>
            <w:pPr>
              <w:pStyle w:val="Compact"/>
            </w:pPr>
            <w:r>
              <w:rPr>
                <w:sz w:val="17"/>
              </w:rPr>
              <w:t xml:space="preserve">Agent R11 → superviseur R09 → régie R06/R07 → recours R20/R21</w:t>
            </w:r>
          </w:p>
        </w:tc>
        <w:tc>
          <w:tcPr/>
          <w:p>
            <w:pPr>
              <w:pStyle w:val="Compact"/>
            </w:pPr>
            <w:r>
              <w:rPr>
                <w:sz w:val="17"/>
              </w:rPr>
              <w:t xml:space="preserve">Inspecteur accrédité R11 → R09 → R06/R07 → recours</w:t>
            </w:r>
          </w:p>
        </w:tc>
      </w:tr>
      <w:tr>
        <w:tc>
          <w:tcPr>
            <w:shd w:val="clear" w:color="auto" w:fill="F5F7FB"/>
          </w:tcPr>
          <w:p>
            <w:pPr>
              <w:pStyle w:val="Compact"/>
            </w:pPr>
            <w:r>
              <w:rPr>
                <w:sz w:val="17"/>
              </w:rPr>
              <w:t xml:space="preserve">Garde-fous testés</w:t>
            </w:r>
          </w:p>
        </w:tc>
        <w:tc>
          <w:tcPr>
            <w:shd w:val="clear" w:color="auto" w:fill="F5F7FB"/>
          </w:tcPr>
          <w:p>
            <w:pPr>
              <w:pStyle w:val="Compact"/>
            </w:pPr>
            <w:r>
              <w:rPr>
                <w:sz w:val="17"/>
              </w:rPr>
              <w:t xml:space="preserve">Aucune obligation au contrôle, photo obligatoire, séparation des personnes, pas de fourrière ni de blocage, pas de surréservation, agents sans encaissement</w:t>
            </w:r>
          </w:p>
        </w:tc>
        <w:tc>
          <w:tcPr>
            <w:shd w:val="clear" w:color="auto" w:fill="F5F7FB"/>
          </w:tcPr>
          <w:p>
            <w:pPr>
              <w:pStyle w:val="Compact"/>
            </w:pPr>
            <w:r>
              <w:rPr>
                <w:sz w:val="17"/>
              </w:rPr>
              <w:t xml:space="preserve">Accréditation obligatoire, constat en ajout seul, instruction ≠ décision, aucun montant sans règle active, vérification publique sans nom</w:t>
            </w:r>
          </w:p>
        </w:tc>
      </w:tr>
      <w:tr>
        <w:tc>
          <w:tcPr/>
          <w:p>
            <w:pPr>
              <w:pStyle w:val="Compact"/>
            </w:pPr>
            <w:r>
              <w:rPr>
                <w:sz w:val="17"/>
              </w:rPr>
              <w:t xml:space="preserve">Données de démonstration</w:t>
            </w:r>
          </w:p>
        </w:tc>
        <w:tc>
          <w:tcPr/>
          <w:p>
            <w:pPr>
              <w:pStyle w:val="Compact"/>
            </w:pPr>
            <w:r>
              <w:rPr>
                <w:sz w:val="17"/>
              </w:rPr>
              <w:t xml:space="preserve">4 zones (2 réelles « acte requis », 2 fictives), sessions payées, contrôles, constats, réservation, partenaires</w:t>
            </w:r>
          </w:p>
        </w:tc>
        <w:tc>
          <w:tcPr/>
          <w:p>
            <w:pPr>
              <w:pStyle w:val="Compact"/>
            </w:pPr>
            <w:r>
              <w:rPr>
                <w:sz w:val="17"/>
              </w:rPr>
              <w:t xml:space="preserve">Exploitant fictif, 3 supports déclarés et 1 recensé, autorisations, inspecteur accrédité, dossiers</w:t>
            </w:r>
          </w:p>
        </w:tc>
      </w:tr>
    </w:tbl>
    <w:bookmarkEnd w:id="619"/>
    <w:bookmarkStart w:id="621" w:name="X064443d34252857be3bef46324e42e0d93ff70a"/>
    <w:p>
      <w:pPr>
        <w:pStyle w:val="Heading2"/>
      </w:pPr>
      <w:r>
        <w:t xml:space="preserve">I.8 Verticales branchées sur l’API, AVIA, NFIU, CALCU</w:t>
      </w:r>
    </w:p>
    <w:bookmarkStart w:id="620" w:name="Xb0e5328730222ea94922b64015bebfcb69f17b8"/>
    <w:p>
      <w:pPr>
        <w:pStyle w:val="Heading4"/>
      </w:pPr>
      <w:r>
        <w:t xml:space="preserve">Module « verticales » — services sectoriels branchés sur le socle</w:t>
      </w:r>
    </w:p>
    <w:p>
      <w:pPr>
        <w:pStyle w:val="FirstParagraph"/>
      </w:pPr>
      <w:r>
        <w:t xml:space="preserve">Le module « verticales » est la mise en œuvre de la règle du § 11.3 : chaque verticale (Property, Rental, Business, Mobility, RakaPay, Parking, Advertising, Telecom, Markets &amp; Public Domain, Environment, Ports, Events, Construction, Assets, Recovery, AVIA) est une vue du compte unique, sans compte contribuable propre, sans règle hors registre et sans circuit de paiement parallèle. Le catalogue est servi par le serveur : pour chaque verticale, la composition de modules retenue par l’Annexe H (§ H.5.3), le statut juridique, les prérequis (codes J, G, D), l’entité gestionnaire, la tutelle indicative [À VÉRIFIER], la release, le point de vigilance et les démarches disponibles. Aucune verticale n’est présentée comme « confirmée » : faute de règle sectorielle certifiée, le statut est « base légale existante — textes et barèmes à certifier », « base partielle », « acte requis » ou « cadrage sectoriel préalable ». Les verticales RakaPay, stationnement et publicité sont servies par leurs modules dédiés ; le portail en conserve seulement les cartes.</w:t>
      </w:r>
    </w:p>
    <w:p>
      <w:pPr>
        <w:pStyle w:val="BodyText"/>
      </w:pPr>
      <w:r>
        <w:t xml:space="preserve">L’espace de l’usager par verticale est calculé à partir des vraies données du socle : objets du contribuable rattachés par catégorie ou par type (étal, emprise, site télécom, embarcation, événement, chantier, aéronef…), obligations issues du moteur de liquidation, paiements, quittances et démarches. Chaque obligation montre sa règle, sa version et la commune du fait générateur ; en démonstration, les montants proviennent de règles fictives publiées par le circuit réel des quatre visas et portent la mention « Règle fictive de démonstration, non opposable ». Les verticales « acte requis » ou « cadrage requis » (AVIA, ports, stationnement, RakaPay, contribution plastique) n’ont aucune obligation : le serveur les filtre et refuse toute liquidation, avec trace dans l’audit. Le paiement passe toujours par l’ordre de paiement du socle et la confirmation signée du prestataire ; la quittance est provisoire jusqu’au rapprochement.</w:t>
      </w:r>
    </w:p>
    <w:p>
      <w:pPr>
        <w:pStyle w:val="BodyText"/>
      </w:pPr>
      <w:r>
        <w:t xml:space="preserve">Les démarches en ligne sont génériques : dépôt idempotent avec pièces transmises par empreinte SHA-256 (le fichier reste chez l’usager), prise en charge par un agent de l’entité gestionnaire, demande de complément, visite sur place consignée par un agent de terrain dans son territoire, proposition motivée, puis décision motivée par une personne distincte de l’instructeur et du visiteur. Le système vérifie et affiche les conditions (visite conforme, droits réglés, étal libre) mais ne décide pas. L’acceptation produit l’effet prévu : création de l’objet déclaré, certificat QR (autorisation d’événement, permis d’occuper la voie, autorisation d’occupation, quitus de chantier), cessation à une date prouvée, attribution d’étal. Les signalements de demande d’espèces sont protégés : instruits par l’anti-fraude, invisibles des agents de la régie concernée, identité du déclarant masquée.</w:t>
      </w:r>
    </w:p>
    <w:p>
      <w:pPr>
        <w:pStyle w:val="BodyText"/>
      </w:pPr>
      <w:r>
        <w:t xml:space="preserve">Les spécificités sectorielles couvrent : les marchés sans espèces (plan des marchés et étals, plaque QR d’étal, titre au jour, à la semaine ou au mois liquidé sur la règle active et payé à distance, statut vert, ambre ou rouge calculé à l’heure du serveur, contrôle par scan sans téléphone du commerçant, aucun placier n’encaisse) ; les événements (autorisation, certificat QR, déclaration de billetterie, liquidation par un agent, contrôle de jauge qui constate un écart sans sanction) ; la construction (demande, visite, permis d’occuper la voie, droits de voirie, quitus de chantier délivré seulement après visite conforme et paiement confirmé, sans conditionner d’autre service avant l’acte J6) ; le télécom (rapprochement contradictoire des sites déclarés et observés, jamais de taxation automatique). La plaque NFIU et les plaques d’objets reçoivent un code lisible à clé de contrôle et une signature ; la vérification publique n’indique que l’authenticité, la commune et le quartier (ARB-76) ; le scan d’un agent est journalisé, en lecture seule, sans montant pour l’agent de terrain ; le guichet retrouve les obligations payables par plaque ; un rapport journalier d’activité des agents est produit sans montant.</w:t>
      </w:r>
    </w:p>
    <w:p>
      <w:pPr>
        <w:pStyle w:val="BodyText"/>
      </w:pPr>
      <w:r>
        <w:t xml:space="preserve">AVIA (KIN-AVIA FISCUS) est préparée derrière « acte requis » : déclarations mensuelles des compagnies, données d’embarquement et de sortie transmises par l’exploitant (partenaire de données), rapprochement par un analyste, procédure contradictoire en cas d’écart, validation motivée par une autre personne, facturation uniquement sur demande humaine et uniquement si une règle ACTIVE existe — refusée et tracée aujourd’hui. CALCU (module 80) fonctionne en pilote de démonstration : registre des comptes publics validé conjointement par les Finances et l’organe de contrôle, justificatifs par empreinte, passerelle bancaire qui standardise sans analyser, moteur de correspondance vert / ambre / rouge (compte non enregistré, pièces manquantes, surfacturation, paiement répété, fractionnement, bénéficiaire hors objet), rapports d’anomalie numérotés ; aucune opération n’est jamais bloquée et le gel d’un dossier relève d’une décision humaine motivée de l’organe de contrôle, avec base légale citée, clôturée par une autre personne.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Élément</w:t>
            </w:r>
          </w:p>
        </w:tc>
        <w:tc>
          <w:tcPr>
            <w:shd w:val="clear" w:color="auto" w:fill="232C6B"/>
          </w:tcPr>
          <w:p>
            <w:pPr>
              <w:pStyle w:val="Compact"/>
            </w:pPr>
            <w:r>
              <w:rPr>
                <w:b/>
                <w:color w:val="FFFFFF"/>
                <w:sz w:val="17"/>
              </w:rPr>
              <w:t xml:space="preserve">Construit</w:t>
            </w:r>
          </w:p>
        </w:tc>
        <w:tc>
          <w:tcPr>
            <w:shd w:val="clear" w:color="auto" w:fill="232C6B"/>
          </w:tcPr>
          <w:p>
            <w:pPr>
              <w:pStyle w:val="Compact"/>
            </w:pPr>
            <w:r>
              <w:rPr>
                <w:b/>
                <w:color w:val="FFFFFF"/>
                <w:sz w:val="17"/>
              </w:rPr>
              <w:t xml:space="preserve">Garde-fou</w:t>
            </w:r>
          </w:p>
        </w:tc>
      </w:tr>
      <w:tr>
        <w:tc>
          <w:tcPr/>
          <w:p>
            <w:pPr>
              <w:pStyle w:val="Compact"/>
            </w:pPr>
            <w:r>
              <w:rPr>
                <w:sz w:val="17"/>
              </w:rPr>
              <w:t xml:space="preserve">Catalogue des verticales</w:t>
            </w:r>
          </w:p>
        </w:tc>
        <w:tc>
          <w:tcPr/>
          <w:p>
            <w:pPr>
              <w:pStyle w:val="Compact"/>
            </w:pPr>
            <w:r>
              <w:rPr>
                <w:sz w:val="17"/>
              </w:rPr>
              <w:t xml:space="preserve">16 verticales servies par l’API (Markets et Public Domain fusionnés, § 11.3)</w:t>
            </w:r>
          </w:p>
        </w:tc>
        <w:tc>
          <w:tcPr/>
          <w:p>
            <w:pPr>
              <w:pStyle w:val="Compact"/>
            </w:pPr>
            <w:r>
              <w:rPr>
                <w:sz w:val="17"/>
              </w:rPr>
              <w:t xml:space="preserve">Aucun statut « confirmé » ; tutelle marquée [À VÉRIFIER]</w:t>
            </w:r>
          </w:p>
        </w:tc>
      </w:tr>
      <w:tr>
        <w:tc>
          <w:tcPr>
            <w:shd w:val="clear" w:color="auto" w:fill="F5F7FB"/>
          </w:tcPr>
          <w:p>
            <w:pPr>
              <w:pStyle w:val="Compact"/>
            </w:pPr>
            <w:r>
              <w:rPr>
                <w:sz w:val="17"/>
              </w:rPr>
              <w:t xml:space="preserve">Espace de l’usager</w:t>
            </w:r>
          </w:p>
        </w:tc>
        <w:tc>
          <w:tcPr>
            <w:shd w:val="clear" w:color="auto" w:fill="F5F7FB"/>
          </w:tcPr>
          <w:p>
            <w:pPr>
              <w:pStyle w:val="Compact"/>
            </w:pPr>
            <w:r>
              <w:rPr>
                <w:sz w:val="17"/>
              </w:rPr>
              <w:t xml:space="preserve">Objets, obligations, quittances, démarches, certificats par verticale</w:t>
            </w:r>
          </w:p>
        </w:tc>
        <w:tc>
          <w:tcPr>
            <w:shd w:val="clear" w:color="auto" w:fill="F5F7FB"/>
          </w:tcPr>
          <w:p>
            <w:pPr>
              <w:pStyle w:val="Compact"/>
            </w:pPr>
            <w:r>
              <w:rPr>
                <w:sz w:val="17"/>
              </w:rPr>
              <w:t xml:space="preserve">Vraies données du socle ; aucune obligation en « acte requis »</w:t>
            </w:r>
          </w:p>
        </w:tc>
      </w:tr>
      <w:tr>
        <w:tc>
          <w:tcPr/>
          <w:p>
            <w:pPr>
              <w:pStyle w:val="Compact"/>
            </w:pPr>
            <w:r>
              <w:rPr>
                <w:sz w:val="17"/>
              </w:rPr>
              <w:t xml:space="preserve">Démarches en ligne</w:t>
            </w:r>
          </w:p>
        </w:tc>
        <w:tc>
          <w:tcPr/>
          <w:p>
            <w:pPr>
              <w:pStyle w:val="Compact"/>
            </w:pPr>
            <w:r>
              <w:rPr>
                <w:sz w:val="17"/>
              </w:rPr>
              <w:t xml:space="preserve">Dépôt, pièces par empreinte, complément, visite, proposition, décision</w:t>
            </w:r>
          </w:p>
        </w:tc>
        <w:tc>
          <w:tcPr/>
          <w:p>
            <w:pPr>
              <w:pStyle w:val="Compact"/>
            </w:pPr>
            <w:r>
              <w:rPr>
                <w:sz w:val="17"/>
              </w:rPr>
              <w:t xml:space="preserve">Décideur distinct de l’instructeur et du visiteur ; motif obligatoire</w:t>
            </w:r>
          </w:p>
        </w:tc>
      </w:tr>
      <w:tr>
        <w:tc>
          <w:tcPr>
            <w:shd w:val="clear" w:color="auto" w:fill="F5F7FB"/>
          </w:tcPr>
          <w:p>
            <w:pPr>
              <w:pStyle w:val="Compact"/>
            </w:pPr>
            <w:r>
              <w:rPr>
                <w:sz w:val="17"/>
              </w:rPr>
              <w:t xml:space="preserve">Marchés</w:t>
            </w:r>
          </w:p>
        </w:tc>
        <w:tc>
          <w:tcPr>
            <w:shd w:val="clear" w:color="auto" w:fill="F5F7FB"/>
          </w:tcPr>
          <w:p>
            <w:pPr>
              <w:pStyle w:val="Compact"/>
            </w:pPr>
            <w:r>
              <w:rPr>
                <w:sz w:val="17"/>
              </w:rPr>
              <w:t xml:space="preserve">Plan, étals, plaque QR, titres jour / semaine / mois</w:t>
            </w:r>
          </w:p>
        </w:tc>
        <w:tc>
          <w:tcPr>
            <w:shd w:val="clear" w:color="auto" w:fill="F5F7FB"/>
          </w:tcPr>
          <w:p>
            <w:pPr>
              <w:pStyle w:val="Compact"/>
            </w:pPr>
            <w:r>
              <w:rPr>
                <w:sz w:val="17"/>
              </w:rPr>
              <w:t xml:space="preserve">Paiement par le circuit commun ; aucun placier n’encaisse</w:t>
            </w:r>
          </w:p>
        </w:tc>
      </w:tr>
      <w:tr>
        <w:tc>
          <w:tcPr/>
          <w:p>
            <w:pPr>
              <w:pStyle w:val="Compact"/>
            </w:pPr>
            <w:r>
              <w:rPr>
                <w:sz w:val="17"/>
              </w:rPr>
              <w:t xml:space="preserve">Événements</w:t>
            </w:r>
          </w:p>
        </w:tc>
        <w:tc>
          <w:tcPr/>
          <w:p>
            <w:pPr>
              <w:pStyle w:val="Compact"/>
            </w:pPr>
            <w:r>
              <w:rPr>
                <w:sz w:val="17"/>
              </w:rPr>
              <w:t xml:space="preserve">Autorisation, certificat QR, billetterie, liquidation, contrôle de jauge</w:t>
            </w:r>
          </w:p>
        </w:tc>
        <w:tc>
          <w:tcPr/>
          <w:p>
            <w:pPr>
              <w:pStyle w:val="Compact"/>
            </w:pPr>
            <w:r>
              <w:rPr>
                <w:sz w:val="17"/>
              </w:rPr>
              <w:t xml:space="preserve">Double facturation refusée ; écart constaté sans sanction</w:t>
            </w:r>
          </w:p>
        </w:tc>
      </w:tr>
      <w:tr>
        <w:tc>
          <w:tcPr>
            <w:shd w:val="clear" w:color="auto" w:fill="F5F7FB"/>
          </w:tcPr>
          <w:p>
            <w:pPr>
              <w:pStyle w:val="Compact"/>
            </w:pPr>
            <w:r>
              <w:rPr>
                <w:sz w:val="17"/>
              </w:rPr>
              <w:t xml:space="preserve">Construction</w:t>
            </w:r>
          </w:p>
        </w:tc>
        <w:tc>
          <w:tcPr>
            <w:shd w:val="clear" w:color="auto" w:fill="F5F7FB"/>
          </w:tcPr>
          <w:p>
            <w:pPr>
              <w:pStyle w:val="Compact"/>
            </w:pPr>
            <w:r>
              <w:rPr>
                <w:sz w:val="17"/>
              </w:rPr>
              <w:t xml:space="preserve">Demande, visite, permis d’occuper la voie, droits, quitus</w:t>
            </w:r>
          </w:p>
        </w:tc>
        <w:tc>
          <w:tcPr>
            <w:shd w:val="clear" w:color="auto" w:fill="F5F7FB"/>
          </w:tcPr>
          <w:p>
            <w:pPr>
              <w:pStyle w:val="Compact"/>
            </w:pPr>
            <w:r>
              <w:rPr>
                <w:sz w:val="17"/>
              </w:rPr>
              <w:t xml:space="preserve">Quitus seulement après visite conforme et paiement confirmé</w:t>
            </w:r>
          </w:p>
        </w:tc>
      </w:tr>
      <w:tr>
        <w:tc>
          <w:tcPr/>
          <w:p>
            <w:pPr>
              <w:pStyle w:val="Compact"/>
            </w:pPr>
            <w:r>
              <w:rPr>
                <w:sz w:val="17"/>
              </w:rPr>
              <w:t xml:space="preserve">Plaques (NFIU et objets)</w:t>
            </w:r>
          </w:p>
        </w:tc>
        <w:tc>
          <w:tcPr/>
          <w:p>
            <w:pPr>
              <w:pStyle w:val="Compact"/>
            </w:pPr>
            <w:r>
              <w:rPr>
                <w:sz w:val="17"/>
              </w:rPr>
              <w:t xml:space="preserve">Pose, remplacement, scan agent, guichet, rapport journalier</w:t>
            </w:r>
          </w:p>
        </w:tc>
        <w:tc>
          <w:tcPr/>
          <w:p>
            <w:pPr>
              <w:pStyle w:val="Compact"/>
            </w:pPr>
            <w:r>
              <w:rPr>
                <w:sz w:val="17"/>
              </w:rPr>
              <w:t xml:space="preserve">Vérification publique minimale ; aucun montant modifiable</w:t>
            </w:r>
          </w:p>
        </w:tc>
      </w:tr>
      <w:tr>
        <w:tc>
          <w:tcPr>
            <w:shd w:val="clear" w:color="auto" w:fill="F5F7FB"/>
          </w:tcPr>
          <w:p>
            <w:pPr>
              <w:pStyle w:val="Compact"/>
            </w:pPr>
            <w:r>
              <w:rPr>
                <w:sz w:val="17"/>
              </w:rPr>
              <w:t xml:space="preserve">Télécom</w:t>
            </w:r>
          </w:p>
        </w:tc>
        <w:tc>
          <w:tcPr>
            <w:shd w:val="clear" w:color="auto" w:fill="F5F7FB"/>
          </w:tcPr>
          <w:p>
            <w:pPr>
              <w:pStyle w:val="Compact"/>
            </w:pPr>
            <w:r>
              <w:rPr>
                <w:sz w:val="17"/>
              </w:rPr>
              <w:t xml:space="preserve">Rapprochement déclaré ↔ observé</w:t>
            </w:r>
          </w:p>
        </w:tc>
        <w:tc>
          <w:tcPr>
            <w:shd w:val="clear" w:color="auto" w:fill="F5F7FB"/>
          </w:tcPr>
          <w:p>
            <w:pPr>
              <w:pStyle w:val="Compact"/>
            </w:pPr>
            <w:r>
              <w:rPr>
                <w:sz w:val="17"/>
              </w:rPr>
              <w:t xml:space="preserve">Vérification contradictoire, jamais de taxation automatique</w:t>
            </w:r>
          </w:p>
        </w:tc>
      </w:tr>
      <w:tr>
        <w:tc>
          <w:tcPr/>
          <w:p>
            <w:pPr>
              <w:pStyle w:val="Compact"/>
            </w:pPr>
            <w:r>
              <w:rPr>
                <w:sz w:val="17"/>
              </w:rPr>
              <w:t xml:space="preserve">AVIA</w:t>
            </w:r>
          </w:p>
        </w:tc>
        <w:tc>
          <w:tcPr/>
          <w:p>
            <w:pPr>
              <w:pStyle w:val="Compact"/>
            </w:pPr>
            <w:r>
              <w:rPr>
                <w:sz w:val="17"/>
              </w:rPr>
              <w:t xml:space="preserve">Déclarations, données exploitant, rapprochement, contradictoire, validation</w:t>
            </w:r>
          </w:p>
        </w:tc>
        <w:tc>
          <w:tcPr/>
          <w:p>
            <w:pPr>
              <w:pStyle w:val="Compact"/>
            </w:pPr>
            <w:r>
              <w:rPr>
                <w:sz w:val="17"/>
              </w:rPr>
              <w:t xml:space="preserve">Aucune facturation automatique ; refus « acte requis » tracé</w:t>
            </w:r>
          </w:p>
        </w:tc>
      </w:tr>
      <w:tr>
        <w:tc>
          <w:tcPr>
            <w:shd w:val="clear" w:color="auto" w:fill="F5F7FB"/>
          </w:tcPr>
          <w:p>
            <w:pPr>
              <w:pStyle w:val="Compact"/>
            </w:pPr>
            <w:r>
              <w:rPr>
                <w:sz w:val="17"/>
              </w:rPr>
              <w:t xml:space="preserve">CALCU</w:t>
            </w:r>
          </w:p>
        </w:tc>
        <w:tc>
          <w:tcPr>
            <w:shd w:val="clear" w:color="auto" w:fill="F5F7FB"/>
          </w:tcPr>
          <w:p>
            <w:pPr>
              <w:pStyle w:val="Compact"/>
            </w:pPr>
            <w:r>
              <w:rPr>
                <w:sz w:val="17"/>
              </w:rPr>
              <w:t xml:space="preserve">Registre des comptes, justificatifs, correspondance, rapports</w:t>
            </w:r>
          </w:p>
        </w:tc>
        <w:tc>
          <w:tcPr>
            <w:shd w:val="clear" w:color="auto" w:fill="F5F7FB"/>
          </w:tcPr>
          <w:p>
            <w:pPr>
              <w:pStyle w:val="Compact"/>
            </w:pPr>
            <w:r>
              <w:rPr>
                <w:sz w:val="17"/>
              </w:rPr>
              <w:t xml:space="preserve">Aucun paiement bloqué ; gel humain motivé du seul dossier</w:t>
            </w:r>
          </w:p>
        </w:tc>
      </w:tr>
    </w:tbl>
    <w:bookmarkEnd w:id="620"/>
    <w:bookmarkEnd w:id="621"/>
    <w:bookmarkStart w:id="622" w:name="Xe26e0ceffcf041d2e6e520be8304229a18368de"/>
    <w:p>
      <w:pPr>
        <w:pStyle w:val="Heading2"/>
      </w:pPr>
      <w:r>
        <w:t xml:space="preserve">I.9 Canaux : USSD, SVI, enrôlement assisté, points de paiement agréés</w:t>
      </w:r>
    </w:p>
    <w:p>
      <w:pPr>
        <w:pStyle w:val="FirstParagraph"/>
      </w:pPr>
      <w:r>
        <w:t xml:space="preserve">Le module « canaux » met en œuvre la promesse du § 13A et du § H.7 : personne n’est exclu de l’enrôlement, du paiement ou de la preuve de paiement faute de téléphone, de connexion ou d’alphabétisation. Il ne crée aucun circuit parallèle. Les comptes sont ceux du compte unique, les montants viennent d’obligations liquidées sur une règle ACTIVE. Les paiements passent par la référence du circuit commun et par une confirmation signée, et les fonds vont uniquement vers les comptes publics du coffre. Dans la démonstration, les montants proviennent de la règle fictive DEMO-IF-BATI. Le code USSD et le numéro vert du SVI restent « À CONFIGURER » jusqu’aux conventions avec les opérateurs (J29, décision 10, D15).</w:t>
      </w:r>
    </w:p>
    <w:p>
      <w:pPr>
        <w:pStyle w:val="BodyText"/>
      </w:pPr>
      <w:r>
        <w:t xml:space="preserve">L’enrôlement assisté (module 63) fonctionne à domicile, sur site ou au guichet MOSOLO, même sans réseau. L’agent enregistre les dossiers sur son terminal enrôlé. Il les transmet ensuite en lot signé par la clé HMAC de ce terminal, qui doit être affecté à l’agent ; un terminal révoqué est refusé. Chaque dossier est contrôlé séparément : zone et plage horaire de l’agent, lecture du résumé (version audio identifiée) avant le consentement, et consentement par voix enregistrée ou devant un témoin identifié. L’empreinte digitale reste fermée tant que J18 n’est pas certifié (ARB-24). L’agent doit aussi attester qu’aucun paiement n’a été demandé ni reçu. Tout refus est journalisé. Le dossier accepté crée un compte N0-A et une carte MOSOLO. Un doublon possible, même nom ou même téléphone, donne un dossier « à revoir ». C’est un superviseur distinct de l’agent qui tranche : jamais de fusion automatique. L’avis à pictogrammes est produit en données structurées : ce qui est dû, l’échéance, les lieux de paiement et les actions payer, contester et vérifier. Chaque couleur y est doublée d’une forme.</w:t>
      </w:r>
    </w:p>
    <w:p>
      <w:pPr>
        <w:pStyle w:val="BodyText"/>
      </w:pPr>
      <w:r>
        <w:t xml:space="preserve">La carte MOSOLO (module 65) porte un numéro de 12 chiffres avec clé de Luhn, qu’on peut saisir sur un clavier basique, et un QR signé Ed25519 qui ne contient aucune donnée personnelle. La vérification publique ne renvoie que « authentique et active », « bloquée », « révoquée » ou « non authentique ». Le guichet, l’agent, le titulaire ou son mandataire peuvent bloquer la carte immédiatement, y compris par l’USSD ou le SVI. La réémission exige une seconde personne ; l’ancien QR renvoie alors « carte révoquée ». Le code secret des canaux USSD et SVI n’est conservé que sous forme d’empreinte scrypt salée. Trois erreurs verrouillent le canal pour ce compte pendant 15 minutes : c’est une mesure de protection, avec alerte, et non une sanction.</w:t>
      </w:r>
    </w:p>
    <w:p>
      <w:pPr>
        <w:pStyle w:val="BodyText"/>
      </w:pPr>
      <w:r>
        <w:t xml:space="preserve">L’USSD (module 6) et le SVI (module 64) partagent un même moteur de session et les mêmes parcours : solde et obligations, payer, vérifier une quittance, mes quittances, points de paiement, langue, carte perdue. Un écran USSD fait au plus 182 caractères. Aucune donnée sensible complète n’est affichée (AC-INC-03) : ni nom, ni adresse, ni historique détaillé, et les montants n’apparaissent qu’après le code secret. Le SVI énonce les montants en toutes lettres, par exemple « cent cinquante dollars américains », et épelle la référence. « Payer » émet ou réaffiche la référence du circuit commun au nom du seul titulaire. Chaque session est journalisée avec le numéro appelant sous forme d’empreinte, et la saisie du code secret est toujours masquée. Une session expire après 3 minutes d’inactivité. Les langues nationales sont sélectionnables, mais leurs messages vocaux restent signalés « à valider par des relecteurs natifs ».</w:t>
      </w:r>
    </w:p>
    <w:p>
      <w:pPr>
        <w:pStyle w:val="BodyText"/>
      </w:pPr>
      <w:r>
        <w:t xml:space="preserve">Les points de paiement agréés (module 66, R32) sont référencés par le Trésor à partir d’un agrément. Une seconde personne du Trésor les active, et ils deviennent alors des prestataires habilités dotés d’un secret de signature. L’opérateur saisit la seule référence, ou présente la carte pour faire émettre une référence : le montant est lu dans l’ordre et ne peut pas être transmis. L’encaissement est confirmé par le rappel signé commun (HMAC, nonce, horodatage) : seule cette confirmation produit la quittance provisoire, puis la quittance devient définitive après le relevé du compte public. Le reçu imprimable porte le QR signé et un code court de 6 caractères avec contrôle ; une réimpression porte la mention DUPLICATA. La caisse est clôturée chaque jour puis rapprochée du versement bancaire, par compte public du coffre. Un compte hors coffre est refusé. Un écart ou un retard ouvre une exception et une proposition de suspension ; le Trésor décide avec motif (ARB-12), et le point suspendu perd immédiatement son habilitation. La vérification par code court limite la fréquence et alerte en cas d’énumération.</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Fonction</w:t>
            </w:r>
          </w:p>
        </w:tc>
        <w:tc>
          <w:tcPr>
            <w:shd w:val="clear" w:color="auto" w:fill="232C6B"/>
          </w:tcPr>
          <w:p>
            <w:pPr>
              <w:pStyle w:val="Compact"/>
            </w:pPr>
            <w:r>
              <w:rPr>
                <w:b/>
                <w:color w:val="FFFFFF"/>
                <w:sz w:val="17"/>
              </w:rPr>
              <w:t xml:space="preserve">Route principale</w:t>
            </w:r>
          </w:p>
        </w:tc>
        <w:tc>
          <w:tcPr>
            <w:shd w:val="clear" w:color="auto" w:fill="232C6B"/>
          </w:tcPr>
          <w:p>
            <w:pPr>
              <w:pStyle w:val="Compact"/>
            </w:pPr>
            <w:r>
              <w:rPr>
                <w:b/>
                <w:color w:val="FFFFFF"/>
                <w:sz w:val="17"/>
              </w:rPr>
              <w:t xml:space="preserve">Rôles</w:t>
            </w:r>
          </w:p>
        </w:tc>
        <w:tc>
          <w:tcPr>
            <w:shd w:val="clear" w:color="auto" w:fill="232C6B"/>
          </w:tcPr>
          <w:p>
            <w:pPr>
              <w:pStyle w:val="Compact"/>
            </w:pPr>
            <w:r>
              <w:rPr>
                <w:b/>
                <w:color w:val="FFFFFF"/>
                <w:sz w:val="17"/>
              </w:rPr>
              <w:t xml:space="preserve">Garde-fou</w:t>
            </w:r>
          </w:p>
        </w:tc>
      </w:tr>
      <w:tr>
        <w:tc>
          <w:tcPr/>
          <w:p>
            <w:pPr>
              <w:pStyle w:val="Compact"/>
            </w:pPr>
            <w:r>
              <w:rPr>
                <w:sz w:val="17"/>
              </w:rPr>
              <w:t xml:space="preserve">Session USSD / SVI</w:t>
            </w:r>
          </w:p>
        </w:tc>
        <w:tc>
          <w:tcPr/>
          <w:p>
            <w:pPr>
              <w:pStyle w:val="Compact"/>
            </w:pPr>
            <w:r>
              <w:rPr>
                <w:rStyle w:val="VerbatimChar"/>
                <w:sz w:val="17"/>
              </w:rPr>
              <w:t xml:space="preserve">POST /v1/ussd/sessions</w:t>
            </w:r>
            <w:r>
              <w:rPr>
                <w:sz w:val="17"/>
              </w:rPr>
              <w:t xml:space="preserve">,</w:t>
            </w:r>
            <w:r>
              <w:rPr>
                <w:sz w:val="17"/>
              </w:rPr>
              <w:t xml:space="preserve"> </w:t>
            </w:r>
            <w:r>
              <w:rPr>
                <w:rStyle w:val="VerbatimChar"/>
                <w:sz w:val="17"/>
              </w:rPr>
              <w:t xml:space="preserve">/v1/ivr/sessions</w:t>
            </w:r>
            <w:r>
              <w:rPr>
                <w:sz w:val="17"/>
              </w:rPr>
              <w:t xml:space="preserve"> </w:t>
            </w:r>
            <w:r>
              <w:rPr>
                <w:sz w:val="17"/>
              </w:rPr>
              <w:t xml:space="preserve">(+</w:t>
            </w:r>
            <w:r>
              <w:rPr>
                <w:sz w:val="17"/>
              </w:rPr>
              <w:t xml:space="preserve"> </w:t>
            </w:r>
            <w:r>
              <w:rPr>
                <w:rStyle w:val="VerbatimChar"/>
                <w:sz w:val="17"/>
              </w:rPr>
              <w:t xml:space="preserve">/:id/input</w:t>
            </w:r>
            <w:r>
              <w:rPr>
                <w:sz w:val="17"/>
              </w:rPr>
              <w:t xml:space="preserve">)</w:t>
            </w:r>
          </w:p>
        </w:tc>
        <w:tc>
          <w:tcPr/>
          <w:p>
            <w:pPr>
              <w:pStyle w:val="Compact"/>
            </w:pPr>
            <w:r>
              <w:rPr>
                <w:sz w:val="17"/>
              </w:rPr>
              <w:t xml:space="preserve">Passerelle opérateur (simulateur)</w:t>
            </w:r>
          </w:p>
        </w:tc>
        <w:tc>
          <w:tcPr/>
          <w:p>
            <w:pPr>
              <w:pStyle w:val="Compact"/>
            </w:pPr>
            <w:r>
              <w:rPr>
                <w:sz w:val="17"/>
              </w:rPr>
              <w:t xml:space="preserve">Code secret haché, 182 caractères, rien de sensible, expiration 3 min</w:t>
            </w:r>
          </w:p>
        </w:tc>
      </w:tr>
      <w:tr>
        <w:tc>
          <w:tcPr>
            <w:shd w:val="clear" w:color="auto" w:fill="F5F7FB"/>
          </w:tcPr>
          <w:p>
            <w:pPr>
              <w:pStyle w:val="Compact"/>
            </w:pPr>
            <w:r>
              <w:rPr>
                <w:sz w:val="17"/>
              </w:rPr>
              <w:t xml:space="preserve">Enrôlement assisté</w:t>
            </w:r>
          </w:p>
        </w:tc>
        <w:tc>
          <w:tcPr>
            <w:shd w:val="clear" w:color="auto" w:fill="F5F7FB"/>
          </w:tcPr>
          <w:p>
            <w:pPr>
              <w:pStyle w:val="Compact"/>
            </w:pPr>
            <w:r>
              <w:rPr>
                <w:rStyle w:val="VerbatimChar"/>
                <w:sz w:val="17"/>
              </w:rPr>
              <w:t xml:space="preserve">POST /v1/assisted-enrolments/batches</w:t>
            </w:r>
          </w:p>
        </w:tc>
        <w:tc>
          <w:tcPr>
            <w:shd w:val="clear" w:color="auto" w:fill="F5F7FB"/>
          </w:tcPr>
          <w:p>
            <w:pPr>
              <w:pStyle w:val="Compact"/>
            </w:pPr>
            <w:r>
              <w:rPr>
                <w:sz w:val="17"/>
              </w:rPr>
              <w:t xml:space="preserve">R10 (dans sa zone), R12</w:t>
            </w:r>
          </w:p>
        </w:tc>
        <w:tc>
          <w:tcPr>
            <w:shd w:val="clear" w:color="auto" w:fill="F5F7FB"/>
          </w:tcPr>
          <w:p>
            <w:pPr>
              <w:pStyle w:val="Compact"/>
            </w:pPr>
            <w:r>
              <w:rPr>
                <w:sz w:val="17"/>
              </w:rPr>
              <w:t xml:space="preserve">Lot signé, résumé lu + consentement, horaire, aucun paiement</w:t>
            </w:r>
          </w:p>
        </w:tc>
      </w:tr>
      <w:tr>
        <w:tc>
          <w:tcPr/>
          <w:p>
            <w:pPr>
              <w:pStyle w:val="Compact"/>
            </w:pPr>
            <w:r>
              <w:rPr>
                <w:sz w:val="17"/>
              </w:rPr>
              <w:t xml:space="preserve">Revue des doublons</w:t>
            </w:r>
          </w:p>
        </w:tc>
        <w:tc>
          <w:tcPr/>
          <w:p>
            <w:pPr>
              <w:pStyle w:val="Compact"/>
            </w:pPr>
            <w:r>
              <w:rPr>
                <w:rStyle w:val="VerbatimChar"/>
                <w:sz w:val="17"/>
              </w:rPr>
              <w:t xml:space="preserve">POST /v1/assisted-enrolments/:id/review</w:t>
            </w:r>
          </w:p>
        </w:tc>
        <w:tc>
          <w:tcPr/>
          <w:p>
            <w:pPr>
              <w:pStyle w:val="Compact"/>
            </w:pPr>
            <w:r>
              <w:rPr>
                <w:sz w:val="17"/>
              </w:rPr>
              <w:t xml:space="preserve">R09</w:t>
            </w:r>
          </w:p>
        </w:tc>
        <w:tc>
          <w:tcPr/>
          <w:p>
            <w:pPr>
              <w:pStyle w:val="Compact"/>
            </w:pPr>
            <w:r>
              <w:rPr>
                <w:sz w:val="17"/>
              </w:rPr>
              <w:t xml:space="preserve">Personne distincte de l’agent, motif</w:t>
            </w:r>
          </w:p>
        </w:tc>
      </w:tr>
      <w:tr>
        <w:tc>
          <w:tcPr>
            <w:shd w:val="clear" w:color="auto" w:fill="F5F7FB"/>
          </w:tcPr>
          <w:p>
            <w:pPr>
              <w:pStyle w:val="Compact"/>
            </w:pPr>
            <w:r>
              <w:rPr>
                <w:sz w:val="17"/>
              </w:rPr>
              <w:t xml:space="preserve">Avis à pictogrammes</w:t>
            </w:r>
          </w:p>
        </w:tc>
        <w:tc>
          <w:tcPr>
            <w:shd w:val="clear" w:color="auto" w:fill="F5F7FB"/>
          </w:tcPr>
          <w:p>
            <w:pPr>
              <w:pStyle w:val="Compact"/>
            </w:pPr>
            <w:r>
              <w:rPr>
                <w:rStyle w:val="VerbatimChar"/>
                <w:sz w:val="17"/>
              </w:rPr>
              <w:t xml:space="preserve">GET /v1/pictogram-notices/:taxpayerId</w:t>
            </w:r>
          </w:p>
        </w:tc>
        <w:tc>
          <w:tcPr>
            <w:shd w:val="clear" w:color="auto" w:fill="F5F7FB"/>
          </w:tcPr>
          <w:p>
            <w:pPr>
              <w:pStyle w:val="Compact"/>
            </w:pPr>
            <w:r>
              <w:rPr>
                <w:sz w:val="17"/>
              </w:rPr>
              <w:t xml:space="preserve">R09, R10, R12, R30 (lui-même), R31</w:t>
            </w:r>
          </w:p>
        </w:tc>
        <w:tc>
          <w:tcPr>
            <w:shd w:val="clear" w:color="auto" w:fill="F5F7FB"/>
          </w:tcPr>
          <w:p>
            <w:pPr>
              <w:pStyle w:val="Compact"/>
            </w:pPr>
            <w:r>
              <w:rPr>
                <w:sz w:val="17"/>
              </w:rPr>
              <w:t xml:space="preserve">Initiales seulement</w:t>
            </w:r>
          </w:p>
        </w:tc>
      </w:tr>
      <w:tr>
        <w:tc>
          <w:tcPr/>
          <w:p>
            <w:pPr>
              <w:pStyle w:val="Compact"/>
            </w:pPr>
            <w:r>
              <w:rPr>
                <w:sz w:val="17"/>
              </w:rPr>
              <w:t xml:space="preserve">Carte MOSOLO</w:t>
            </w:r>
          </w:p>
        </w:tc>
        <w:tc>
          <w:tcPr/>
          <w:p>
            <w:pPr>
              <w:pStyle w:val="Compact"/>
            </w:pPr>
            <w:r>
              <w:rPr>
                <w:rStyle w:val="VerbatimChar"/>
                <w:sz w:val="17"/>
              </w:rPr>
              <w:t xml:space="preserve">GET/POST /v1/mosolo-cards/:n</w:t>
            </w:r>
            <w:r>
              <w:rPr>
                <w:sz w:val="17"/>
              </w:rPr>
              <w:t xml:space="preserve"> </w:t>
            </w:r>
            <w:r>
              <w:rPr>
                <w:sz w:val="17"/>
              </w:rPr>
              <w:t xml:space="preserve">(block, pin, reissue-requests)</w:t>
            </w:r>
          </w:p>
        </w:tc>
        <w:tc>
          <w:tcPr/>
          <w:p>
            <w:pPr>
              <w:pStyle w:val="Compact"/>
            </w:pPr>
            <w:r>
              <w:rPr>
                <w:sz w:val="17"/>
              </w:rPr>
              <w:t xml:space="preserve">R10, R12, R09, R30, R31</w:t>
            </w:r>
          </w:p>
        </w:tc>
        <w:tc>
          <w:tcPr/>
          <w:p>
            <w:pPr>
              <w:pStyle w:val="Compact"/>
            </w:pPr>
            <w:r>
              <w:rPr>
                <w:sz w:val="17"/>
              </w:rPr>
              <w:t xml:space="preserve">Réémission sous double validation</w:t>
            </w:r>
          </w:p>
        </w:tc>
      </w:tr>
      <w:tr>
        <w:tc>
          <w:tcPr>
            <w:shd w:val="clear" w:color="auto" w:fill="F5F7FB"/>
          </w:tcPr>
          <w:p>
            <w:pPr>
              <w:pStyle w:val="Compact"/>
            </w:pPr>
            <w:r>
              <w:rPr>
                <w:sz w:val="17"/>
              </w:rPr>
              <w:t xml:space="preserve">Vérification publique</w:t>
            </w:r>
          </w:p>
        </w:tc>
        <w:tc>
          <w:tcPr>
            <w:shd w:val="clear" w:color="auto" w:fill="F5F7FB"/>
          </w:tcPr>
          <w:p>
            <w:pPr>
              <w:pStyle w:val="Compact"/>
            </w:pPr>
            <w:r>
              <w:rPr>
                <w:rStyle w:val="VerbatimChar"/>
                <w:sz w:val="17"/>
              </w:rPr>
              <w:t xml:space="preserve">GET /v1/public/short-codes/:code</w:t>
            </w:r>
            <w:r>
              <w:rPr>
                <w:sz w:val="17"/>
              </w:rPr>
              <w:t xml:space="preserve">,</w:t>
            </w:r>
            <w:r>
              <w:rPr>
                <w:sz w:val="17"/>
              </w:rPr>
              <w:t xml:space="preserve"> </w:t>
            </w:r>
            <w:r>
              <w:rPr>
                <w:rStyle w:val="VerbatimChar"/>
                <w:sz w:val="17"/>
              </w:rPr>
              <w:t xml:space="preserve">/v1/public/mosolo-cards/verify</w:t>
            </w:r>
          </w:p>
        </w:tc>
        <w:tc>
          <w:tcPr>
            <w:shd w:val="clear" w:color="auto" w:fill="F5F7FB"/>
          </w:tcPr>
          <w:p>
            <w:pPr>
              <w:pStyle w:val="Compact"/>
            </w:pPr>
            <w:r>
              <w:rPr>
                <w:sz w:val="17"/>
              </w:rPr>
              <w:t xml:space="preserve">Public</w:t>
            </w:r>
          </w:p>
        </w:tc>
        <w:tc>
          <w:tcPr>
            <w:shd w:val="clear" w:color="auto" w:fill="F5F7FB"/>
          </w:tcPr>
          <w:p>
            <w:pPr>
              <w:pStyle w:val="Compact"/>
            </w:pPr>
            <w:r>
              <w:rPr>
                <w:sz w:val="17"/>
              </w:rPr>
              <w:t xml:space="preserve">Réponse minimale, limitation 10 par 10 min et 5 échecs</w:t>
            </w:r>
          </w:p>
        </w:tc>
      </w:tr>
      <w:tr>
        <w:tc>
          <w:tcPr/>
          <w:p>
            <w:pPr>
              <w:pStyle w:val="Compact"/>
            </w:pPr>
            <w:r>
              <w:rPr>
                <w:sz w:val="17"/>
              </w:rPr>
              <w:t xml:space="preserve">Registre des points</w:t>
            </w:r>
          </w:p>
        </w:tc>
        <w:tc>
          <w:tcPr/>
          <w:p>
            <w:pPr>
              <w:pStyle w:val="Compact"/>
            </w:pPr>
            <w:r>
              <w:rPr>
                <w:rStyle w:val="VerbatimChar"/>
                <w:sz w:val="17"/>
              </w:rPr>
              <w:t xml:space="preserve">GET/POST /v1/payment-points</w:t>
            </w:r>
            <w:r>
              <w:rPr>
                <w:sz w:val="17"/>
              </w:rPr>
              <w:t xml:space="preserve"> </w:t>
            </w:r>
            <w:r>
              <w:rPr>
                <w:sz w:val="17"/>
              </w:rPr>
              <w:t xml:space="preserve">(+ activate, suspend, reinstate)</w:t>
            </w:r>
          </w:p>
        </w:tc>
        <w:tc>
          <w:tcPr/>
          <w:p>
            <w:pPr>
              <w:pStyle w:val="Compact"/>
            </w:pPr>
            <w:r>
              <w:rPr>
                <w:sz w:val="17"/>
              </w:rPr>
              <w:t xml:space="preserve">R17 (R18, R22, R24 en lecture)</w:t>
            </w:r>
          </w:p>
        </w:tc>
        <w:tc>
          <w:tcPr/>
          <w:p>
            <w:pPr>
              <w:pStyle w:val="Compact"/>
            </w:pPr>
            <w:r>
              <w:rPr>
                <w:sz w:val="17"/>
              </w:rPr>
              <w:t xml:space="preserve">Quatre yeux, suspension humaine motivée</w:t>
            </w:r>
          </w:p>
        </w:tc>
      </w:tr>
      <w:tr>
        <w:tc>
          <w:tcPr>
            <w:shd w:val="clear" w:color="auto" w:fill="F5F7FB"/>
          </w:tcPr>
          <w:p>
            <w:pPr>
              <w:pStyle w:val="Compact"/>
            </w:pPr>
            <w:r>
              <w:rPr>
                <w:sz w:val="17"/>
              </w:rPr>
              <w:t xml:space="preserve">Encaissement</w:t>
            </w:r>
          </w:p>
        </w:tc>
        <w:tc>
          <w:tcPr>
            <w:shd w:val="clear" w:color="auto" w:fill="F5F7FB"/>
          </w:tcPr>
          <w:p>
            <w:pPr>
              <w:pStyle w:val="Compact"/>
            </w:pPr>
            <w:r>
              <w:rPr>
                <w:rStyle w:val="VerbatimChar"/>
                <w:sz w:val="17"/>
              </w:rPr>
              <w:t xml:space="preserve">POST /v1/payment-points/:id/collections</w:t>
            </w:r>
          </w:p>
        </w:tc>
        <w:tc>
          <w:tcPr>
            <w:shd w:val="clear" w:color="auto" w:fill="F5F7FB"/>
          </w:tcPr>
          <w:p>
            <w:pPr>
              <w:pStyle w:val="Compact"/>
            </w:pPr>
            <w:r>
              <w:rPr>
                <w:sz w:val="17"/>
              </w:rPr>
              <w:t xml:space="preserve">R32 opérateur du point</w:t>
            </w:r>
          </w:p>
        </w:tc>
        <w:tc>
          <w:tcPr>
            <w:shd w:val="clear" w:color="auto" w:fill="F5F7FB"/>
          </w:tcPr>
          <w:p>
            <w:pPr>
              <w:pStyle w:val="Compact"/>
            </w:pPr>
            <w:r>
              <w:rPr>
                <w:sz w:val="17"/>
              </w:rPr>
              <w:t xml:space="preserve">Référence seule, plafonds, confirmation signée, idempotence</w:t>
            </w:r>
          </w:p>
        </w:tc>
      </w:tr>
      <w:tr>
        <w:tc>
          <w:tcPr/>
          <w:p>
            <w:pPr>
              <w:pStyle w:val="Compact"/>
            </w:pPr>
            <w:r>
              <w:rPr>
                <w:sz w:val="17"/>
              </w:rPr>
              <w:t xml:space="preserve">Caisse et versement</w:t>
            </w:r>
          </w:p>
        </w:tc>
        <w:tc>
          <w:tcPr/>
          <w:p>
            <w:pPr>
              <w:pStyle w:val="Compact"/>
            </w:pPr>
            <w:r>
              <w:rPr>
                <w:rStyle w:val="VerbatimChar"/>
                <w:sz w:val="17"/>
              </w:rPr>
              <w:t xml:space="preserve">POST /v1/payment-points/:id/cash-days/:day/close</w:t>
            </w:r>
            <w:r>
              <w:rPr>
                <w:sz w:val="17"/>
              </w:rPr>
              <w:t xml:space="preserve"> </w:t>
            </w:r>
            <w:r>
              <w:rPr>
                <w:sz w:val="17"/>
              </w:rPr>
              <w:t xml:space="preserve">et</w:t>
            </w:r>
            <w:r>
              <w:rPr>
                <w:sz w:val="17"/>
              </w:rPr>
              <w:t xml:space="preserve"> </w:t>
            </w:r>
            <w:r>
              <w:rPr>
                <w:rStyle w:val="VerbatimChar"/>
                <w:sz w:val="17"/>
              </w:rPr>
              <w:t xml:space="preserve">/deposit</w:t>
            </w:r>
          </w:p>
        </w:tc>
        <w:tc>
          <w:tcPr/>
          <w:p>
            <w:pPr>
              <w:pStyle w:val="Compact"/>
            </w:pPr>
            <w:r>
              <w:rPr>
                <w:sz w:val="17"/>
              </w:rPr>
              <w:t xml:space="preserve">R32</w:t>
            </w:r>
          </w:p>
        </w:tc>
        <w:tc>
          <w:tcPr/>
          <w:p>
            <w:pPr>
              <w:pStyle w:val="Compact"/>
            </w:pPr>
            <w:r>
              <w:rPr>
                <w:sz w:val="17"/>
              </w:rPr>
              <w:t xml:space="preserve">Comptes du coffre, exception si écart ou retard</w:t>
            </w:r>
          </w:p>
        </w:tc>
      </w:tr>
      <w:tr>
        <w:tc>
          <w:tcPr>
            <w:shd w:val="clear" w:color="auto" w:fill="F5F7FB"/>
          </w:tcPr>
          <w:p>
            <w:pPr>
              <w:pStyle w:val="Compact"/>
            </w:pPr>
            <w:r>
              <w:rPr>
                <w:sz w:val="17"/>
              </w:rPr>
              <w:t xml:space="preserve">Indicateurs</w:t>
            </w:r>
          </w:p>
        </w:tc>
        <w:tc>
          <w:tcPr>
            <w:shd w:val="clear" w:color="auto" w:fill="F5F7FB"/>
          </w:tcPr>
          <w:p>
            <w:pPr>
              <w:pStyle w:val="Compact"/>
            </w:pPr>
            <w:r>
              <w:rPr>
                <w:rStyle w:val="VerbatimChar"/>
                <w:sz w:val="17"/>
              </w:rPr>
              <w:t xml:space="preserve">GET /v1/channels/indicators</w:t>
            </w:r>
          </w:p>
        </w:tc>
        <w:tc>
          <w:tcPr>
            <w:shd w:val="clear" w:color="auto" w:fill="F5F7FB"/>
          </w:tcPr>
          <w:p>
            <w:pPr>
              <w:pStyle w:val="Compact"/>
            </w:pPr>
            <w:r>
              <w:rPr>
                <w:sz w:val="17"/>
              </w:rPr>
              <w:t xml:space="preserve">R01–R29, R36</w:t>
            </w:r>
          </w:p>
        </w:tc>
        <w:tc>
          <w:tcPr>
            <w:shd w:val="clear" w:color="auto" w:fill="F5F7FB"/>
          </w:tcPr>
          <w:p>
            <w:pPr>
              <w:pStyle w:val="Compact"/>
            </w:pPr>
            <w:r>
              <w:rPr>
                <w:sz w:val="17"/>
              </w:rPr>
              <w:t xml:space="preserve">Agrégats seulement</w:t>
            </w:r>
          </w:p>
        </w:tc>
      </w:tr>
    </w:tbl>
    <w:bookmarkEnd w:id="622"/>
    <w:bookmarkStart w:id="624" w:name="Xac110094a0c8890c33862138a455ffe5a261fba"/>
    <w:p>
      <w:pPr>
        <w:pStyle w:val="Heading2"/>
      </w:pPr>
      <w:r>
        <w:t xml:space="preserve">I.10 Opérations de terrain, sous-traitance et badges</w:t>
      </w:r>
    </w:p>
    <w:bookmarkStart w:id="623" w:name="X7ce017d39cee0766d9817b069ae73e7dbd26697"/>
    <w:p>
      <w:pPr>
        <w:pStyle w:val="Heading4"/>
      </w:pPr>
      <w:r>
        <w:t xml:space="preserve">Opérations de terrain, sous-traitance et badges vérifiables (module « terrain »)</w:t>
      </w:r>
    </w:p>
    <w:p>
      <w:pPr>
        <w:pStyle w:val="FirstParagraph"/>
      </w:pPr>
      <w:r>
        <w:t xml:space="preserve">Le module « terrain » met en œuvre les chapitres 15 et 15A du Cahier tels qu’arbitrés au § H.8 : il organise le travail des équipes internes de la régie et des sous-traitants accrédités, depuis l’invitation d’une structure jusqu’au contrôle de la qualité de ses constats. Son principe cardinal est inscrit dans le code : ni agent, ni sous-traitant, ni responsable de module ne touche l’argent public, ne crée une dette ou ne valide seul ses propres résultats. Le module ne contient aucune fonction d’encaissement, n’appelle jamais le circuit de paiement et n’accepte aucun champ de montant dans ses formulaires ; un constat terrain garde le statut probant « observé » et ne produit jamais d’obligation.</w:t>
      </w:r>
    </w:p>
    <w:p>
      <w:pPr>
        <w:pStyle w:val="BodyText"/>
      </w:pPr>
      <w:r>
        <w:t xml:space="preserve">Un sous-traitant n’entre dans la plateforme que sur invitation de la régie, après une sélection conduite hors plateforme. Il complète son dossier (RCCM, NIF, références, capacité), la régie enregistre sa diligence (existence légale, quitus fiscal, absence de conflit d’intérêts, liens déclarés avec des agents publics), puis l’accréditation suit un circuit maker-checker : une personne propose, une autre approuve. L’accréditation est donnée par module et par commune, pour une durée limitée, et commence par une période probatoire sur un lot réduit (cinq agents au plus), conformément au § H.24.4. La confirmation, la suspension, la levée et le retrait sont des décisions humaines motivées ; la suspension d’un sous-traitant révoque d’un coup ses agents, leurs badges et leurs terminaux. Les agents invités par un gestionnaire restent inactifs tant que la régie ne les a pas habilités (identité vérifiée, certificat de formation valide, engagement déontologique, terminal enrôlé) ; chaque habilitation délivre un badge numérique à code court et QR signé.</w:t>
      </w:r>
    </w:p>
    <w:p>
      <w:pPr>
        <w:pStyle w:val="BodyText"/>
      </w:pPr>
      <w:r>
        <w:t xml:space="preserve">Les missions sont bornées dans le temps et dans l’espace : commune, quartier, point central et rayon, objets assignés, objectif chiffré, consignes et échéance. Un sous-traitant ne peut créer ni affecter de mission hors du lot qui lui est attribué (commune, quartiers, période) ; l’affectation refuse un agent non habilité, hors zone, d’une autre structure, ou déclaré lié au quartier ou aux objets visés. L’agent capture hors ligne sa position, la précision du GPS, l’empreinte SHA-256 de sa photo (jamais le fichier) et ses observations ; à la synchronisation, chaque constat est scellé par l’empreinte de son contenu et rejouable sans doublon. Toute opération éloignée du point enregistré au-delà de la tolérance de la commune est signalée — « Opération effectuée à 430 m du point enregistré — vérification requise » — puis revue par un superviseur, jamais rejetée automatiquement.</w:t>
      </w:r>
    </w:p>
    <w:p>
      <w:pPr>
        <w:pStyle w:val="BodyText"/>
      </w:pPr>
      <w:r>
        <w:t xml:space="preserve">Le contrôle qualité est indépendant du producteur des constats. Un superviseur ou un contrôleur de la régie tire un échantillon aléatoire d’au moins 5 % des constats soumis, auquel s’ajoutent tous les constats à risque (écart GPS, hors zone, GPS imprécis) ; chaque constat retenu fait l’objet d’une contre-visite confiée à un autre agent de la régie, qui constate à l’aveugle. La contre-visite produit une proposition ; la validation ou le rejet reste une décision motivée d’un réviseur qui n’est ni l’auteur ni membre de sa structure, et un constat revu est figé. Le tableau de qualité donne, par agent et par sous-traitant, le taux d’erreur mesuré par contre-visite, le taux de rejet, les écarts GPS, les délais de revue et les résultats des contrôles mystère, eux-mêmes publiés sous forme agrégée. Une irrégularité ouvre une alerte et une proposition d’examen : aucune sanction n’est automatique.</w:t>
      </w:r>
    </w:p>
    <w:p>
      <w:pPr>
        <w:pStyle w:val="BodyText"/>
      </w:pPr>
      <w:r>
        <w:t xml:space="preserve">La rémunération des sous-traitants suit l’arbitrage RW6 : elle n’est jamais un pourcentage des recettes ni un montant lié à ce que paient les contribuables. Le module calcule seulement une estimation indicative, livrables vérifiés (constats validés après contrôle, missions achevées dans les délais) multipliés par les prix unitaires du contrat, le paiement réel intervenant sur crédit budgétaire, hors plateforme, après certification par la régie. Enfin, tout citoyen peut vérifier un agent sans compte, par le code du badge ou son QR : la réponse (valide, suspendu, révoqué, expiré ou inconnu) indique le nom d’usage, la structure, le module, la zone et la période, sans téléphone ni adresse ; un badge inconnu ou un agent qui demande de l’argent peut être signalé anonymement, et le signalement est transmis à l’enquêteur anti-fraude.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Fonction</w:t>
            </w:r>
          </w:p>
        </w:tc>
        <w:tc>
          <w:tcPr>
            <w:shd w:val="clear" w:color="auto" w:fill="232C6B"/>
          </w:tcPr>
          <w:p>
            <w:pPr>
              <w:pStyle w:val="Compact"/>
            </w:pPr>
            <w:r>
              <w:rPr>
                <w:b/>
                <w:color w:val="FFFFFF"/>
                <w:sz w:val="17"/>
              </w:rPr>
              <w:t xml:space="preserve">Règle appliquée</w:t>
            </w:r>
          </w:p>
        </w:tc>
        <w:tc>
          <w:tcPr>
            <w:shd w:val="clear" w:color="auto" w:fill="232C6B"/>
          </w:tcPr>
          <w:p>
            <w:pPr>
              <w:pStyle w:val="Compact"/>
            </w:pPr>
            <w:r>
              <w:rPr>
                <w:b/>
                <w:color w:val="FFFFFF"/>
                <w:sz w:val="17"/>
              </w:rPr>
              <w:t xml:space="preserve">Écran / route</w:t>
            </w:r>
          </w:p>
        </w:tc>
      </w:tr>
      <w:tr>
        <w:tc>
          <w:tcPr/>
          <w:p>
            <w:pPr>
              <w:pStyle w:val="Compact"/>
            </w:pPr>
            <w:r>
              <w:rPr>
                <w:sz w:val="17"/>
              </w:rPr>
              <w:t xml:space="preserve">Accréditation des sous-traitants</w:t>
            </w:r>
          </w:p>
        </w:tc>
        <w:tc>
          <w:tcPr/>
          <w:p>
            <w:pPr>
              <w:pStyle w:val="Compact"/>
            </w:pPr>
            <w:r>
              <w:rPr>
                <w:sz w:val="17"/>
              </w:rPr>
              <w:t xml:space="preserve">Invitation après sélection ; diligence ; maker-checker ; par module et commune ; durée limitée ; probation sur lot réduit (≤ 5 agents)</w:t>
            </w:r>
          </w:p>
        </w:tc>
        <w:tc>
          <w:tcPr/>
          <w:p>
            <w:pPr>
              <w:pStyle w:val="Compact"/>
            </w:pPr>
            <w:r>
              <w:rPr>
                <w:sz w:val="17"/>
              </w:rPr>
              <w:t xml:space="preserve">Sous-traitants et équipes ·</w:t>
            </w:r>
            <w:r>
              <w:rPr>
                <w:sz w:val="17"/>
              </w:rPr>
              <w:t xml:space="preserve"> </w:t>
            </w:r>
            <w:r>
              <w:rPr>
                <w:rStyle w:val="VerbatimChar"/>
                <w:sz w:val="17"/>
              </w:rPr>
              <w:t xml:space="preserve">/v1/terrain/subcontractors</w:t>
            </w:r>
          </w:p>
        </w:tc>
      </w:tr>
      <w:tr>
        <w:tc>
          <w:tcPr>
            <w:shd w:val="clear" w:color="auto" w:fill="F5F7FB"/>
          </w:tcPr>
          <w:p>
            <w:pPr>
              <w:pStyle w:val="Compact"/>
            </w:pPr>
            <w:r>
              <w:rPr>
                <w:sz w:val="17"/>
              </w:rPr>
              <w:t xml:space="preserve">Agents et habilitation</w:t>
            </w:r>
          </w:p>
        </w:tc>
        <w:tc>
          <w:tcPr>
            <w:shd w:val="clear" w:color="auto" w:fill="F5F7FB"/>
          </w:tcPr>
          <w:p>
            <w:pPr>
              <w:pStyle w:val="Compact"/>
            </w:pPr>
            <w:r>
              <w:rPr>
                <w:sz w:val="17"/>
              </w:rPr>
              <w:t xml:space="preserve">Compte nominatif inactif jusqu’à l’habilitation par la régie ; plafond d’agents ; suspension motivée révoquant badge et terminaux</w:t>
            </w:r>
          </w:p>
        </w:tc>
        <w:tc>
          <w:tcPr>
            <w:shd w:val="clear" w:color="auto" w:fill="F5F7FB"/>
          </w:tcPr>
          <w:p>
            <w:pPr>
              <w:pStyle w:val="Compact"/>
            </w:pPr>
            <w:r>
              <w:rPr>
                <w:rStyle w:val="VerbatimChar"/>
                <w:sz w:val="17"/>
              </w:rPr>
              <w:t xml:space="preserve">/v1/terrain/agents/:id/habilitation</w:t>
            </w:r>
            <w:r>
              <w:rPr>
                <w:sz w:val="17"/>
              </w:rPr>
              <w:t xml:space="preserve">,</w:t>
            </w:r>
            <w:r>
              <w:rPr>
                <w:sz w:val="17"/>
              </w:rPr>
              <w:t xml:space="preserve"> </w:t>
            </w:r>
            <w:r>
              <w:rPr>
                <w:rStyle w:val="VerbatimChar"/>
                <w:sz w:val="17"/>
              </w:rPr>
              <w:t xml:space="preserve">/suspend</w:t>
            </w:r>
          </w:p>
        </w:tc>
      </w:tr>
      <w:tr>
        <w:tc>
          <w:tcPr/>
          <w:p>
            <w:pPr>
              <w:pStyle w:val="Compact"/>
            </w:pPr>
            <w:r>
              <w:rPr>
                <w:sz w:val="17"/>
              </w:rPr>
              <w:t xml:space="preserve">Badge vérifiable</w:t>
            </w:r>
          </w:p>
        </w:tc>
        <w:tc>
          <w:tcPr/>
          <w:p>
            <w:pPr>
              <w:pStyle w:val="Compact"/>
            </w:pPr>
            <w:r>
              <w:rPr>
                <w:sz w:val="17"/>
              </w:rPr>
              <w:t xml:space="preserve">Code court à caractère de contrôle + QR signé ; vérification publique minimale ; signalement anonyme</w:t>
            </w:r>
          </w:p>
        </w:tc>
        <w:tc>
          <w:tcPr/>
          <w:p>
            <w:pPr>
              <w:pStyle w:val="Compact"/>
            </w:pPr>
            <w:r>
              <w:rPr>
                <w:sz w:val="17"/>
              </w:rPr>
              <w:t xml:space="preserve">Vérifier un agent ·</w:t>
            </w:r>
            <w:r>
              <w:rPr>
                <w:sz w:val="17"/>
              </w:rPr>
              <w:t xml:space="preserve"> </w:t>
            </w:r>
            <w:r>
              <w:rPr>
                <w:rStyle w:val="VerbatimChar"/>
                <w:sz w:val="17"/>
              </w:rPr>
              <w:t xml:space="preserve">/v1/public/agent-badges/:code</w:t>
            </w:r>
          </w:p>
        </w:tc>
      </w:tr>
      <w:tr>
        <w:tc>
          <w:tcPr>
            <w:shd w:val="clear" w:color="auto" w:fill="F5F7FB"/>
          </w:tcPr>
          <w:p>
            <w:pPr>
              <w:pStyle w:val="Compact"/>
            </w:pPr>
            <w:r>
              <w:rPr>
                <w:sz w:val="17"/>
              </w:rPr>
              <w:t xml:space="preserve">Missions</w:t>
            </w:r>
          </w:p>
        </w:tc>
        <w:tc>
          <w:tcPr>
            <w:shd w:val="clear" w:color="auto" w:fill="F5F7FB"/>
          </w:tcPr>
          <w:p>
            <w:pPr>
              <w:pStyle w:val="Compact"/>
            </w:pPr>
            <w:r>
              <w:rPr>
                <w:sz w:val="17"/>
              </w:rPr>
              <w:t xml:space="preserve">Zone, période, objectifs ; aucune mission hors lot ; interdiction du quartier et des objets déclarés de l’agent</w:t>
            </w:r>
          </w:p>
        </w:tc>
        <w:tc>
          <w:tcPr>
            <w:shd w:val="clear" w:color="auto" w:fill="F5F7FB"/>
          </w:tcPr>
          <w:p>
            <w:pPr>
              <w:pStyle w:val="Compact"/>
            </w:pPr>
            <w:r>
              <w:rPr>
                <w:sz w:val="17"/>
              </w:rPr>
              <w:t xml:space="preserve">Supervision terrain ·</w:t>
            </w:r>
            <w:r>
              <w:rPr>
                <w:sz w:val="17"/>
              </w:rPr>
              <w:t xml:space="preserve"> </w:t>
            </w:r>
            <w:r>
              <w:rPr>
                <w:rStyle w:val="VerbatimChar"/>
                <w:sz w:val="17"/>
              </w:rPr>
              <w:t xml:space="preserve">/v1/terrain/missions</w:t>
            </w:r>
          </w:p>
        </w:tc>
      </w:tr>
      <w:tr>
        <w:tc>
          <w:tcPr/>
          <w:p>
            <w:pPr>
              <w:pStyle w:val="Compact"/>
            </w:pPr>
            <w:r>
              <w:rPr>
                <w:sz w:val="17"/>
              </w:rPr>
              <w:t xml:space="preserve">Constats</w:t>
            </w:r>
          </w:p>
        </w:tc>
        <w:tc>
          <w:tcPr/>
          <w:p>
            <w:pPr>
              <w:pStyle w:val="Compact"/>
            </w:pPr>
            <w:r>
              <w:rPr>
                <w:sz w:val="17"/>
              </w:rPr>
              <w:t xml:space="preserve">GPS et précision, empreinte SHA-256 de la photo, scellé, horodatage ; écart au point enregistré signalé selon la tolérance communale ; aucune dette</w:t>
            </w:r>
          </w:p>
        </w:tc>
        <w:tc>
          <w:tcPr/>
          <w:p>
            <w:pPr>
              <w:pStyle w:val="Compact"/>
            </w:pPr>
            <w:r>
              <w:rPr>
                <w:sz w:val="17"/>
              </w:rPr>
              <w:t xml:space="preserve">Écran agent</w:t>
            </w:r>
            <w:r>
              <w:rPr>
                <w:sz w:val="17"/>
              </w:rPr>
              <w:t xml:space="preserve"> </w:t>
            </w:r>
            <w:r>
              <w:rPr>
                <w:rStyle w:val="VerbatimChar"/>
                <w:sz w:val="17"/>
              </w:rPr>
              <w:t xml:space="preserve">/terrain</w:t>
            </w:r>
            <w:r>
              <w:rPr>
                <w:sz w:val="17"/>
              </w:rPr>
              <w:t xml:space="preserve"> </w:t>
            </w:r>
            <w:r>
              <w:rPr>
                <w:sz w:val="17"/>
              </w:rPr>
              <w:t xml:space="preserve">·</w:t>
            </w:r>
            <w:r>
              <w:rPr>
                <w:sz w:val="17"/>
              </w:rPr>
              <w:t xml:space="preserve"> </w:t>
            </w:r>
            <w:r>
              <w:rPr>
                <w:rStyle w:val="VerbatimChar"/>
                <w:sz w:val="17"/>
              </w:rPr>
              <w:t xml:space="preserve">/v1/terrain/missions/:id/findings</w:t>
            </w:r>
          </w:p>
        </w:tc>
      </w:tr>
      <w:tr>
        <w:tc>
          <w:tcPr>
            <w:shd w:val="clear" w:color="auto" w:fill="F5F7FB"/>
          </w:tcPr>
          <w:p>
            <w:pPr>
              <w:pStyle w:val="Compact"/>
            </w:pPr>
            <w:r>
              <w:rPr>
                <w:sz w:val="17"/>
              </w:rPr>
              <w:t xml:space="preserve">Contrôle qualité</w:t>
            </w:r>
          </w:p>
        </w:tc>
        <w:tc>
          <w:tcPr>
            <w:shd w:val="clear" w:color="auto" w:fill="F5F7FB"/>
          </w:tcPr>
          <w:p>
            <w:pPr>
              <w:pStyle w:val="Compact"/>
            </w:pPr>
            <w:r>
              <w:rPr>
                <w:sz w:val="17"/>
              </w:rPr>
              <w:t xml:space="preserve">Échantillon ≥ 5 % + 100 % des cas à risque ; contre-visite par un autre agent de la régie ; décision humaine motivée ; taux d’erreur par agent et sous-traitant</w:t>
            </w:r>
          </w:p>
        </w:tc>
        <w:tc>
          <w:tcPr>
            <w:shd w:val="clear" w:color="auto" w:fill="F5F7FB"/>
          </w:tcPr>
          <w:p>
            <w:pPr>
              <w:pStyle w:val="Compact"/>
            </w:pPr>
            <w:r>
              <w:rPr>
                <w:sz w:val="17"/>
              </w:rPr>
              <w:t xml:space="preserve">Supervision terrain ·</w:t>
            </w:r>
            <w:r>
              <w:rPr>
                <w:sz w:val="17"/>
              </w:rPr>
              <w:t xml:space="preserve"> </w:t>
            </w:r>
            <w:r>
              <w:rPr>
                <w:rStyle w:val="VerbatimChar"/>
                <w:sz w:val="17"/>
              </w:rPr>
              <w:t xml:space="preserve">/v1/terrain/quality</w:t>
            </w:r>
          </w:p>
        </w:tc>
      </w:tr>
      <w:tr>
        <w:tc>
          <w:tcPr/>
          <w:p>
            <w:pPr>
              <w:pStyle w:val="Compact"/>
            </w:pPr>
            <w:r>
              <w:rPr>
                <w:sz w:val="17"/>
              </w:rPr>
              <w:t xml:space="preserve">Contrôles mystère</w:t>
            </w:r>
          </w:p>
        </w:tc>
        <w:tc>
          <w:tcPr/>
          <w:p>
            <w:pPr>
              <w:pStyle w:val="Compact"/>
            </w:pPr>
            <w:r>
              <w:rPr>
                <w:sz w:val="17"/>
              </w:rPr>
              <w:t xml:space="preserve">Planifiés et consignés par l’audit ou l’enquêteur ; alerte et proposition en cas d’irrégularité ; publication agrégée</w:t>
            </w:r>
          </w:p>
        </w:tc>
        <w:tc>
          <w:tcPr/>
          <w:p>
            <w:pPr>
              <w:pStyle w:val="Compact"/>
            </w:pPr>
            <w:r>
              <w:rPr>
                <w:rStyle w:val="VerbatimChar"/>
                <w:sz w:val="17"/>
              </w:rPr>
              <w:t xml:space="preserve">/v1/terrain/mystery-checks</w:t>
            </w:r>
            <w:r>
              <w:rPr>
                <w:sz w:val="17"/>
              </w:rPr>
              <w:t xml:space="preserve">,</w:t>
            </w:r>
            <w:r>
              <w:rPr>
                <w:sz w:val="17"/>
              </w:rPr>
              <w:t xml:space="preserve"> </w:t>
            </w:r>
            <w:r>
              <w:rPr>
                <w:rStyle w:val="VerbatimChar"/>
                <w:sz w:val="17"/>
              </w:rPr>
              <w:t xml:space="preserve">/v1/public/terrain/mystery-checks/summary</w:t>
            </w:r>
          </w:p>
        </w:tc>
      </w:tr>
      <w:tr>
        <w:tc>
          <w:tcPr>
            <w:shd w:val="clear" w:color="auto" w:fill="F5F7FB"/>
          </w:tcPr>
          <w:p>
            <w:pPr>
              <w:pStyle w:val="Compact"/>
            </w:pPr>
            <w:r>
              <w:rPr>
                <w:sz w:val="17"/>
              </w:rPr>
              <w:t xml:space="preserve">Rémunération</w:t>
            </w:r>
          </w:p>
        </w:tc>
        <w:tc>
          <w:tcPr>
            <w:shd w:val="clear" w:color="auto" w:fill="F5F7FB"/>
          </w:tcPr>
          <w:p>
            <w:pPr>
              <w:pStyle w:val="Compact"/>
            </w:pPr>
            <w:r>
              <w:rPr>
                <w:sz w:val="17"/>
              </w:rPr>
              <w:t xml:space="preserve">Calcul indicatif : livrables vérifiés × prix unitaires du contrat ; jamais sur les montants payés ; paiement sur crédit budgétaire hors plateforme</w:t>
            </w:r>
          </w:p>
        </w:tc>
        <w:tc>
          <w:tcPr>
            <w:shd w:val="clear" w:color="auto" w:fill="F5F7FB"/>
          </w:tcPr>
          <w:p>
            <w:pPr>
              <w:pStyle w:val="Compact"/>
            </w:pPr>
            <w:r>
              <w:rPr>
                <w:rStyle w:val="VerbatimChar"/>
                <w:sz w:val="17"/>
              </w:rPr>
              <w:t xml:space="preserve">/v1/terrain/subcontractors/:id/remuneration</w:t>
            </w:r>
          </w:p>
        </w:tc>
      </w:tr>
    </w:tbl>
    <w:bookmarkEnd w:id="623"/>
    <w:bookmarkEnd w:id="624"/>
    <w:bookmarkStart w:id="626" w:name="Xa23f468f7109a21fd4c67c56b7728fd0eb41888"/>
    <w:p>
      <w:pPr>
        <w:pStyle w:val="Heading2"/>
      </w:pPr>
      <w:r>
        <w:t xml:space="preserve">I.11 Intégrité : signalement, enquêtes, incidents, données personnelles</w:t>
      </w:r>
    </w:p>
    <w:bookmarkStart w:id="625" w:name="X98f3840c6fa70ffdca5a6fa22fed72614bd8dfa"/>
    <w:p>
      <w:pPr>
        <w:pStyle w:val="Heading4"/>
      </w:pPr>
      <w:r>
        <w:t xml:space="preserve">Module Intégrité — ligne de signalement, anti-fraude, incidents, protection des données</w:t>
      </w:r>
    </w:p>
    <w:p>
      <w:pPr>
        <w:pStyle w:val="FirstParagraph"/>
      </w:pPr>
      <w:r>
        <w:t xml:space="preserve">Le module Intégrité réunit les dispositifs par lesquels KINSHASA MOSOLO rend la fraude difficile à commettre, rapide à détecter et impossible à effacer, sans jamais promettre sa disparition (§ 18A.8, § 25, modules 40, 45, 51 et 69). Il suit la même doctrine que le reste de la plateforme :</w:t>
      </w:r>
      <w:r>
        <w:t xml:space="preserve"> </w:t>
      </w:r>
      <w:r>
        <w:rPr>
          <w:b/>
          <w:bCs/>
        </w:rPr>
        <w:t xml:space="preserve">le système constate et propose, une personne habilitée décide, avec motif, et tout est journalisé dans le journal d’audit chaîné</w:t>
      </w:r>
      <w:r>
        <w:t xml:space="preserve">. Aucune alerte, aucun contrôle mystère, aucune conclusion d’enquête ne produit de sanction, de suspension ni de blocage automatique : chaque objet porte la mention « effet automatique : aucun » et un agent d’IA ne peut ni qualifier, ni classer, ni décider (garde</w:t>
      </w:r>
      <w:r>
        <w:t xml:space="preserve"> </w:t>
      </w:r>
      <w:r>
        <w:rPr>
          <w:rStyle w:val="VerbatimChar"/>
        </w:rPr>
        <w:t xml:space="preserve">assertAiMay</w:t>
      </w:r>
      <w:r>
        <w:t xml:space="preserve">).</w:t>
      </w:r>
    </w:p>
    <w:p>
      <w:pPr>
        <w:pStyle w:val="BodyText"/>
      </w:pPr>
      <w:r>
        <w:rPr>
          <w:b/>
          <w:bCs/>
        </w:rPr>
        <w:t xml:space="preserve">Ligne de signalement protégée.</w:t>
      </w:r>
      <w:r>
        <w:t xml:space="preserve"> </w:t>
      </w:r>
      <w:r>
        <w:t xml:space="preserve">Toute personne peut signaler, sans compte, une demande d’espèces, un faux agent, une fausse quittance, un point de paiement irrégulier, un prélèvement sur un wewa ou un sous-traitant qui encaisse, par le web, par SMS (mot-clé</w:t>
      </w:r>
      <w:r>
        <w:t xml:space="preserve"> </w:t>
      </w:r>
      <w:r>
        <w:rPr>
          <w:rStyle w:val="VerbatimChar"/>
        </w:rPr>
        <w:t xml:space="preserve">SIGNAL</w:t>
      </w:r>
      <w:r>
        <w:t xml:space="preserve">), par le serveur vocal ou par l’intermédiaire d’une opératrice du numéro gratuit ou d’un guichet. SMS et serveur vocal sont simulés en démonstration ; les numéros courts restent à attribuer. L’anonymat est possible : aucune coordonnée n’est alors conservée. Sinon, les coordonnées sont chiffrées (AES-256-GCM) et ne sont renvoyées par aucune route ; elles ne servent qu’aux accusés de réception, adressés sous le nom « Signalant protégé ». Le signalant reçoit une seule fois un</w:t>
      </w:r>
      <w:r>
        <w:t xml:space="preserve"> </w:t>
      </w:r>
      <w:r>
        <w:rPr>
          <w:b/>
          <w:bCs/>
        </w:rPr>
        <w:t xml:space="preserve">code de suivi secret</w:t>
      </w:r>
      <w:r>
        <w:t xml:space="preserve"> </w:t>
      </w:r>
      <w:r>
        <w:t xml:space="preserve">de douze caractères, dont seule une empreinte HMAC est stockée. Ce code lui permet de consulter l’état de son signalement, de lire les messages de la ligne et d’ajouter des éléments ou des pièces. Les pièces ne sont jamais téléversées : seule leur empreinte SHA-256 est transmise. Chaque signalement suit le cycle Reçu → Qualifié → Transmis → Clos. Il a des délais de qualification et de traitement suivis au tableau de bord ; ces délais de démonstration restent paramétrables.</w:t>
      </w:r>
      <w:r>
        <w:t xml:space="preserve"> </w:t>
      </w:r>
      <w:r>
        <w:rPr>
          <w:b/>
          <w:bCs/>
        </w:rPr>
        <w:t xml:space="preserve">Une personne mise en cause n’y a jamais accès</w:t>
      </w:r>
      <w:r>
        <w:t xml:space="preserve">, même si elle est enquêteur : le refus est journalisé. Elle ne peut pas non plus être désignée pour l’instruire.</w:t>
      </w:r>
    </w:p>
    <w:p>
      <w:pPr>
        <w:pStyle w:val="BodyText"/>
      </w:pPr>
      <w:r>
        <w:rPr>
          <w:b/>
          <w:bCs/>
        </w:rPr>
        <w:t xml:space="preserve">Détection et dossiers d’enquête.</w:t>
      </w:r>
      <w:r>
        <w:t xml:space="preserve"> </w:t>
      </w:r>
      <w:r>
        <w:t xml:space="preserve">Des règles explicables produisent des</w:t>
      </w:r>
      <w:r>
        <w:t xml:space="preserve"> </w:t>
      </w:r>
      <w:r>
        <w:rPr>
          <w:i/>
          <w:iCs/>
        </w:rPr>
        <w:t xml:space="preserve">alertes à examiner</w:t>
      </w:r>
      <w:r>
        <w:t xml:space="preserve"> </w:t>
      </w:r>
      <w:r>
        <w:t xml:space="preserve">: quittance vérifiée depuis des lieux éloignés dans un court délai, quittance vérifiée un grand nombre de fois, paiements fractionnés sur une même obligation, agent visé par plusieurs signalements, taux anormal de non-conformité aux contrôles mystère, concentration d’actes sensibles sur une même personne, refus d’accès répétés, alertes techniques du socle. Chaque alerte expose ses variables, ses sources et un niveau de confiance. Ses seuils sont des paramètres de démonstration. Une alerte ne se classe que si un responsable</w:t>
      </w:r>
      <w:r>
        <w:t xml:space="preserve"> </w:t>
      </w:r>
      <w:r>
        <w:rPr>
          <w:b/>
          <w:bCs/>
        </w:rPr>
        <w:t xml:space="preserve">distinct</w:t>
      </w:r>
      <w:r>
        <w:t xml:space="preserve"> </w:t>
      </w:r>
      <w:r>
        <w:t xml:space="preserve">de l’enquêteur valide la proposition de classement. Le dossier d’enquête réunit alertes, signalements et contrôles mystère. Il contient les pièces par empreinte, les liens, les demandes de pièces et une chronologie. Il est complété par la trace du journal d’audit. L’enquêteur en charge dépose ses conclusions et propose une suite. La</w:t>
      </w:r>
      <w:r>
        <w:t xml:space="preserve"> </w:t>
      </w:r>
      <w:r>
        <w:rPr>
          <w:b/>
          <w:bCs/>
        </w:rPr>
        <w:t xml:space="preserve">décision motivée</w:t>
      </w:r>
      <w:r>
        <w:t xml:space="preserve"> </w:t>
      </w:r>
      <w:r>
        <w:t xml:space="preserve">(au moins 20 caractères) revient à une autorité de décision (R06 ou R21) qui n’a pas contribué au dossier. Quatre suites sont possibles : classement, saisine de l’autorité compétente, suspension conservatoire d’un accès technique, renvoi à l’autorité hiérarchique. La décision décrit l’exécution attendue sans jamais l’effectuer elle-même.</w:t>
      </w:r>
    </w:p>
    <w:p>
      <w:pPr>
        <w:pStyle w:val="BodyText"/>
      </w:pPr>
      <w:r>
        <w:rPr>
          <w:b/>
          <w:bCs/>
        </w:rPr>
        <w:t xml:space="preserve">Contrôles mystère, incidents, données, accès.</w:t>
      </w:r>
      <w:r>
        <w:t xml:space="preserve"> </w:t>
      </w:r>
      <w:r>
        <w:t xml:space="preserve">Les contrôles mystère sont planifiés par l’audit interne ou les enquêteurs. Seul le contrôleur désigné en enregistre le résultat. Un constat non conforme ouvre un signal ; les suites (aucune, rappel de procédure, dossier) sont décidées ensuite. Les résultats sont publiés sous forme</w:t>
      </w:r>
      <w:r>
        <w:t xml:space="preserve"> </w:t>
      </w:r>
      <w:r>
        <w:rPr>
          <w:b/>
          <w:bCs/>
        </w:rPr>
        <w:t xml:space="preserve">agrégée</w:t>
      </w:r>
      <w:r>
        <w:t xml:space="preserve"> </w:t>
      </w:r>
      <w:r>
        <w:t xml:space="preserve">par type de cible, sans aucun nom. Chaque incident de sécurité a une gravité, un propriétaire, une échéance et un cycle qui ne recule pas (Déclaré → En cours → Contenu → Résolu → Clos). La clôture exige une preuve scellée par empreinte. En cas d’atteinte aux données personnelles, le délégué à la protection des données doit être informé avant la clôture. Lui seul décide d’informer les personnes concernées. Dans son espace, le DPO traite les demandes d’accès (export des données et de l’historique des actions, les agents étant pseudonymisés) et de rectification (nom, adresse électronique, langue ; journalisées par empreintes avant et après). Il tient un registre des traitements versionné, où les bases légales et les durées de conservation non établies sont marquées « à confirmer ». Il contrôle aussi le journal des consultations de dossiers individuels. Enfin, la revue périodique des habilitations se fait par campagnes. Chaque accès interne est confirmé ou retiré avec motif, par le responsable sécurité ou par l’administrateur de l’entité concernée, jamais par la personne elle-même. Les accès privilégiés sont signalés pour une revue mensuelle. Les retraits décidés sont exécutés et attestés par l’administrateur de l’annuaire.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Fonction</w:t>
            </w:r>
          </w:p>
        </w:tc>
        <w:tc>
          <w:tcPr>
            <w:shd w:val="clear" w:color="auto" w:fill="232C6B"/>
          </w:tcPr>
          <w:p>
            <w:pPr>
              <w:pStyle w:val="Compact"/>
            </w:pPr>
            <w:r>
              <w:rPr>
                <w:b/>
                <w:color w:val="FFFFFF"/>
                <w:sz w:val="17"/>
              </w:rPr>
              <w:t xml:space="preserve">Qui agit</w:t>
            </w:r>
          </w:p>
        </w:tc>
        <w:tc>
          <w:tcPr>
            <w:shd w:val="clear" w:color="auto" w:fill="232C6B"/>
          </w:tcPr>
          <w:p>
            <w:pPr>
              <w:pStyle w:val="Compact"/>
            </w:pPr>
            <w:r>
              <w:rPr>
                <w:b/>
                <w:color w:val="FFFFFF"/>
                <w:sz w:val="17"/>
              </w:rPr>
              <w:t xml:space="preserve">Garde-fou codé</w:t>
            </w:r>
          </w:p>
        </w:tc>
      </w:tr>
      <w:tr>
        <w:tc>
          <w:tcPr/>
          <w:p>
            <w:pPr>
              <w:pStyle w:val="Compact"/>
            </w:pPr>
            <w:r>
              <w:rPr>
                <w:sz w:val="17"/>
              </w:rPr>
              <w:t xml:space="preserve">Signaler (web, SMS, SVI, numéro gratuit)</w:t>
            </w:r>
          </w:p>
        </w:tc>
        <w:tc>
          <w:tcPr/>
          <w:p>
            <w:pPr>
              <w:pStyle w:val="Compact"/>
            </w:pPr>
            <w:r>
              <w:rPr>
                <w:sz w:val="17"/>
              </w:rPr>
              <w:t xml:space="preserve">Public, opératrice (R12)</w:t>
            </w:r>
          </w:p>
        </w:tc>
        <w:tc>
          <w:tcPr/>
          <w:p>
            <w:pPr>
              <w:pStyle w:val="Compact"/>
            </w:pPr>
            <w:r>
              <w:rPr>
                <w:sz w:val="17"/>
              </w:rPr>
              <w:t xml:space="preserve">Anonymat réel, identité chiffrée, code de suivi non stocké</w:t>
            </w:r>
          </w:p>
        </w:tc>
      </w:tr>
      <w:tr>
        <w:tc>
          <w:tcPr>
            <w:shd w:val="clear" w:color="auto" w:fill="F5F7FB"/>
          </w:tcPr>
          <w:p>
            <w:pPr>
              <w:pStyle w:val="Compact"/>
            </w:pPr>
            <w:r>
              <w:rPr>
                <w:sz w:val="17"/>
              </w:rPr>
              <w:t xml:space="preserve">Qualifier, transmettre, informer, clore</w:t>
            </w:r>
          </w:p>
        </w:tc>
        <w:tc>
          <w:tcPr>
            <w:shd w:val="clear" w:color="auto" w:fill="F5F7FB"/>
          </w:tcPr>
          <w:p>
            <w:pPr>
              <w:pStyle w:val="Compact"/>
            </w:pPr>
            <w:r>
              <w:rPr>
                <w:sz w:val="17"/>
              </w:rPr>
              <w:t xml:space="preserve">Enquêteur R24</w:t>
            </w:r>
          </w:p>
        </w:tc>
        <w:tc>
          <w:tcPr>
            <w:shd w:val="clear" w:color="auto" w:fill="F5F7FB"/>
          </w:tcPr>
          <w:p>
            <w:pPr>
              <w:pStyle w:val="Compact"/>
            </w:pPr>
            <w:r>
              <w:rPr>
                <w:sz w:val="17"/>
              </w:rPr>
              <w:t xml:space="preserve">Personne mise en cause exclue ; clôture impossible avant décision du dossier lié</w:t>
            </w:r>
          </w:p>
        </w:tc>
      </w:tr>
      <w:tr>
        <w:tc>
          <w:tcPr/>
          <w:p>
            <w:pPr>
              <w:pStyle w:val="Compact"/>
            </w:pPr>
            <w:r>
              <w:rPr>
                <w:sz w:val="17"/>
              </w:rPr>
              <w:t xml:space="preserve">Examiner une alerte / proposer le classement</w:t>
            </w:r>
          </w:p>
        </w:tc>
        <w:tc>
          <w:tcPr/>
          <w:p>
            <w:pPr>
              <w:pStyle w:val="Compact"/>
            </w:pPr>
            <w:r>
              <w:rPr>
                <w:sz w:val="17"/>
              </w:rPr>
              <w:t xml:space="preserve">Enquêteur R24</w:t>
            </w:r>
          </w:p>
        </w:tc>
        <w:tc>
          <w:tcPr/>
          <w:p>
            <w:pPr>
              <w:pStyle w:val="Compact"/>
            </w:pPr>
            <w:r>
              <w:rPr>
                <w:sz w:val="17"/>
              </w:rPr>
              <w:t xml:space="preserve">Effet automatique : aucun</w:t>
            </w:r>
          </w:p>
        </w:tc>
      </w:tr>
      <w:tr>
        <w:tc>
          <w:tcPr>
            <w:shd w:val="clear" w:color="auto" w:fill="F5F7FB"/>
          </w:tcPr>
          <w:p>
            <w:pPr>
              <w:pStyle w:val="Compact"/>
            </w:pPr>
            <w:r>
              <w:rPr>
                <w:sz w:val="17"/>
              </w:rPr>
              <w:t xml:space="preserve">Valider le classement</w:t>
            </w:r>
          </w:p>
        </w:tc>
        <w:tc>
          <w:tcPr>
            <w:shd w:val="clear" w:color="auto" w:fill="F5F7FB"/>
          </w:tcPr>
          <w:p>
            <w:pPr>
              <w:pStyle w:val="Compact"/>
            </w:pPr>
            <w:r>
              <w:rPr>
                <w:sz w:val="17"/>
              </w:rPr>
              <w:t xml:space="preserve">R24 ou R28 distinct</w:t>
            </w:r>
          </w:p>
        </w:tc>
        <w:tc>
          <w:tcPr>
            <w:shd w:val="clear" w:color="auto" w:fill="F5F7FB"/>
          </w:tcPr>
          <w:p>
            <w:pPr>
              <w:pStyle w:val="Compact"/>
            </w:pPr>
            <w:r>
              <w:rPr>
                <w:sz w:val="17"/>
              </w:rPr>
              <w:t xml:space="preserve">Séparation des tâches (</w:t>
            </w:r>
            <w:r>
              <w:rPr>
                <w:rStyle w:val="VerbatimChar"/>
                <w:sz w:val="17"/>
              </w:rPr>
              <w:t xml:space="preserve">SEPARATION_OF_DUTIES</w:t>
            </w:r>
            <w:r>
              <w:rPr>
                <w:sz w:val="17"/>
              </w:rPr>
              <w:t xml:space="preserve">)</w:t>
            </w:r>
          </w:p>
        </w:tc>
      </w:tr>
      <w:tr>
        <w:tc>
          <w:tcPr/>
          <w:p>
            <w:pPr>
              <w:pStyle w:val="Compact"/>
            </w:pPr>
            <w:r>
              <w:rPr>
                <w:sz w:val="17"/>
              </w:rPr>
              <w:t xml:space="preserve">Instruire et conclure un dossier</w:t>
            </w:r>
          </w:p>
        </w:tc>
        <w:tc>
          <w:tcPr/>
          <w:p>
            <w:pPr>
              <w:pStyle w:val="Compact"/>
            </w:pPr>
            <w:r>
              <w:rPr>
                <w:sz w:val="17"/>
              </w:rPr>
              <w:t xml:space="preserve">Enquêteur en charge</w:t>
            </w:r>
          </w:p>
        </w:tc>
        <w:tc>
          <w:tcPr/>
          <w:p>
            <w:pPr>
              <w:pStyle w:val="Compact"/>
            </w:pPr>
            <w:r>
              <w:rPr>
                <w:sz w:val="17"/>
              </w:rPr>
              <w:t xml:space="preserve">Pièces par empreinte, chronologie, dossier figé après décision</w:t>
            </w:r>
          </w:p>
        </w:tc>
      </w:tr>
      <w:tr>
        <w:tc>
          <w:tcPr>
            <w:shd w:val="clear" w:color="auto" w:fill="F5F7FB"/>
          </w:tcPr>
          <w:p>
            <w:pPr>
              <w:pStyle w:val="Compact"/>
            </w:pPr>
            <w:r>
              <w:rPr>
                <w:sz w:val="17"/>
              </w:rPr>
              <w:t xml:space="preserve">Décider la suite</w:t>
            </w:r>
          </w:p>
        </w:tc>
        <w:tc>
          <w:tcPr>
            <w:shd w:val="clear" w:color="auto" w:fill="F5F7FB"/>
          </w:tcPr>
          <w:p>
            <w:pPr>
              <w:pStyle w:val="Compact"/>
            </w:pPr>
            <w:r>
              <w:rPr>
                <w:sz w:val="17"/>
              </w:rPr>
              <w:t xml:space="preserve">R06 / R21 non contributeur</w:t>
            </w:r>
          </w:p>
        </w:tc>
        <w:tc>
          <w:tcPr>
            <w:shd w:val="clear" w:color="auto" w:fill="F5F7FB"/>
          </w:tcPr>
          <w:p>
            <w:pPr>
              <w:pStyle w:val="Compact"/>
            </w:pPr>
            <w:r>
              <w:rPr>
                <w:sz w:val="17"/>
              </w:rPr>
              <w:t xml:space="preserve">Motif obligatoire, exécution par l’autorité compétente</w:t>
            </w:r>
          </w:p>
        </w:tc>
      </w:tr>
      <w:tr>
        <w:tc>
          <w:tcPr/>
          <w:p>
            <w:pPr>
              <w:pStyle w:val="Compact"/>
            </w:pPr>
            <w:r>
              <w:rPr>
                <w:sz w:val="17"/>
              </w:rPr>
              <w:t xml:space="preserve">Contrôles mystère</w:t>
            </w:r>
          </w:p>
        </w:tc>
        <w:tc>
          <w:tcPr/>
          <w:p>
            <w:pPr>
              <w:pStyle w:val="Compact"/>
            </w:pPr>
            <w:r>
              <w:rPr>
                <w:sz w:val="17"/>
              </w:rPr>
              <w:t xml:space="preserve">R22 / R24, contrôleur désigné</w:t>
            </w:r>
          </w:p>
        </w:tc>
        <w:tc>
          <w:tcPr/>
          <w:p>
            <w:pPr>
              <w:pStyle w:val="Compact"/>
            </w:pPr>
            <w:r>
              <w:rPr>
                <w:sz w:val="17"/>
              </w:rPr>
              <w:t xml:space="preserve">Publication agrégée seulement</w:t>
            </w:r>
          </w:p>
        </w:tc>
      </w:tr>
      <w:tr>
        <w:tc>
          <w:tcPr>
            <w:shd w:val="clear" w:color="auto" w:fill="F5F7FB"/>
          </w:tcPr>
          <w:p>
            <w:pPr>
              <w:pStyle w:val="Compact"/>
            </w:pPr>
            <w:r>
              <w:rPr>
                <w:sz w:val="17"/>
              </w:rPr>
              <w:t xml:space="preserve">Incidents</w:t>
            </w:r>
          </w:p>
        </w:tc>
        <w:tc>
          <w:tcPr>
            <w:shd w:val="clear" w:color="auto" w:fill="F5F7FB"/>
          </w:tcPr>
          <w:p>
            <w:pPr>
              <w:pStyle w:val="Compact"/>
            </w:pPr>
            <w:r>
              <w:rPr>
                <w:sz w:val="17"/>
              </w:rPr>
              <w:t xml:space="preserve">Tout agent déclare ; R28 / R27 pilotent ; R28 clôt</w:t>
            </w:r>
          </w:p>
        </w:tc>
        <w:tc>
          <w:tcPr>
            <w:shd w:val="clear" w:color="auto" w:fill="F5F7FB"/>
          </w:tcPr>
          <w:p>
            <w:pPr>
              <w:pStyle w:val="Compact"/>
            </w:pPr>
            <w:r>
              <w:rPr>
                <w:sz w:val="17"/>
              </w:rPr>
              <w:t xml:space="preserve">Preuve de clôture, DPO informé si données personnelles</w:t>
            </w:r>
          </w:p>
        </w:tc>
      </w:tr>
      <w:tr>
        <w:tc>
          <w:tcPr/>
          <w:p>
            <w:pPr>
              <w:pStyle w:val="Compact"/>
            </w:pPr>
            <w:r>
              <w:rPr>
                <w:sz w:val="17"/>
              </w:rPr>
              <w:t xml:space="preserve">Demandes des personnes, registre</w:t>
            </w:r>
          </w:p>
        </w:tc>
        <w:tc>
          <w:tcPr/>
          <w:p>
            <w:pPr>
              <w:pStyle w:val="Compact"/>
            </w:pPr>
            <w:r>
              <w:rPr>
                <w:sz w:val="17"/>
              </w:rPr>
              <w:t xml:space="preserve">Personne concernée, guichet ; DPO (R25)</w:t>
            </w:r>
          </w:p>
        </w:tc>
        <w:tc>
          <w:tcPr/>
          <w:p>
            <w:pPr>
              <w:pStyle w:val="Compact"/>
            </w:pPr>
            <w:r>
              <w:rPr>
                <w:sz w:val="17"/>
              </w:rPr>
              <w:t xml:space="preserve">Accès limité à son propre dossier ; versions conservées</w:t>
            </w:r>
          </w:p>
        </w:tc>
      </w:tr>
      <w:tr>
        <w:tc>
          <w:tcPr>
            <w:shd w:val="clear" w:color="auto" w:fill="F5F7FB"/>
          </w:tcPr>
          <w:p>
            <w:pPr>
              <w:pStyle w:val="Compact"/>
            </w:pPr>
            <w:r>
              <w:rPr>
                <w:sz w:val="17"/>
              </w:rPr>
              <w:t xml:space="preserve">Revue des accès</w:t>
            </w:r>
          </w:p>
        </w:tc>
        <w:tc>
          <w:tcPr>
            <w:shd w:val="clear" w:color="auto" w:fill="F5F7FB"/>
          </w:tcPr>
          <w:p>
            <w:pPr>
              <w:pStyle w:val="Compact"/>
            </w:pPr>
            <w:r>
              <w:rPr>
                <w:sz w:val="17"/>
              </w:rPr>
              <w:t xml:space="preserve">R28, R08 (son entité)</w:t>
            </w:r>
          </w:p>
        </w:tc>
        <w:tc>
          <w:tcPr>
            <w:shd w:val="clear" w:color="auto" w:fill="F5F7FB"/>
          </w:tcPr>
          <w:p>
            <w:pPr>
              <w:pStyle w:val="Compact"/>
            </w:pPr>
            <w:r>
              <w:rPr>
                <w:sz w:val="17"/>
              </w:rPr>
              <w:t xml:space="preserve">Nul ne revoit ses propres accès</w:t>
            </w:r>
          </w:p>
        </w:tc>
      </w:tr>
      <w:tr>
        <w:tc>
          <w:tcPr/>
          <w:p>
            <w:pPr>
              <w:pStyle w:val="Compact"/>
            </w:pPr>
            <w:r>
              <w:rPr>
                <w:sz w:val="17"/>
              </w:rPr>
              <w:t xml:space="preserve">Indicateurs</w:t>
            </w:r>
          </w:p>
        </w:tc>
        <w:tc>
          <w:tcPr/>
          <w:p>
            <w:pPr>
              <w:pStyle w:val="Compact"/>
            </w:pPr>
            <w:r>
              <w:rPr>
                <w:sz w:val="17"/>
              </w:rPr>
              <w:t xml:space="preserve">Gouverneur, R05, audit, enquêteurs, DPO</w:t>
            </w:r>
          </w:p>
        </w:tc>
        <w:tc>
          <w:tcPr/>
          <w:p>
            <w:pPr>
              <w:pStyle w:val="Compact"/>
            </w:pPr>
            <w:r>
              <w:rPr>
                <w:sz w:val="17"/>
              </w:rPr>
              <w:t xml:space="preserve">Agrégats seulement</w:t>
            </w:r>
          </w:p>
        </w:tc>
      </w:tr>
    </w:tbl>
    <w:bookmarkEnd w:id="625"/>
    <w:bookmarkEnd w:id="626"/>
    <w:bookmarkStart w:id="627" w:name="X60c41e650e42ff004b7744bcdcf4dc914b65ac9"/>
    <w:p>
      <w:pPr>
        <w:pStyle w:val="Heading2"/>
      </w:pPr>
      <w:r>
        <w:t xml:space="preserve">I.12 Pilotage sur données réelles, indicateurs et transparence</w:t>
      </w:r>
    </w:p>
    <w:p>
      <w:pPr>
        <w:pStyle w:val="FirstParagraph"/>
      </w:pPr>
      <w:r>
        <w:t xml:space="preserve">Le module de pilotage (module d’extension</w:t>
      </w:r>
      <w:r>
        <w:t xml:space="preserve"> </w:t>
      </w:r>
      <w:r>
        <w:rPr>
          <w:rStyle w:val="VerbatimChar"/>
        </w:rPr>
        <w:t xml:space="preserve">pilotage</w:t>
      </w:r>
      <w:r>
        <w:t xml:space="preserve">) calcule les tableaux de bord de la Ville-Province</w:t>
      </w:r>
      <w:r>
        <w:t xml:space="preserve"> </w:t>
      </w:r>
      <w:r>
        <w:rPr>
          <w:b/>
          <w:bCs/>
        </w:rPr>
        <w:t xml:space="preserve">sur les données réelles du socle</w:t>
      </w:r>
      <w:r>
        <w:t xml:space="preserve"> </w:t>
      </w:r>
      <w:r>
        <w:t xml:space="preserve">: obligations liquidées sur règle active, ordres de paiement, confirmations signées des prestataires, quittances, relevés du compte public importés par le Trésor, écritures du grand livre et réclamations. Il ne modifie aucune donnée métier et n’exécute aucun acte financier ou juridique : il lit, agrège, explique et exporte. Les tableaux ne montrent que des agrégats ; le rattachement territorial suit la commune du fait générateur (§ 20.3), et une recette sans lieu établi apparaît comme « lieu non établi », jamais devinée.</w:t>
      </w:r>
    </w:p>
    <w:p>
      <w:pPr>
        <w:pStyle w:val="BodyText"/>
      </w:pPr>
      <w:r>
        <w:t xml:space="preserve">L’</w:t>
      </w:r>
      <w:r>
        <w:rPr>
          <w:b/>
          <w:bCs/>
        </w:rPr>
        <w:t xml:space="preserve">échelle unifiée de la recette</w:t>
      </w:r>
      <w:r>
        <w:t xml:space="preserve"> </w:t>
      </w:r>
      <w:r>
        <w:t xml:space="preserve">(onze niveaux, § 26.1) est la seule grille de lecture de tous les tableaux, rapports et exports. Chaque niveau est un stock « ayant atteint au moins ce stade » : le confirmé inclut le réglé, qui inclut le rapproché, et</w:t>
      </w:r>
      <w:r>
        <w:t xml:space="preserve"> </w:t>
      </w:r>
      <w:r>
        <w:rPr>
          <w:b/>
          <w:bCs/>
        </w:rPr>
        <w:t xml:space="preserve">les niveaux ne s’additionnent jamais</w:t>
      </w:r>
      <w:r>
        <w:t xml:space="preserve">. Les montants sont donnés par devise légale (arithmétique exacte, sans nombre flottant) avec une contre-valeur consolidée en francs congolais, explicitement indicative. Deux niveaux ne sont pas mesurables aujourd’hui et sont déclarés comme tels : le potentiel estimé (modèle statistique non calibré) et le disponible pour affectation (budget voté et règles du Trésor non intégrés). L’assiette vérifiée est comptée en objets validés, sans valorisation monétaire. Le montant contesté est un indicateur séparé, hors échelle : une obligation sous réclamation sort de l’exigible. La consultation détaillée se fait par commune, catégorie de recette, administration, canal et mois ; la consultation jusqu’au paiement individuel (référence, statut, écritures, sans nom) est réservée au Trésor et à l’audit, jamais au Gouverneur.</w:t>
      </w:r>
    </w:p>
    <w:p>
      <w:pPr>
        <w:pStyle w:val="BodyText"/>
      </w:pPr>
      <w:r>
        <w:t xml:space="preserve">Le</w:t>
      </w:r>
      <w:r>
        <w:t xml:space="preserve"> </w:t>
      </w:r>
      <w:r>
        <w:rPr>
          <w:b/>
          <w:bCs/>
        </w:rPr>
        <w:t xml:space="preserve">catalogue des indicateurs</w:t>
      </w:r>
      <w:r>
        <w:t xml:space="preserve"> </w:t>
      </w:r>
      <w:r>
        <w:t xml:space="preserve">(§ 39, annexe H § H.19, questions de décision du § 26.1) donne pour chacun sa définition, sa formule, sa source, sa valeur calculée, sa cible, son statut (atteinte, sous la cible, sans cible, non calculable, non mesuré) et sa tendance sur sept jours, recalculée à la date d’arrêté antérieure. Un indicateur sans source mesurable (taux de recensement, coût de collecte, RANV, satisfaction) est déclaré « non mesuré » : aucune valeur n’est inventée. Les</w:t>
      </w:r>
      <w:r>
        <w:t xml:space="preserve"> </w:t>
      </w:r>
      <w:r>
        <w:rPr>
          <w:b/>
          <w:bCs/>
        </w:rPr>
        <w:t xml:space="preserve">tableaux par profil</w:t>
      </w:r>
      <w:r>
        <w:t xml:space="preserve"> </w:t>
      </w:r>
      <w:r>
        <w:t xml:space="preserve">(Gouverneur, direction générale de régie, Trésor, commune, audit, ministre) appliquent le périmètre du rôle : province entière pour les autorités, le Trésor et l’audit ; administration propre pour un ministre sectoriel ou un directeur de régie ; territoire pour une commune. Toute demande hors périmètre est refusée et journalisée.</w:t>
      </w:r>
    </w:p>
    <w:p>
      <w:pPr>
        <w:pStyle w:val="BodyText"/>
      </w:pPr>
      <w:r>
        <w:t xml:space="preserve">La</w:t>
      </w:r>
      <w:r>
        <w:t xml:space="preserve"> </w:t>
      </w:r>
      <w:r>
        <w:rPr>
          <w:b/>
          <w:bCs/>
        </w:rPr>
        <w:t xml:space="preserve">transparence publique</w:t>
      </w:r>
      <w:r>
        <w:t xml:space="preserve"> </w:t>
      </w:r>
      <w:r>
        <w:t xml:space="preserve">est trimestrielle : recettes rapprochées par commune et par catégorie, délais de recours, sans aucune donnée personnelle. Avant toute publication, un contrôle de divulgation s’exécute : seuil de cinq contribuables distincts par cellule, règle de dominance (un contribuable ne peut représenter plus de 85 % d’une cellule), masquage complémentaire pour qu’aucune cellule masquée ne se retrouve par différence avec le total, effectifs publiés par tranches, et recherche de tout identifiant personnel dans le contenu. La publication est une</w:t>
      </w:r>
      <w:r>
        <w:t xml:space="preserve"> </w:t>
      </w:r>
      <w:r>
        <w:rPr>
          <w:b/>
          <w:bCs/>
        </w:rPr>
        <w:t xml:space="preserve">décision humaine</w:t>
      </w:r>
      <w:r>
        <w:t xml:space="preserve"> </w:t>
      </w:r>
      <w:r>
        <w:t xml:space="preserve">du Gouverneur ou du ministre des Finances, motivée, journalisée, versionnée, avec empreinte SHA-256 et signature ; le public peut vérifier l’authenticité du tableau affiché.</w:t>
      </w:r>
    </w:p>
    <w:p>
      <w:pPr>
        <w:pStyle w:val="BodyText"/>
      </w:pPr>
      <w:r>
        <w:t xml:space="preserve">La</w:t>
      </w:r>
      <w:r>
        <w:t xml:space="preserve"> </w:t>
      </w:r>
      <w:r>
        <w:rPr>
          <w:b/>
          <w:bCs/>
        </w:rPr>
        <w:t xml:space="preserve">piste d’audit par dossier</w:t>
      </w:r>
      <w:r>
        <w:t xml:space="preserve"> </w:t>
      </w:r>
      <w:r>
        <w:t xml:space="preserve">(auditeurs internes et externes, enquêteur anti-fraude) reconstitue la chronologie complète d’un objet fiscal, d’une obligation ou d’un paiement : journal d’audit chaîné, écritures du grand livre, quittances provisoire et définitive, réclamations et notifications (destinataire masqué). Elle vérifie qu’il n’y a pas de trou : intégrité du journal chaîné, équilibre du grand livre, écriture de constatation de chaque obligation, chaîne paiement → quittance → écritures → rapprochement, contre-écritures motivées. Chaque consultation est journalisée. Enfin, tout tableau s’</w:t>
      </w:r>
      <w:r>
        <w:rPr>
          <w:b/>
          <w:bCs/>
        </w:rPr>
        <w:t xml:space="preserve">exporte signé</w:t>
      </w:r>
      <w:r>
        <w:t xml:space="preserve"> </w:t>
      </w:r>
      <w:r>
        <w:t xml:space="preserve">: fichier CSV et fichier JSON canonique, empreinte SHA-256 et signature HMAC-SHA256 par une clé d’export dédiée, manifeste téléchargeable, vérification publique et journalisation de chaque extraction (qui, quoi, quels filtres, quelle empreinte).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Fonction</w:t>
            </w:r>
          </w:p>
        </w:tc>
        <w:tc>
          <w:tcPr>
            <w:shd w:val="clear" w:color="auto" w:fill="232C6B"/>
          </w:tcPr>
          <w:p>
            <w:pPr>
              <w:pStyle w:val="Compact"/>
            </w:pPr>
            <w:r>
              <w:rPr>
                <w:b/>
                <w:color w:val="FFFFFF"/>
                <w:sz w:val="17"/>
              </w:rPr>
              <w:t xml:space="preserve">Route</w:t>
            </w:r>
          </w:p>
        </w:tc>
        <w:tc>
          <w:tcPr>
            <w:shd w:val="clear" w:color="auto" w:fill="232C6B"/>
          </w:tcPr>
          <w:p>
            <w:pPr>
              <w:pStyle w:val="Compact"/>
            </w:pPr>
            <w:r>
              <w:rPr>
                <w:b/>
                <w:color w:val="FFFFFF"/>
                <w:sz w:val="17"/>
              </w:rPr>
              <w:t xml:space="preserve">Accès</w:t>
            </w:r>
          </w:p>
        </w:tc>
        <w:tc>
          <w:tcPr>
            <w:shd w:val="clear" w:color="auto" w:fill="232C6B"/>
          </w:tcPr>
          <w:p>
            <w:pPr>
              <w:pStyle w:val="Compact"/>
            </w:pPr>
            <w:r>
              <w:rPr>
                <w:b/>
                <w:color w:val="FFFFFF"/>
                <w:sz w:val="17"/>
              </w:rPr>
              <w:t xml:space="preserve">Garde-fous</w:t>
            </w:r>
          </w:p>
        </w:tc>
      </w:tr>
      <w:tr>
        <w:tc>
          <w:tcPr/>
          <w:p>
            <w:pPr>
              <w:pStyle w:val="Compact"/>
            </w:pPr>
            <w:r>
              <w:rPr>
                <w:sz w:val="17"/>
              </w:rPr>
              <w:t xml:space="preserve">Échelle de la recette</w:t>
            </w:r>
          </w:p>
        </w:tc>
        <w:tc>
          <w:tcPr/>
          <w:p>
            <w:pPr>
              <w:pStyle w:val="Compact"/>
            </w:pPr>
            <w:r>
              <w:rPr>
                <w:rStyle w:val="VerbatimChar"/>
                <w:sz w:val="17"/>
              </w:rPr>
              <w:t xml:space="preserve">GET /v1/pilotage/echelle</w:t>
            </w:r>
          </w:p>
        </w:tc>
        <w:tc>
          <w:tcPr/>
          <w:p>
            <w:pPr>
              <w:pStyle w:val="Compact"/>
            </w:pPr>
            <w:r>
              <w:rPr>
                <w:sz w:val="17"/>
              </w:rPr>
              <w:t xml:space="preserve">R01–R08, R17, R18, R22–R24 (périmètre du rôle)</w:t>
            </w:r>
          </w:p>
        </w:tc>
        <w:tc>
          <w:tcPr/>
          <w:p>
            <w:pPr>
              <w:pStyle w:val="Compact"/>
            </w:pPr>
            <w:r>
              <w:rPr>
                <w:sz w:val="17"/>
              </w:rPr>
              <w:t xml:space="preserve">Onze niveaux, jamais additionnés ; potentiel et disponible « non mesurés » ; contesté hors échelle</w:t>
            </w:r>
          </w:p>
        </w:tc>
      </w:tr>
      <w:tr>
        <w:tc>
          <w:tcPr>
            <w:shd w:val="clear" w:color="auto" w:fill="F5F7FB"/>
          </w:tcPr>
          <w:p>
            <w:pPr>
              <w:pStyle w:val="Compact"/>
            </w:pPr>
            <w:r>
              <w:rPr>
                <w:sz w:val="17"/>
              </w:rPr>
              <w:t xml:space="preserve">Consultation détaillée</w:t>
            </w:r>
          </w:p>
        </w:tc>
        <w:tc>
          <w:tcPr>
            <w:shd w:val="clear" w:color="auto" w:fill="F5F7FB"/>
          </w:tcPr>
          <w:p>
            <w:pPr>
              <w:pStyle w:val="Compact"/>
            </w:pPr>
            <w:r>
              <w:rPr>
                <w:rStyle w:val="VerbatimChar"/>
                <w:sz w:val="17"/>
              </w:rPr>
              <w:t xml:space="preserve">GET /v1/pilotage/drill/{commune\|category\|entity\|channel\|month}</w:t>
            </w:r>
          </w:p>
        </w:tc>
        <w:tc>
          <w:tcPr>
            <w:shd w:val="clear" w:color="auto" w:fill="F5F7FB"/>
          </w:tcPr>
          <w:p>
            <w:pPr>
              <w:pStyle w:val="Compact"/>
            </w:pPr>
            <w:r>
              <w:rPr>
                <w:sz w:val="17"/>
              </w:rPr>
              <w:t xml:space="preserve">idem</w:t>
            </w:r>
          </w:p>
        </w:tc>
        <w:tc>
          <w:tcPr>
            <w:shd w:val="clear" w:color="auto" w:fill="F5F7FB"/>
          </w:tcPr>
          <w:p>
            <w:pPr>
              <w:pStyle w:val="Compact"/>
            </w:pPr>
            <w:r>
              <w:rPr>
                <w:sz w:val="17"/>
              </w:rPr>
              <w:t xml:space="preserve">Agrégats ; colonnes = niveaux distincts</w:t>
            </w:r>
          </w:p>
        </w:tc>
      </w:tr>
      <w:tr>
        <w:tc>
          <w:tcPr/>
          <w:p>
            <w:pPr>
              <w:pStyle w:val="Compact"/>
            </w:pPr>
            <w:r>
              <w:rPr>
                <w:sz w:val="17"/>
              </w:rPr>
              <w:t xml:space="preserve">Paiements individuels</w:t>
            </w:r>
          </w:p>
        </w:tc>
        <w:tc>
          <w:tcPr/>
          <w:p>
            <w:pPr>
              <w:pStyle w:val="Compact"/>
            </w:pPr>
            <w:r>
              <w:rPr>
                <w:rStyle w:val="VerbatimChar"/>
                <w:sz w:val="17"/>
              </w:rPr>
              <w:t xml:space="preserve">GET /v1/pilotage/drill/paiements</w:t>
            </w:r>
          </w:p>
        </w:tc>
        <w:tc>
          <w:tcPr/>
          <w:p>
            <w:pPr>
              <w:pStyle w:val="Compact"/>
            </w:pPr>
            <w:r>
              <w:rPr>
                <w:sz w:val="17"/>
              </w:rPr>
              <w:t xml:space="preserve">R17, R18, R22, R23</w:t>
            </w:r>
          </w:p>
        </w:tc>
        <w:tc>
          <w:tcPr/>
          <w:p>
            <w:pPr>
              <w:pStyle w:val="Compact"/>
            </w:pPr>
            <w:r>
              <w:rPr>
                <w:sz w:val="17"/>
              </w:rPr>
              <w:t xml:space="preserve">Sans nom ni coordonnée ; traçable jusqu’aux écritures</w:t>
            </w:r>
          </w:p>
        </w:tc>
      </w:tr>
      <w:tr>
        <w:tc>
          <w:tcPr>
            <w:shd w:val="clear" w:color="auto" w:fill="F5F7FB"/>
          </w:tcPr>
          <w:p>
            <w:pPr>
              <w:pStyle w:val="Compact"/>
            </w:pPr>
            <w:r>
              <w:rPr>
                <w:sz w:val="17"/>
              </w:rPr>
              <w:t xml:space="preserve">Série mensuelle</w:t>
            </w:r>
          </w:p>
        </w:tc>
        <w:tc>
          <w:tcPr>
            <w:shd w:val="clear" w:color="auto" w:fill="F5F7FB"/>
          </w:tcPr>
          <w:p>
            <w:pPr>
              <w:pStyle w:val="Compact"/>
            </w:pPr>
            <w:r>
              <w:rPr>
                <w:rStyle w:val="VerbatimChar"/>
                <w:sz w:val="17"/>
              </w:rPr>
              <w:t xml:space="preserve">GET /v1/pilotage/serie</w:t>
            </w:r>
          </w:p>
        </w:tc>
        <w:tc>
          <w:tcPr>
            <w:shd w:val="clear" w:color="auto" w:fill="F5F7FB"/>
          </w:tcPr>
          <w:p>
            <w:pPr>
              <w:pStyle w:val="Compact"/>
            </w:pPr>
            <w:r>
              <w:rPr>
                <w:sz w:val="17"/>
              </w:rPr>
              <w:t xml:space="preserve">idem échelle</w:t>
            </w:r>
          </w:p>
        </w:tc>
        <w:tc>
          <w:tcPr>
            <w:shd w:val="clear" w:color="auto" w:fill="F5F7FB"/>
          </w:tcPr>
          <w:p>
            <w:pPr>
              <w:pStyle w:val="Compact"/>
            </w:pPr>
            <w:r>
              <w:rPr>
                <w:sz w:val="17"/>
              </w:rPr>
              <w:t xml:space="preserve">Liquidé, confirmé, rapproché</w:t>
            </w:r>
          </w:p>
        </w:tc>
      </w:tr>
      <w:tr>
        <w:tc>
          <w:tcPr/>
          <w:p>
            <w:pPr>
              <w:pStyle w:val="Compact"/>
            </w:pPr>
            <w:r>
              <w:rPr>
                <w:sz w:val="17"/>
              </w:rPr>
              <w:t xml:space="preserve">Indicateurs</w:t>
            </w:r>
          </w:p>
        </w:tc>
        <w:tc>
          <w:tcPr/>
          <w:p>
            <w:pPr>
              <w:pStyle w:val="Compact"/>
            </w:pPr>
            <w:r>
              <w:rPr>
                <w:rStyle w:val="VerbatimChar"/>
                <w:sz w:val="17"/>
              </w:rPr>
              <w:t xml:space="preserve">GET /v1/pilotage/indicateurs</w:t>
            </w:r>
          </w:p>
        </w:tc>
        <w:tc>
          <w:tcPr/>
          <w:p>
            <w:pPr>
              <w:pStyle w:val="Compact"/>
            </w:pPr>
            <w:r>
              <w:rPr>
                <w:sz w:val="17"/>
              </w:rPr>
              <w:t xml:space="preserve">idem échelle</w:t>
            </w:r>
          </w:p>
        </w:tc>
        <w:tc>
          <w:tcPr/>
          <w:p>
            <w:pPr>
              <w:pStyle w:val="Compact"/>
            </w:pPr>
            <w:r>
              <w:rPr>
                <w:sz w:val="17"/>
              </w:rPr>
              <w:t xml:space="preserve">Définition, formule, source, cible, tendance ; « non mesuré » explicite</w:t>
            </w:r>
          </w:p>
        </w:tc>
      </w:tr>
      <w:tr>
        <w:tc>
          <w:tcPr>
            <w:shd w:val="clear" w:color="auto" w:fill="F5F7FB"/>
          </w:tcPr>
          <w:p>
            <w:pPr>
              <w:pStyle w:val="Compact"/>
            </w:pPr>
            <w:r>
              <w:rPr>
                <w:sz w:val="17"/>
              </w:rPr>
              <w:t xml:space="preserve">Tableaux par profil</w:t>
            </w:r>
          </w:p>
        </w:tc>
        <w:tc>
          <w:tcPr>
            <w:shd w:val="clear" w:color="auto" w:fill="F5F7FB"/>
          </w:tcPr>
          <w:p>
            <w:pPr>
              <w:pStyle w:val="Compact"/>
            </w:pPr>
            <w:r>
              <w:rPr>
                <w:rStyle w:val="VerbatimChar"/>
                <w:sz w:val="17"/>
              </w:rPr>
              <w:t xml:space="preserve">GET /v1/pilotage/tableaux/{profil}</w:t>
            </w:r>
            <w:r>
              <w:rPr>
                <w:sz w:val="17"/>
              </w:rPr>
              <w:t xml:space="preserve"> </w:t>
            </w:r>
            <w:r>
              <w:rPr>
                <w:sz w:val="17"/>
              </w:rPr>
              <w:t xml:space="preserve">(alias</w:t>
            </w:r>
            <w:r>
              <w:rPr>
                <w:sz w:val="17"/>
              </w:rPr>
              <w:t xml:space="preserve"> </w:t>
            </w:r>
            <w:r>
              <w:rPr>
                <w:rStyle w:val="VerbatimChar"/>
                <w:sz w:val="17"/>
              </w:rPr>
              <w:t xml:space="preserve">GET /v1/tableaux/{profil}</w:t>
            </w:r>
            <w:r>
              <w:rPr>
                <w:sz w:val="17"/>
              </w:rPr>
              <w:t xml:space="preserve">)</w:t>
            </w:r>
          </w:p>
        </w:tc>
        <w:tc>
          <w:tcPr>
            <w:shd w:val="clear" w:color="auto" w:fill="F5F7FB"/>
          </w:tcPr>
          <w:p>
            <w:pPr>
              <w:pStyle w:val="Compact"/>
            </w:pPr>
            <w:r>
              <w:rPr>
                <w:sz w:val="17"/>
              </w:rPr>
              <w:t xml:space="preserve">selon le profil</w:t>
            </w:r>
          </w:p>
        </w:tc>
        <w:tc>
          <w:tcPr>
            <w:shd w:val="clear" w:color="auto" w:fill="F5F7FB"/>
          </w:tcPr>
          <w:p>
            <w:pPr>
              <w:pStyle w:val="Compact"/>
            </w:pPr>
            <w:r>
              <w:rPr>
                <w:sz w:val="17"/>
              </w:rPr>
              <w:t xml:space="preserve">Périmètre imposé ; refus journalisé</w:t>
            </w:r>
          </w:p>
        </w:tc>
      </w:tr>
      <w:tr>
        <w:tc>
          <w:tcPr/>
          <w:p>
            <w:pPr>
              <w:pStyle w:val="Compact"/>
            </w:pPr>
            <w:r>
              <w:rPr>
                <w:sz w:val="17"/>
              </w:rPr>
              <w:t xml:space="preserve">Piste d’audit</w:t>
            </w:r>
          </w:p>
        </w:tc>
        <w:tc>
          <w:tcPr/>
          <w:p>
            <w:pPr>
              <w:pStyle w:val="Compact"/>
            </w:pPr>
            <w:r>
              <w:rPr>
                <w:rStyle w:val="VerbatimChar"/>
                <w:sz w:val="17"/>
              </w:rPr>
              <w:t xml:space="preserve">GET /v1/pilotage/piste-audit/{référence}</w:t>
            </w:r>
          </w:p>
        </w:tc>
        <w:tc>
          <w:tcPr/>
          <w:p>
            <w:pPr>
              <w:pStyle w:val="Compact"/>
            </w:pPr>
            <w:r>
              <w:rPr>
                <w:sz w:val="17"/>
              </w:rPr>
              <w:t xml:space="preserve">R22, R23, R24</w:t>
            </w:r>
          </w:p>
        </w:tc>
        <w:tc>
          <w:tcPr/>
          <w:p>
            <w:pPr>
              <w:pStyle w:val="Compact"/>
            </w:pPr>
            <w:r>
              <w:rPr>
                <w:sz w:val="17"/>
              </w:rPr>
              <w:t xml:space="preserve">Contrôles « sans trou » ; consultation journalisée</w:t>
            </w:r>
          </w:p>
        </w:tc>
      </w:tr>
      <w:tr>
        <w:tc>
          <w:tcPr>
            <w:shd w:val="clear" w:color="auto" w:fill="F5F7FB"/>
          </w:tcPr>
          <w:p>
            <w:pPr>
              <w:pStyle w:val="Compact"/>
            </w:pPr>
            <w:r>
              <w:rPr>
                <w:sz w:val="17"/>
              </w:rPr>
              <w:t xml:space="preserve">Export signé</w:t>
            </w:r>
          </w:p>
        </w:tc>
        <w:tc>
          <w:tcPr>
            <w:shd w:val="clear" w:color="auto" w:fill="F5F7FB"/>
          </w:tcPr>
          <w:p>
            <w:pPr>
              <w:pStyle w:val="Compact"/>
            </w:pPr>
            <w:r>
              <w:rPr>
                <w:rStyle w:val="VerbatimChar"/>
                <w:sz w:val="17"/>
              </w:rPr>
              <w:t xml:space="preserve">GET /v1/pilotage/exports/{type}</w:t>
            </w:r>
            <w:r>
              <w:rPr>
                <w:sz w:val="17"/>
              </w:rPr>
              <w:t xml:space="preserve"> </w:t>
            </w:r>
            <w:r>
              <w:rPr>
                <w:sz w:val="17"/>
              </w:rPr>
              <w:t xml:space="preserve">;</w:t>
            </w:r>
            <w:r>
              <w:rPr>
                <w:sz w:val="17"/>
              </w:rPr>
              <w:t xml:space="preserve"> </w:t>
            </w:r>
            <w:r>
              <w:rPr>
                <w:rStyle w:val="VerbatimChar"/>
                <w:sz w:val="17"/>
              </w:rPr>
              <w:t xml:space="preserve">POST /v1/pilotage/exports/verify</w:t>
            </w:r>
          </w:p>
        </w:tc>
        <w:tc>
          <w:tcPr>
            <w:shd w:val="clear" w:color="auto" w:fill="F5F7FB"/>
          </w:tcPr>
          <w:p>
            <w:pPr>
              <w:pStyle w:val="Compact"/>
            </w:pPr>
            <w:r>
              <w:rPr>
                <w:sz w:val="17"/>
              </w:rPr>
              <w:t xml:space="preserve">lecteurs du tableau ; vérification publique</w:t>
            </w:r>
          </w:p>
        </w:tc>
        <w:tc>
          <w:tcPr>
            <w:shd w:val="clear" w:color="auto" w:fill="F5F7FB"/>
          </w:tcPr>
          <w:p>
            <w:pPr>
              <w:pStyle w:val="Compact"/>
            </w:pPr>
            <w:r>
              <w:rPr>
                <w:sz w:val="17"/>
              </w:rPr>
              <w:t xml:space="preserve">SHA-256 + HMAC ; neutralisation des formules CSV ; export journalisé</w:t>
            </w:r>
          </w:p>
        </w:tc>
      </w:tr>
      <w:tr>
        <w:tc>
          <w:tcPr/>
          <w:p>
            <w:pPr>
              <w:pStyle w:val="Compact"/>
            </w:pPr>
            <w:r>
              <w:rPr>
                <w:sz w:val="17"/>
              </w:rPr>
              <w:t xml:space="preserve">Transparence (aperçu, publication)</w:t>
            </w:r>
          </w:p>
        </w:tc>
        <w:tc>
          <w:tcPr/>
          <w:p>
            <w:pPr>
              <w:pStyle w:val="Compact"/>
            </w:pPr>
            <w:r>
              <w:rPr>
                <w:rStyle w:val="VerbatimChar"/>
                <w:sz w:val="17"/>
              </w:rPr>
              <w:t xml:space="preserve">GET /v1/pilotage/transparence/{AAAA-Tn}</w:t>
            </w:r>
            <w:r>
              <w:rPr>
                <w:sz w:val="17"/>
              </w:rPr>
              <w:t xml:space="preserve"> </w:t>
            </w:r>
            <w:r>
              <w:rPr>
                <w:sz w:val="17"/>
              </w:rPr>
              <w:t xml:space="preserve">;</w:t>
            </w:r>
            <w:r>
              <w:rPr>
                <w:sz w:val="17"/>
              </w:rPr>
              <w:t xml:space="preserve"> </w:t>
            </w:r>
            <w:r>
              <w:rPr>
                <w:rStyle w:val="VerbatimChar"/>
                <w:sz w:val="17"/>
              </w:rPr>
              <w:t xml:space="preserve">POST …/publier</w:t>
            </w:r>
          </w:p>
        </w:tc>
        <w:tc>
          <w:tcPr/>
          <w:p>
            <w:pPr>
              <w:pStyle w:val="Compact"/>
            </w:pPr>
            <w:r>
              <w:rPr>
                <w:sz w:val="17"/>
              </w:rPr>
              <w:t xml:space="preserve">aperçu R01, R05, R22, R23 ; publication R01, R05</w:t>
            </w:r>
          </w:p>
        </w:tc>
        <w:tc>
          <w:tcPr/>
          <w:p>
            <w:pPr>
              <w:pStyle w:val="Compact"/>
            </w:pPr>
            <w:r>
              <w:rPr>
                <w:sz w:val="17"/>
              </w:rPr>
              <w:t xml:space="preserve">Test anti-ré-identification bloquant ; décision motivée ; versions</w:t>
            </w:r>
          </w:p>
        </w:tc>
      </w:tr>
      <w:tr>
        <w:tc>
          <w:tcPr>
            <w:shd w:val="clear" w:color="auto" w:fill="F5F7FB"/>
          </w:tcPr>
          <w:p>
            <w:pPr>
              <w:pStyle w:val="Compact"/>
            </w:pPr>
            <w:r>
              <w:rPr>
                <w:sz w:val="17"/>
              </w:rPr>
              <w:t xml:space="preserve">Transparence publique</w:t>
            </w:r>
          </w:p>
        </w:tc>
        <w:tc>
          <w:tcPr>
            <w:shd w:val="clear" w:color="auto" w:fill="F5F7FB"/>
          </w:tcPr>
          <w:p>
            <w:pPr>
              <w:pStyle w:val="Compact"/>
            </w:pPr>
            <w:r>
              <w:rPr>
                <w:rStyle w:val="VerbatimChar"/>
                <w:sz w:val="17"/>
              </w:rPr>
              <w:t xml:space="preserve">GET /v1/public/transparency[/{AAAA-Tn}]</w:t>
            </w:r>
          </w:p>
        </w:tc>
        <w:tc>
          <w:tcPr>
            <w:shd w:val="clear" w:color="auto" w:fill="F5F7FB"/>
          </w:tcPr>
          <w:p>
            <w:pPr>
              <w:pStyle w:val="Compact"/>
            </w:pPr>
            <w:r>
              <w:rPr>
                <w:sz w:val="17"/>
              </w:rPr>
              <w:t xml:space="preserve">public</w:t>
            </w:r>
          </w:p>
        </w:tc>
        <w:tc>
          <w:tcPr>
            <w:shd w:val="clear" w:color="auto" w:fill="F5F7FB"/>
          </w:tcPr>
          <w:p>
            <w:pPr>
              <w:pStyle w:val="Compact"/>
            </w:pPr>
            <w:r>
              <w:rPr>
                <w:sz w:val="17"/>
              </w:rPr>
              <w:t xml:space="preserve">Aucune donnée personnelle ; seuil 5, dominance 85 %, masquage complémentaire</w:t>
            </w:r>
          </w:p>
        </w:tc>
      </w:tr>
    </w:tbl>
    <w:bookmarkEnd w:id="627"/>
    <w:bookmarkStart w:id="629" w:name="i.13-système-dexploitation-de-lia-ai-os"/>
    <w:p>
      <w:pPr>
        <w:pStyle w:val="Heading2"/>
      </w:pPr>
      <w:r>
        <w:t xml:space="preserve">I.13 Système d’exploitation de l’IA (AI OS)</w:t>
      </w:r>
    </w:p>
    <w:bookmarkStart w:id="628" w:name="X56f16c8b3d8256f51005b9410cbc1e2c35885bc"/>
    <w:p>
      <w:pPr>
        <w:pStyle w:val="Heading4"/>
      </w:pPr>
      <w:r>
        <w:t xml:space="preserve">Couche d’intelligence (module « ia ») — état construit</w:t>
      </w:r>
    </w:p>
    <w:p>
      <w:pPr>
        <w:pStyle w:val="FirstParagraph"/>
      </w:pPr>
      <w:r>
        <w:t xml:space="preserve">La couche d’intelligence (§ 23.5) est un module d’extension du socle (</w:t>
      </w:r>
      <w:r>
        <w:rPr>
          <w:rStyle w:val="VerbatimChar"/>
        </w:rPr>
        <w:t xml:space="preserve">backend/src/plugins/ia</w:t>
      </w:r>
      <w:r>
        <w:t xml:space="preserve">). Il ne passe par aucun LLM. Quatorze agents déterministes (les 13 agents métier du § 23.2 et l’agent transverse Communication) lisent les données réelles du socle au travers d’une</w:t>
      </w:r>
      <w:r>
        <w:t xml:space="preserve"> </w:t>
      </w:r>
      <w:r>
        <w:rPr>
          <w:b/>
          <w:bCs/>
        </w:rPr>
        <w:t xml:space="preserve">passerelle en lecture seule</w:t>
      </w:r>
      <w:r>
        <w:t xml:space="preserve">. Chaque agent a une</w:t>
      </w:r>
      <w:r>
        <w:t xml:space="preserve"> </w:t>
      </w:r>
      <w:r>
        <w:rPr>
          <w:b/>
          <w:bCs/>
        </w:rPr>
        <w:t xml:space="preserve">fiche de contrôle</w:t>
      </w:r>
      <w:r>
        <w:t xml:space="preserve"> </w:t>
      </w:r>
      <w:r>
        <w:t xml:space="preserve">: mission, domaines de données autorisés, niveau d’autonomie maximal, actions permises, rôles qui peuvent le solliciter, rôles qui valident et interdits. Si un agent lit un domaine absent de sa fiche, l’erreur</w:t>
      </w:r>
      <w:r>
        <w:t xml:space="preserve"> </w:t>
      </w:r>
      <w:r>
        <w:rPr>
          <w:rStyle w:val="VerbatimChar"/>
        </w:rPr>
        <w:t xml:space="preserve">IA_DATA_DOMAIN_FORBIDDEN</w:t>
      </w:r>
      <w:r>
        <w:t xml:space="preserve"> </w:t>
      </w:r>
      <w:r>
        <w:t xml:space="preserve">est levée. Les vues fournies aux agents sont minimisées : elles ne contiennent ni nom, ni téléphone, ni courriel, ni coordonnées GPS, ni numéro de compte. Les identifiants des agents publics y sont pseudonymisés. L’interface</w:t>
      </w:r>
      <w:r>
        <w:t xml:space="preserve"> </w:t>
      </w:r>
      <w:r>
        <w:rPr>
          <w:rStyle w:val="VerbatimChar"/>
        </w:rPr>
        <w:t xml:space="preserve">IaAgentProvider</w:t>
      </w:r>
      <w:r>
        <w:t xml:space="preserve"> </w:t>
      </w:r>
      <w:r>
        <w:t xml:space="preserve">reste en place : un fournisseur fondé sur un modèle pourra remplacer le fournisseur déterministe derrière la même passerelle.</w:t>
      </w:r>
    </w:p>
    <w:p>
      <w:pPr>
        <w:pStyle w:val="BodyText"/>
      </w:pPr>
      <w:r>
        <w:t xml:space="preserve">Chaque sortie est une recommandation au</w:t>
      </w:r>
      <w:r>
        <w:t xml:space="preserve"> </w:t>
      </w:r>
      <w:r>
        <w:rPr>
          <w:b/>
          <w:bCs/>
        </w:rPr>
        <w:t xml:space="preserve">format standard à 8 rubriques</w:t>
      </w:r>
      <w:r>
        <w:t xml:space="preserve"> </w:t>
      </w:r>
      <w:r>
        <w:t xml:space="preserve">: situation, analyse, risque, recommandation, prochaine action, responsable (toujours un rôle humain), échéance et confiance avec ses sources. Elle comprend au besoin le bloc de décision complet, étape recommandée incluse. Les scores s’accompagnent de leurs facteurs contributifs. Les</w:t>
      </w:r>
      <w:r>
        <w:t xml:space="preserve"> </w:t>
      </w:r>
      <w:r>
        <w:rPr>
          <w:b/>
          <w:bCs/>
        </w:rPr>
        <w:t xml:space="preserve">données citées</w:t>
      </w:r>
      <w:r>
        <w:t xml:space="preserve"> </w:t>
      </w:r>
      <w:r>
        <w:t xml:space="preserve">donnent la référence de chaque élément lu. Le</w:t>
      </w:r>
      <w:r>
        <w:t xml:space="preserve"> </w:t>
      </w:r>
      <w:r>
        <w:rPr>
          <w:b/>
          <w:bCs/>
        </w:rPr>
        <w:t xml:space="preserve">journal IA</w:t>
      </w:r>
      <w:r>
        <w:t xml:space="preserve">, en ajout seul, enregistre pour chaque génération : la finalité déclarée, la version du modèle, la version de la fiche (empreinte de la consigne), l’empreinte des données lues, les domaines consultés, les champs masqués, les citations et l’empreinte de la sortie. Il lie ensuite la décision humaine (rôle, motif, délai en millisecondes), les exécutions et les annulations. Chaque événement est aussi inscrit au journal d’audit chaîné. La reconstitution d’une recommandation (</w:t>
      </w:r>
      <w:r>
        <w:rPr>
          <w:rStyle w:val="VerbatimChar"/>
        </w:rPr>
        <w:t xml:space="preserve">GET /v1/ia/journal/:id</w:t>
      </w:r>
      <w:r>
        <w:t xml:space="preserve">) vérifie l’intégrité de sa sortie.</w:t>
      </w:r>
    </w:p>
    <w:p>
      <w:pPr>
        <w:pStyle w:val="BodyText"/>
      </w:pPr>
      <w:r>
        <w:t xml:space="preserve">Les</w:t>
      </w:r>
      <w:r>
        <w:t xml:space="preserve"> </w:t>
      </w:r>
      <w:r>
        <w:rPr>
          <w:b/>
          <w:bCs/>
        </w:rPr>
        <w:t xml:space="preserve">trois niveaux d’autonomie</w:t>
      </w:r>
      <w:r>
        <w:t xml:space="preserve"> </w:t>
      </w:r>
      <w:r>
        <w:t xml:space="preserve">sont appliqués techniquement. Le</w:t>
      </w:r>
      <w:r>
        <w:t xml:space="preserve"> </w:t>
      </w:r>
      <w:r>
        <w:rPr>
          <w:b/>
          <w:bCs/>
        </w:rPr>
        <w:t xml:space="preserve">niveau A</w:t>
      </w:r>
      <w:r>
        <w:t xml:space="preserve"> </w:t>
      </w:r>
      <w:r>
        <w:t xml:space="preserve">couvre la préparation de brouillons, les résumés, le classement, la création de tâches et les rappels facultatifs. L’agent exécute ces actions sous la garde</w:t>
      </w:r>
      <w:r>
        <w:t xml:space="preserve"> </w:t>
      </w:r>
      <w:r>
        <w:rPr>
          <w:rStyle w:val="VerbatimChar"/>
        </w:rPr>
        <w:t xml:space="preserve">assertAiMay(…, 'draft.write')</w:t>
      </w:r>
      <w:r>
        <w:t xml:space="preserve">, qui reste inchangée. Elles sont journalisées et réversibles. Le responsable d’entité (R08 ou R06, entité propre) peut les désactiver globalement, action par action ou agent par agent ; une action désactivée reste proposée à la validation humaine. Le</w:t>
      </w:r>
      <w:r>
        <w:t xml:space="preserve"> </w:t>
      </w:r>
      <w:r>
        <w:rPr>
          <w:b/>
          <w:bCs/>
        </w:rPr>
        <w:t xml:space="preserve">niveau B</w:t>
      </w:r>
      <w:r>
        <w:t xml:space="preserve"> </w:t>
      </w:r>
      <w:r>
        <w:t xml:space="preserve">couvre la demande de pièces, l’ouverture de mission, la relance obligatoire et le dossier de vérification anti-fraude. L’IA n’exécute jamais ces actions : l’exécution a lieu au nom de l’agent public qui valide, en un clic, et reste annulable. Une mission n’est jamais affectée hors du périmètre de l’agent de terrain ni de celui du superviseur. Le</w:t>
      </w:r>
      <w:r>
        <w:t xml:space="preserve"> </w:t>
      </w:r>
      <w:r>
        <w:rPr>
          <w:b/>
          <w:bCs/>
        </w:rPr>
        <w:t xml:space="preserve">niveau C</w:t>
      </w:r>
      <w:r>
        <w:t xml:space="preserve"> </w:t>
      </w:r>
      <w:r>
        <w:t xml:space="preserve">ne s’exécute jamais : la décision (acceptée, modifiée ou rejetée, avec motif) renvoie au circuit maker-checker du domaine. Rejeter une recommandation retire ses effets automatiques. Un</w:t>
      </w:r>
      <w:r>
        <w:t xml:space="preserve"> </w:t>
      </w:r>
      <w:r>
        <w:rPr>
          <w:b/>
          <w:bCs/>
        </w:rPr>
        <w:t xml:space="preserve">coupe-circuit</w:t>
      </w:r>
      <w:r>
        <w:t xml:space="preserve"> </w:t>
      </w:r>
      <w:r>
        <w:t xml:space="preserve">par agent est réservé aux rôles R28 et R29.</w:t>
      </w:r>
    </w:p>
    <w:p>
      <w:pPr>
        <w:pStyle w:val="BodyText"/>
      </w:pPr>
      <w:r>
        <w:t xml:space="preserve">La</w:t>
      </w:r>
      <w:r>
        <w:t xml:space="preserve"> </w:t>
      </w:r>
      <w:r>
        <w:rPr>
          <w:b/>
          <w:bCs/>
        </w:rPr>
        <w:t xml:space="preserve">mémoire à quatre niveaux</w:t>
      </w:r>
      <w:r>
        <w:t xml:space="preserve"> </w:t>
      </w:r>
      <w:r>
        <w:t xml:space="preserve">(§ 23.5.4) est en place.</w:t>
      </w:r>
      <w:r>
        <w:t xml:space="preserve"> </w:t>
      </w:r>
      <w:r>
        <w:t xml:space="preserve">-</w:t>
      </w:r>
      <w:r>
        <w:t xml:space="preserve"> </w:t>
      </w:r>
      <w:r>
        <w:rPr>
          <w:b/>
          <w:bCs/>
        </w:rPr>
        <w:t xml:space="preserve">Utilisateur</w:t>
      </w:r>
      <w:r>
        <w:t xml:space="preserve"> </w:t>
      </w:r>
      <w:r>
        <w:t xml:space="preserve">: le titulaire seul la consulte. Pour un contribuable, une liste blanche limite la mémoire aux préférences de service ; aucun profilage. Toute consultation par un tiers est refusée et journalisée. La conservation est de 12 mois pour un agent public et de 24 mois pour un contribuable.</w:t>
      </w:r>
      <w:r>
        <w:t xml:space="preserve"> </w:t>
      </w:r>
      <w:r>
        <w:t xml:space="preserve">-</w:t>
      </w:r>
      <w:r>
        <w:t xml:space="preserve"> </w:t>
      </w:r>
      <w:r>
        <w:rPr>
          <w:b/>
          <w:bCs/>
        </w:rPr>
        <w:t xml:space="preserve">Espace (entité)</w:t>
      </w:r>
      <w:r>
        <w:t xml:space="preserve"> </w:t>
      </w:r>
      <w:r>
        <w:t xml:space="preserve">: cloisonnée par entité. Elle reçoit les décisions humaines, les hypothèses et les modèles. Les décisions sont conservées 10 ans et ne peuvent pas être effacées avant cette échéance. Les autres éléments peuvent être effacés avec un motif, qui est journalisé.</w:t>
      </w:r>
      <w:r>
        <w:t xml:space="preserve"> </w:t>
      </w:r>
      <w:r>
        <w:t xml:space="preserve">-</w:t>
      </w:r>
      <w:r>
        <w:t xml:space="preserve"> </w:t>
      </w:r>
      <w:r>
        <w:rPr>
          <w:b/>
          <w:bCs/>
        </w:rPr>
        <w:t xml:space="preserve">Processus</w:t>
      </w:r>
      <w:r>
        <w:t xml:space="preserve"> </w:t>
      </w:r>
      <w:r>
        <w:t xml:space="preserve">: étape atteinte, étapes faites, en attente et bloquées, changements récents et prochaine décision, pour les règles, recours, obligations, changements de bénéficiaire et recommandations. Son accès suit les droits sur le dossier.</w:t>
      </w:r>
      <w:r>
        <w:t xml:space="preserve"> </w:t>
      </w:r>
      <w:r>
        <w:t xml:space="preserve">-</w:t>
      </w:r>
      <w:r>
        <w:t xml:space="preserve"> </w:t>
      </w:r>
      <w:r>
        <w:rPr>
          <w:b/>
          <w:bCs/>
        </w:rPr>
        <w:t xml:space="preserve">Intelligence</w:t>
      </w:r>
      <w:r>
        <w:t xml:space="preserve"> </w:t>
      </w:r>
      <w:r>
        <w:t xml:space="preserve">: agrégats pseudonymisés. Tout identifiant y est refusé. Conservation de 36 mois.</w:t>
      </w:r>
    </w:p>
    <w:p>
      <w:pPr>
        <w:pStyle w:val="BodyText"/>
      </w:pPr>
      <w:r>
        <w:t xml:space="preserve">Le délégué à la protection des données voit un registre des volumes, jamais le contenu, et applique la purge. Les durées ci-dessus sont des propositions à valider.</w:t>
      </w:r>
    </w:p>
    <w:p>
      <w:pPr>
        <w:pStyle w:val="BodyText"/>
      </w:pPr>
      <w:r>
        <w:t xml:space="preserve">Côté navigateur, l’écran</w:t>
      </w:r>
      <w:r>
        <w:t xml:space="preserve"> </w:t>
      </w:r>
      <w:r>
        <w:rPr>
          <w:rStyle w:val="VerbatimChar"/>
        </w:rPr>
        <w:t xml:space="preserve">/ia</w:t>
      </w:r>
      <w:r>
        <w:t xml:space="preserve"> </w:t>
      </w:r>
      <w:r>
        <w:t xml:space="preserve">offre la boîte de réception (filtres par agent, niveau et statut ; validation B, décision C, annulation), le catalogue des agents, les paramètres d’autonomie, l’explorateur de mémoire et le journal. Le motif de décision est enregistré automatiquement sur l’appareil sous forme</w:t>
      </w:r>
      <w:r>
        <w:t xml:space="preserve"> </w:t>
      </w:r>
      <w:r>
        <w:rPr>
          <w:b/>
          <w:bCs/>
        </w:rPr>
        <w:t xml:space="preserve">chiffrée</w:t>
      </w:r>
      <w:r>
        <w:t xml:space="preserve"> </w:t>
      </w:r>
      <w:r>
        <w:t xml:space="preserve">(WebCrypto AES-GCM-256). La clé est dérivée par utilisateur d’une clé d’appareil HMAC non exportable, conservée comme</w:t>
      </w:r>
      <w:r>
        <w:t xml:space="preserve"> </w:t>
      </w:r>
      <w:r>
        <w:rPr>
          <w:rStyle w:val="VerbatimChar"/>
        </w:rPr>
        <w:t xml:space="preserve">CryptoKey</w:t>
      </w:r>
      <w:r>
        <w:t xml:space="preserve"> </w:t>
      </w:r>
      <w:r>
        <w:t xml:space="preserve">dans IndexedDB : elle n’est jamais stockée en clair. Sans WebCrypto, rien n’est écrit.</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584"/>
        <w:gridCol w:w="1584"/>
        <w:gridCol w:w="1584"/>
        <w:gridCol w:w="1584"/>
        <w:gridCol w:w="1584"/>
      </w:tblGrid>
      <w:tr>
        <w:trPr>
          <w:tblHeader w:val="on"/>
        </w:trPr>
        <w:tc>
          <w:tcPr>
            <w:shd w:val="clear" w:color="auto" w:fill="232C6B"/>
          </w:tcPr>
          <w:p>
            <w:pPr>
              <w:pStyle w:val="Compact"/>
            </w:pPr>
            <w:r>
              <w:rPr>
                <w:b/>
                <w:color w:val="FFFFFF"/>
                <w:sz w:val="17"/>
              </w:rPr>
              <w:t xml:space="preserve">Agent</w:t>
            </w:r>
          </w:p>
        </w:tc>
        <w:tc>
          <w:tcPr>
            <w:shd w:val="clear" w:color="auto" w:fill="232C6B"/>
          </w:tcPr>
          <w:p>
            <w:pPr>
              <w:pStyle w:val="Compact"/>
            </w:pPr>
            <w:r>
              <w:rPr>
                <w:b/>
                <w:color w:val="FFFFFF"/>
                <w:sz w:val="17"/>
              </w:rPr>
              <w:t xml:space="preserve">Données autorisées</w:t>
            </w:r>
          </w:p>
        </w:tc>
        <w:tc>
          <w:tcPr>
            <w:shd w:val="clear" w:color="auto" w:fill="232C6B"/>
          </w:tcPr>
          <w:p>
            <w:pPr>
              <w:pStyle w:val="Compact"/>
            </w:pPr>
            <w:r>
              <w:rPr>
                <w:b/>
                <w:color w:val="FFFFFF"/>
                <w:sz w:val="17"/>
              </w:rPr>
              <w:t xml:space="preserve">Niveau max.</w:t>
            </w:r>
          </w:p>
        </w:tc>
        <w:tc>
          <w:tcPr>
            <w:shd w:val="clear" w:color="auto" w:fill="232C6B"/>
          </w:tcPr>
          <w:p>
            <w:pPr>
              <w:pStyle w:val="Compact"/>
            </w:pPr>
            <w:r>
              <w:rPr>
                <w:b/>
                <w:color w:val="FFFFFF"/>
                <w:sz w:val="17"/>
              </w:rPr>
              <w:t xml:space="preserve">Actions</w:t>
            </w:r>
          </w:p>
        </w:tc>
        <w:tc>
          <w:tcPr>
            <w:shd w:val="clear" w:color="auto" w:fill="232C6B"/>
          </w:tcPr>
          <w:p>
            <w:pPr>
              <w:pStyle w:val="Compact"/>
            </w:pPr>
            <w:r>
              <w:rPr>
                <w:b/>
                <w:color w:val="FFFFFF"/>
                <w:sz w:val="17"/>
              </w:rPr>
              <w:t xml:space="preserve">Validation</w:t>
            </w:r>
          </w:p>
        </w:tc>
      </w:tr>
      <w:tr>
        <w:tc>
          <w:tcPr/>
          <w:p>
            <w:pPr>
              <w:pStyle w:val="Compact"/>
            </w:pPr>
            <w:r>
              <w:rPr>
                <w:sz w:val="17"/>
              </w:rPr>
              <w:t xml:space="preserve">Découverte des recettes</w:t>
            </w:r>
          </w:p>
        </w:tc>
        <w:tc>
          <w:tcPr/>
          <w:p>
            <w:pPr>
              <w:pStyle w:val="Compact"/>
            </w:pPr>
            <w:r>
              <w:rPr>
                <w:sz w:val="17"/>
              </w:rPr>
              <w:t xml:space="preserve">Objets, baux</w:t>
            </w:r>
          </w:p>
        </w:tc>
        <w:tc>
          <w:tcPr/>
          <w:p>
            <w:pPr>
              <w:pStyle w:val="Compact"/>
            </w:pPr>
            <w:r>
              <w:rPr>
                <w:sz w:val="17"/>
              </w:rPr>
              <w:t xml:space="preserve">C</w:t>
            </w:r>
          </w:p>
        </w:tc>
        <w:tc>
          <w:tcPr/>
          <w:p>
            <w:pPr>
              <w:pStyle w:val="Compact"/>
            </w:pPr>
            <w:r>
              <w:rPr>
                <w:sz w:val="17"/>
              </w:rPr>
              <w:t xml:space="preserve">A : fiche d’opportunité (brouillon)</w:t>
            </w:r>
          </w:p>
        </w:tc>
        <w:tc>
          <w:tcPr/>
          <w:p>
            <w:pPr>
              <w:pStyle w:val="Compact"/>
            </w:pPr>
            <w:r>
              <w:rPr>
                <w:sz w:val="17"/>
              </w:rPr>
              <w:t xml:space="preserve">R06, R07 → comité</w:t>
            </w:r>
          </w:p>
        </w:tc>
      </w:tr>
      <w:tr>
        <w:tc>
          <w:tcPr>
            <w:shd w:val="clear" w:color="auto" w:fill="F5F7FB"/>
          </w:tcPr>
          <w:p>
            <w:pPr>
              <w:pStyle w:val="Compact"/>
            </w:pPr>
            <w:r>
              <w:rPr>
                <w:sz w:val="17"/>
              </w:rPr>
              <w:t xml:space="preserve">Enrôlement</w:t>
            </w:r>
          </w:p>
        </w:tc>
        <w:tc>
          <w:tcPr>
            <w:shd w:val="clear" w:color="auto" w:fill="F5F7FB"/>
          </w:tcPr>
          <w:p>
            <w:pPr>
              <w:pStyle w:val="Compact"/>
            </w:pPr>
            <w:r>
              <w:rPr>
                <w:sz w:val="17"/>
              </w:rPr>
              <w:t xml:space="preserve">Compte de l’usager</w:t>
            </w:r>
          </w:p>
        </w:tc>
        <w:tc>
          <w:tcPr>
            <w:shd w:val="clear" w:color="auto" w:fill="F5F7FB"/>
          </w:tcPr>
          <w:p>
            <w:pPr>
              <w:pStyle w:val="Compact"/>
            </w:pPr>
            <w:r>
              <w:rPr>
                <w:sz w:val="17"/>
              </w:rPr>
              <w:t xml:space="preserve">A</w:t>
            </w:r>
          </w:p>
        </w:tc>
        <w:tc>
          <w:tcPr>
            <w:shd w:val="clear" w:color="auto" w:fill="F5F7FB"/>
          </w:tcPr>
          <w:p>
            <w:pPr>
              <w:pStyle w:val="Compact"/>
            </w:pPr>
            <w:r>
              <w:rPr>
                <w:sz w:val="17"/>
              </w:rPr>
              <w:t xml:space="preserve">A : pré-remplissage</w:t>
            </w:r>
          </w:p>
        </w:tc>
        <w:tc>
          <w:tcPr>
            <w:shd w:val="clear" w:color="auto" w:fill="F5F7FB"/>
          </w:tcPr>
          <w:p>
            <w:pPr>
              <w:pStyle w:val="Compact"/>
            </w:pPr>
            <w:r>
              <w:rPr>
                <w:sz w:val="17"/>
              </w:rPr>
              <w:t xml:space="preserve">Le contribuable confirme</w:t>
            </w:r>
          </w:p>
        </w:tc>
      </w:tr>
      <w:tr>
        <w:tc>
          <w:tcPr/>
          <w:p>
            <w:pPr>
              <w:pStyle w:val="Compact"/>
            </w:pPr>
            <w:r>
              <w:rPr>
                <w:sz w:val="17"/>
              </w:rPr>
              <w:t xml:space="preserve">Apprentissage de l’usager</w:t>
            </w:r>
          </w:p>
        </w:tc>
        <w:tc>
          <w:tcPr/>
          <w:p>
            <w:pPr>
              <w:pStyle w:val="Compact"/>
            </w:pPr>
            <w:r>
              <w:rPr>
                <w:sz w:val="17"/>
              </w:rPr>
              <w:t xml:space="preserve">Compte, obligations propres, pages d’aide</w:t>
            </w:r>
          </w:p>
        </w:tc>
        <w:tc>
          <w:tcPr/>
          <w:p>
            <w:pPr>
              <w:pStyle w:val="Compact"/>
            </w:pPr>
            <w:r>
              <w:rPr>
                <w:sz w:val="17"/>
              </w:rPr>
              <w:t xml:space="preserve">A</w:t>
            </w:r>
          </w:p>
        </w:tc>
        <w:tc>
          <w:tcPr/>
          <w:p>
            <w:pPr>
              <w:pStyle w:val="Compact"/>
            </w:pPr>
            <w:r>
              <w:rPr>
                <w:sz w:val="17"/>
              </w:rPr>
              <w:t xml:space="preserve">A : réponse sourcée</w:t>
            </w:r>
          </w:p>
        </w:tc>
        <w:tc>
          <w:tcPr/>
          <w:p>
            <w:pPr>
              <w:pStyle w:val="Compact"/>
            </w:pPr>
            <w:r>
              <w:rPr>
                <w:sz w:val="17"/>
              </w:rPr>
              <w:t xml:space="preserve">Sans effet ; renvoi au guichet</w:t>
            </w:r>
          </w:p>
        </w:tc>
      </w:tr>
      <w:tr>
        <w:tc>
          <w:tcPr>
            <w:shd w:val="clear" w:color="auto" w:fill="F5F7FB"/>
          </w:tcPr>
          <w:p>
            <w:pPr>
              <w:pStyle w:val="Compact"/>
            </w:pPr>
            <w:r>
              <w:rPr>
                <w:sz w:val="17"/>
              </w:rPr>
              <w:t xml:space="preserve">Copilote des agents publics</w:t>
            </w:r>
          </w:p>
        </w:tc>
        <w:tc>
          <w:tcPr>
            <w:shd w:val="clear" w:color="auto" w:fill="F5F7FB"/>
          </w:tcPr>
          <w:p>
            <w:pPr>
              <w:pStyle w:val="Compact"/>
            </w:pPr>
            <w:r>
              <w:rPr>
                <w:sz w:val="17"/>
              </w:rPr>
              <w:t xml:space="preserve">Recours, obligations</w:t>
            </w:r>
          </w:p>
        </w:tc>
        <w:tc>
          <w:tcPr>
            <w:shd w:val="clear" w:color="auto" w:fill="F5F7FB"/>
          </w:tcPr>
          <w:p>
            <w:pPr>
              <w:pStyle w:val="Compact"/>
            </w:pPr>
            <w:r>
              <w:rPr>
                <w:sz w:val="17"/>
              </w:rPr>
              <w:t xml:space="preserve">C</w:t>
            </w:r>
          </w:p>
        </w:tc>
        <w:tc>
          <w:tcPr>
            <w:shd w:val="clear" w:color="auto" w:fill="F5F7FB"/>
          </w:tcPr>
          <w:p>
            <w:pPr>
              <w:pStyle w:val="Compact"/>
            </w:pPr>
            <w:r>
              <w:rPr>
                <w:sz w:val="17"/>
              </w:rPr>
              <w:t xml:space="preserve">A : résumé, classement du motif, projet de décision</w:t>
            </w:r>
          </w:p>
        </w:tc>
        <w:tc>
          <w:tcPr>
            <w:shd w:val="clear" w:color="auto" w:fill="F5F7FB"/>
          </w:tcPr>
          <w:p>
            <w:pPr>
              <w:pStyle w:val="Compact"/>
            </w:pPr>
            <w:r>
              <w:rPr>
                <w:sz w:val="17"/>
              </w:rPr>
              <w:t xml:space="preserve">R20, R21 signent</w:t>
            </w:r>
          </w:p>
        </w:tc>
      </w:tr>
      <w:tr>
        <w:tc>
          <w:tcPr/>
          <w:p>
            <w:pPr>
              <w:pStyle w:val="Compact"/>
            </w:pPr>
            <w:r>
              <w:rPr>
                <w:sz w:val="17"/>
              </w:rPr>
              <w:t xml:space="preserve">Veille juridique</w:t>
            </w:r>
          </w:p>
        </w:tc>
        <w:tc>
          <w:tcPr/>
          <w:p>
            <w:pPr>
              <w:pStyle w:val="Compact"/>
            </w:pPr>
            <w:r>
              <w:rPr>
                <w:sz w:val="17"/>
              </w:rPr>
              <w:t xml:space="preserve">Règles, textes</w:t>
            </w:r>
          </w:p>
        </w:tc>
        <w:tc>
          <w:tcPr/>
          <w:p>
            <w:pPr>
              <w:pStyle w:val="Compact"/>
            </w:pPr>
            <w:r>
              <w:rPr>
                <w:sz w:val="17"/>
              </w:rPr>
              <w:t xml:space="preserve">C</w:t>
            </w:r>
          </w:p>
        </w:tc>
        <w:tc>
          <w:tcPr/>
          <w:p>
            <w:pPr>
              <w:pStyle w:val="Compact"/>
            </w:pPr>
            <w:r>
              <w:rPr>
                <w:sz w:val="17"/>
              </w:rPr>
              <w:t xml:space="preserve">A : note de veille, tâche de certification</w:t>
            </w:r>
          </w:p>
        </w:tc>
        <w:tc>
          <w:tcPr/>
          <w:p>
            <w:pPr>
              <w:pStyle w:val="Compact"/>
            </w:pPr>
            <w:r>
              <w:rPr>
                <w:sz w:val="17"/>
              </w:rPr>
              <w:t xml:space="preserve">R13, R14 ; aucune publication</w:t>
            </w:r>
          </w:p>
        </w:tc>
      </w:tr>
      <w:tr>
        <w:tc>
          <w:tcPr>
            <w:shd w:val="clear" w:color="auto" w:fill="F5F7FB"/>
          </w:tcPr>
          <w:p>
            <w:pPr>
              <w:pStyle w:val="Compact"/>
            </w:pPr>
            <w:r>
              <w:rPr>
                <w:sz w:val="17"/>
              </w:rPr>
              <w:t xml:space="preserve">Intelligence locative</w:t>
            </w:r>
          </w:p>
        </w:tc>
        <w:tc>
          <w:tcPr>
            <w:shd w:val="clear" w:color="auto" w:fill="F5F7FB"/>
          </w:tcPr>
          <w:p>
            <w:pPr>
              <w:pStyle w:val="Compact"/>
            </w:pPr>
            <w:r>
              <w:rPr>
                <w:sz w:val="17"/>
              </w:rPr>
              <w:t xml:space="preserve">Objets, baux, constats</w:t>
            </w:r>
          </w:p>
        </w:tc>
        <w:tc>
          <w:tcPr>
            <w:shd w:val="clear" w:color="auto" w:fill="F5F7FB"/>
          </w:tcPr>
          <w:p>
            <w:pPr>
              <w:pStyle w:val="Compact"/>
            </w:pPr>
            <w:r>
              <w:rPr>
                <w:sz w:val="17"/>
              </w:rPr>
              <w:t xml:space="preserve">B</w:t>
            </w:r>
          </w:p>
        </w:tc>
        <w:tc>
          <w:tcPr>
            <w:shd w:val="clear" w:color="auto" w:fill="F5F7FB"/>
          </w:tcPr>
          <w:p>
            <w:pPr>
              <w:pStyle w:val="Compact"/>
            </w:pPr>
            <w:r>
              <w:rPr>
                <w:sz w:val="17"/>
              </w:rPr>
              <w:t xml:space="preserve">B : demande de pièces</w:t>
            </w:r>
          </w:p>
        </w:tc>
        <w:tc>
          <w:tcPr>
            <w:shd w:val="clear" w:color="auto" w:fill="F5F7FB"/>
          </w:tcPr>
          <w:p>
            <w:pPr>
              <w:pStyle w:val="Compact"/>
            </w:pPr>
            <w:r>
              <w:rPr>
                <w:sz w:val="17"/>
              </w:rPr>
              <w:t xml:space="preserve">R09, R06</w:t>
            </w:r>
          </w:p>
        </w:tc>
      </w:tr>
      <w:tr>
        <w:tc>
          <w:tcPr/>
          <w:p>
            <w:pPr>
              <w:pStyle w:val="Compact"/>
            </w:pPr>
            <w:r>
              <w:rPr>
                <w:sz w:val="17"/>
              </w:rPr>
              <w:t xml:space="preserve">Missions terrain</w:t>
            </w:r>
          </w:p>
        </w:tc>
        <w:tc>
          <w:tcPr/>
          <w:p>
            <w:pPr>
              <w:pStyle w:val="Compact"/>
            </w:pPr>
            <w:r>
              <w:rPr>
                <w:sz w:val="17"/>
              </w:rPr>
              <w:t xml:space="preserve">Objets, baux, conflits, équipes</w:t>
            </w:r>
          </w:p>
        </w:tc>
        <w:tc>
          <w:tcPr/>
          <w:p>
            <w:pPr>
              <w:pStyle w:val="Compact"/>
            </w:pPr>
            <w:r>
              <w:rPr>
                <w:sz w:val="17"/>
              </w:rPr>
              <w:t xml:space="preserve">B</w:t>
            </w:r>
          </w:p>
        </w:tc>
        <w:tc>
          <w:tcPr/>
          <w:p>
            <w:pPr>
              <w:pStyle w:val="Compact"/>
            </w:pPr>
            <w:r>
              <w:rPr>
                <w:sz w:val="17"/>
              </w:rPr>
              <w:t xml:space="preserve">B : mission dans le périmètre</w:t>
            </w:r>
          </w:p>
        </w:tc>
        <w:tc>
          <w:tcPr/>
          <w:p>
            <w:pPr>
              <w:pStyle w:val="Compact"/>
            </w:pPr>
            <w:r>
              <w:rPr>
                <w:sz w:val="17"/>
              </w:rPr>
              <w:t xml:space="preserve">R09</w:t>
            </w:r>
          </w:p>
        </w:tc>
      </w:tr>
      <w:tr>
        <w:tc>
          <w:tcPr>
            <w:shd w:val="clear" w:color="auto" w:fill="F5F7FB"/>
          </w:tcPr>
          <w:p>
            <w:pPr>
              <w:pStyle w:val="Compact"/>
            </w:pPr>
            <w:r>
              <w:rPr>
                <w:sz w:val="17"/>
              </w:rPr>
              <w:t xml:space="preserve">Rapprochement</w:t>
            </w:r>
          </w:p>
        </w:tc>
        <w:tc>
          <w:tcPr>
            <w:shd w:val="clear" w:color="auto" w:fill="F5F7FB"/>
          </w:tcPr>
          <w:p>
            <w:pPr>
              <w:pStyle w:val="Compact"/>
            </w:pPr>
            <w:r>
              <w:rPr>
                <w:sz w:val="17"/>
              </w:rPr>
              <w:t xml:space="preserve">Paiements, exceptions</w:t>
            </w:r>
          </w:p>
        </w:tc>
        <w:tc>
          <w:tcPr>
            <w:shd w:val="clear" w:color="auto" w:fill="F5F7FB"/>
          </w:tcPr>
          <w:p>
            <w:pPr>
              <w:pStyle w:val="Compact"/>
            </w:pPr>
            <w:r>
              <w:rPr>
                <w:sz w:val="17"/>
              </w:rPr>
              <w:t xml:space="preserve">C</w:t>
            </w:r>
          </w:p>
        </w:tc>
        <w:tc>
          <w:tcPr>
            <w:shd w:val="clear" w:color="auto" w:fill="F5F7FB"/>
          </w:tcPr>
          <w:p>
            <w:pPr>
              <w:pStyle w:val="Compact"/>
            </w:pPr>
            <w:r>
              <w:rPr>
                <w:sz w:val="17"/>
              </w:rPr>
              <w:t xml:space="preserve">A : tâche d’affectation</w:t>
            </w:r>
          </w:p>
        </w:tc>
        <w:tc>
          <w:tcPr>
            <w:shd w:val="clear" w:color="auto" w:fill="F5F7FB"/>
          </w:tcPr>
          <w:p>
            <w:pPr>
              <w:pStyle w:val="Compact"/>
            </w:pPr>
            <w:r>
              <w:rPr>
                <w:sz w:val="17"/>
              </w:rPr>
              <w:t xml:space="preserve">R17, R18 (quatre yeux)</w:t>
            </w:r>
          </w:p>
        </w:tc>
      </w:tr>
      <w:tr>
        <w:tc>
          <w:tcPr/>
          <w:p>
            <w:pPr>
              <w:pStyle w:val="Compact"/>
            </w:pPr>
            <w:r>
              <w:rPr>
                <w:sz w:val="17"/>
              </w:rPr>
              <w:t xml:space="preserve">Détection de fraude</w:t>
            </w:r>
          </w:p>
        </w:tc>
        <w:tc>
          <w:tcPr/>
          <w:p>
            <w:pPr>
              <w:pStyle w:val="Compact"/>
            </w:pPr>
            <w:r>
              <w:rPr>
                <w:sz w:val="17"/>
              </w:rPr>
              <w:t xml:space="preserve">Audit pseudonymisé, alertes, terminaux, agrégats, coffre</w:t>
            </w:r>
          </w:p>
        </w:tc>
        <w:tc>
          <w:tcPr/>
          <w:p>
            <w:pPr>
              <w:pStyle w:val="Compact"/>
            </w:pPr>
            <w:r>
              <w:rPr>
                <w:sz w:val="17"/>
              </w:rPr>
              <w:t xml:space="preserve">B</w:t>
            </w:r>
          </w:p>
        </w:tc>
        <w:tc>
          <w:tcPr/>
          <w:p>
            <w:pPr>
              <w:pStyle w:val="Compact"/>
            </w:pPr>
            <w:r>
              <w:rPr>
                <w:sz w:val="17"/>
              </w:rPr>
              <w:t xml:space="preserve">B : dossier de vérification</w:t>
            </w:r>
          </w:p>
        </w:tc>
        <w:tc>
          <w:tcPr/>
          <w:p>
            <w:pPr>
              <w:pStyle w:val="Compact"/>
            </w:pPr>
            <w:r>
              <w:rPr>
                <w:sz w:val="17"/>
              </w:rPr>
              <w:t xml:space="preserve">R24</w:t>
            </w:r>
          </w:p>
        </w:tc>
      </w:tr>
      <w:tr>
        <w:tc>
          <w:tcPr>
            <w:shd w:val="clear" w:color="auto" w:fill="F5F7FB"/>
          </w:tcPr>
          <w:p>
            <w:pPr>
              <w:pStyle w:val="Compact"/>
            </w:pPr>
            <w:r>
              <w:rPr>
                <w:sz w:val="17"/>
              </w:rPr>
              <w:t xml:space="preserve">Prévision</w:t>
            </w:r>
          </w:p>
        </w:tc>
        <w:tc>
          <w:tcPr>
            <w:shd w:val="clear" w:color="auto" w:fill="F5F7FB"/>
          </w:tcPr>
          <w:p>
            <w:pPr>
              <w:pStyle w:val="Compact"/>
            </w:pPr>
            <w:r>
              <w:rPr>
                <w:sz w:val="17"/>
              </w:rPr>
              <w:t xml:space="preserve">Obligations, paiements</w:t>
            </w:r>
          </w:p>
        </w:tc>
        <w:tc>
          <w:tcPr>
            <w:shd w:val="clear" w:color="auto" w:fill="F5F7FB"/>
          </w:tcPr>
          <w:p>
            <w:pPr>
              <w:pStyle w:val="Compact"/>
            </w:pPr>
            <w:r>
              <w:rPr>
                <w:sz w:val="17"/>
              </w:rPr>
              <w:t xml:space="preserve">C</w:t>
            </w:r>
          </w:p>
        </w:tc>
        <w:tc>
          <w:tcPr>
            <w:shd w:val="clear" w:color="auto" w:fill="F5F7FB"/>
          </w:tcPr>
          <w:p>
            <w:pPr>
              <w:pStyle w:val="Compact"/>
            </w:pPr>
            <w:r>
              <w:rPr>
                <w:sz w:val="17"/>
              </w:rPr>
              <w:t xml:space="preserve">—</w:t>
            </w:r>
          </w:p>
        </w:tc>
        <w:tc>
          <w:tcPr>
            <w:shd w:val="clear" w:color="auto" w:fill="F5F7FB"/>
          </w:tcPr>
          <w:p>
            <w:pPr>
              <w:pStyle w:val="Compact"/>
            </w:pPr>
            <w:r>
              <w:rPr>
                <w:sz w:val="17"/>
              </w:rPr>
              <w:t xml:space="preserve">R05, R17</w:t>
            </w:r>
          </w:p>
        </w:tc>
      </w:tr>
      <w:tr>
        <w:tc>
          <w:tcPr/>
          <w:p>
            <w:pPr>
              <w:pStyle w:val="Compact"/>
            </w:pPr>
            <w:r>
              <w:rPr>
                <w:sz w:val="17"/>
              </w:rPr>
              <w:t xml:space="preserve">Aide à la décision exécutive</w:t>
            </w:r>
          </w:p>
        </w:tc>
        <w:tc>
          <w:tcPr/>
          <w:p>
            <w:pPr>
              <w:pStyle w:val="Compact"/>
            </w:pPr>
            <w:r>
              <w:rPr>
                <w:sz w:val="17"/>
              </w:rPr>
              <w:t xml:space="preserve">Agrégats</w:t>
            </w:r>
          </w:p>
        </w:tc>
        <w:tc>
          <w:tcPr/>
          <w:p>
            <w:pPr>
              <w:pStyle w:val="Compact"/>
            </w:pPr>
            <w:r>
              <w:rPr>
                <w:sz w:val="17"/>
              </w:rPr>
              <w:t xml:space="preserve">C</w:t>
            </w:r>
          </w:p>
        </w:tc>
        <w:tc>
          <w:tcPr/>
          <w:p>
            <w:pPr>
              <w:pStyle w:val="Compact"/>
            </w:pPr>
            <w:r>
              <w:rPr>
                <w:sz w:val="17"/>
              </w:rPr>
              <w:t xml:space="preserve">—</w:t>
            </w:r>
          </w:p>
        </w:tc>
        <w:tc>
          <w:tcPr/>
          <w:p>
            <w:pPr>
              <w:pStyle w:val="Compact"/>
            </w:pPr>
            <w:r>
              <w:rPr>
                <w:sz w:val="17"/>
              </w:rPr>
              <w:t xml:space="preserve">R01, R02, R05</w:t>
            </w:r>
          </w:p>
        </w:tc>
      </w:tr>
      <w:tr>
        <w:tc>
          <w:tcPr>
            <w:shd w:val="clear" w:color="auto" w:fill="F5F7FB"/>
          </w:tcPr>
          <w:p>
            <w:pPr>
              <w:pStyle w:val="Compact"/>
            </w:pPr>
            <w:r>
              <w:rPr>
                <w:sz w:val="17"/>
              </w:rPr>
              <w:t xml:space="preserve">Allocation des investissements</w:t>
            </w:r>
          </w:p>
        </w:tc>
        <w:tc>
          <w:tcPr>
            <w:shd w:val="clear" w:color="auto" w:fill="F5F7FB"/>
          </w:tcPr>
          <w:p>
            <w:pPr>
              <w:pStyle w:val="Compact"/>
            </w:pPr>
            <w:r>
              <w:rPr>
                <w:sz w:val="17"/>
              </w:rPr>
              <w:t xml:space="preserve">Paiements rapprochés, comptes publics</w:t>
            </w:r>
          </w:p>
        </w:tc>
        <w:tc>
          <w:tcPr>
            <w:shd w:val="clear" w:color="auto" w:fill="F5F7FB"/>
          </w:tcPr>
          <w:p>
            <w:pPr>
              <w:pStyle w:val="Compact"/>
            </w:pPr>
            <w:r>
              <w:rPr>
                <w:sz w:val="17"/>
              </w:rPr>
              <w:t xml:space="preserve">C</w:t>
            </w:r>
          </w:p>
        </w:tc>
        <w:tc>
          <w:tcPr>
            <w:shd w:val="clear" w:color="auto" w:fill="F5F7FB"/>
          </w:tcPr>
          <w:p>
            <w:pPr>
              <w:pStyle w:val="Compact"/>
            </w:pPr>
            <w:r>
              <w:rPr>
                <w:sz w:val="17"/>
              </w:rPr>
              <w:t xml:space="preserve">— (aucune clé de répartition)</w:t>
            </w:r>
          </w:p>
        </w:tc>
        <w:tc>
          <w:tcPr>
            <w:shd w:val="clear" w:color="auto" w:fill="F5F7FB"/>
          </w:tcPr>
          <w:p>
            <w:pPr>
              <w:pStyle w:val="Compact"/>
            </w:pPr>
            <w:r>
              <w:rPr>
                <w:sz w:val="17"/>
              </w:rPr>
              <w:t xml:space="preserve">R05, R01</w:t>
            </w:r>
          </w:p>
        </w:tc>
      </w:tr>
      <w:tr>
        <w:tc>
          <w:tcPr/>
          <w:p>
            <w:pPr>
              <w:pStyle w:val="Compact"/>
            </w:pPr>
            <w:r>
              <w:rPr>
                <w:sz w:val="17"/>
              </w:rPr>
              <w:t xml:space="preserve">Apprentissage continu</w:t>
            </w:r>
          </w:p>
        </w:tc>
        <w:tc>
          <w:tcPr/>
          <w:p>
            <w:pPr>
              <w:pStyle w:val="Compact"/>
            </w:pPr>
            <w:r>
              <w:rPr>
                <w:sz w:val="17"/>
              </w:rPr>
              <w:t xml:space="preserve">Décisions humaines</w:t>
            </w:r>
          </w:p>
        </w:tc>
        <w:tc>
          <w:tcPr/>
          <w:p>
            <w:pPr>
              <w:pStyle w:val="Compact"/>
            </w:pPr>
            <w:r>
              <w:rPr>
                <w:sz w:val="17"/>
              </w:rPr>
              <w:t xml:space="preserve">C</w:t>
            </w:r>
          </w:p>
        </w:tc>
        <w:tc>
          <w:tcPr/>
          <w:p>
            <w:pPr>
              <w:pStyle w:val="Compact"/>
            </w:pPr>
            <w:r>
              <w:rPr>
                <w:sz w:val="17"/>
              </w:rPr>
              <w:t xml:space="preserve">A : note de version candidate</w:t>
            </w:r>
          </w:p>
        </w:tc>
        <w:tc>
          <w:tcPr/>
          <w:p>
            <w:pPr>
              <w:pStyle w:val="Compact"/>
            </w:pPr>
            <w:r>
              <w:rPr>
                <w:sz w:val="17"/>
              </w:rPr>
              <w:t xml:space="preserve">R29 + comité des modèles</w:t>
            </w:r>
          </w:p>
        </w:tc>
      </w:tr>
      <w:tr>
        <w:tc>
          <w:tcPr>
            <w:shd w:val="clear" w:color="auto" w:fill="F5F7FB"/>
          </w:tcPr>
          <w:p>
            <w:pPr>
              <w:pStyle w:val="Compact"/>
            </w:pPr>
            <w:r>
              <w:rPr>
                <w:sz w:val="17"/>
              </w:rPr>
              <w:t xml:space="preserve">Communication</w:t>
            </w:r>
          </w:p>
        </w:tc>
        <w:tc>
          <w:tcPr>
            <w:shd w:val="clear" w:color="auto" w:fill="F5F7FB"/>
          </w:tcPr>
          <w:p>
            <w:pPr>
              <w:pStyle w:val="Compact"/>
            </w:pPr>
            <w:r>
              <w:rPr>
                <w:sz w:val="17"/>
              </w:rPr>
              <w:t xml:space="preserve">Communications, obligations</w:t>
            </w:r>
          </w:p>
        </w:tc>
        <w:tc>
          <w:tcPr>
            <w:shd w:val="clear" w:color="auto" w:fill="F5F7FB"/>
          </w:tcPr>
          <w:p>
            <w:pPr>
              <w:pStyle w:val="Compact"/>
            </w:pPr>
            <w:r>
              <w:rPr>
                <w:sz w:val="17"/>
              </w:rPr>
              <w:t xml:space="preserve">B</w:t>
            </w:r>
          </w:p>
        </w:tc>
        <w:tc>
          <w:tcPr>
            <w:shd w:val="clear" w:color="auto" w:fill="F5F7FB"/>
          </w:tcPr>
          <w:p>
            <w:pPr>
              <w:pStyle w:val="Compact"/>
            </w:pPr>
            <w:r>
              <w:rPr>
                <w:sz w:val="17"/>
              </w:rPr>
              <w:t xml:space="preserve">A : note ; B : relance n° 1</w:t>
            </w:r>
          </w:p>
        </w:tc>
        <w:tc>
          <w:tcPr>
            <w:shd w:val="clear" w:color="auto" w:fill="F5F7FB"/>
          </w:tcPr>
          <w:p>
            <w:pPr>
              <w:pStyle w:val="Compact"/>
            </w:pPr>
            <w:r>
              <w:rPr>
                <w:sz w:val="17"/>
              </w:rPr>
              <w:t xml:space="preserve">R06, R07, R08</w:t>
            </w:r>
          </w:p>
        </w:tc>
      </w:tr>
    </w:tbl>
    <w:bookmarkEnd w:id="628"/>
    <w:bookmarkEnd w:id="629"/>
    <w:bookmarkStart w:id="630" w:name="X5015b7541219a278150b945d0feeaf51ae3aade"/>
    <w:p>
      <w:pPr>
        <w:pStyle w:val="Heading2"/>
      </w:pPr>
      <w:r>
        <w:t xml:space="preserve">I.14 Preuves sur tous les canaux : compte à rebours 50 % / 1 %, WhatsApp, SMS, version légère, papier</w:t>
      </w:r>
    </w:p>
    <w:p>
      <w:pPr>
        <w:pStyle w:val="FirstParagraph"/>
      </w:pPr>
      <w:r>
        <w:t xml:space="preserve">Tout le monde n’a pas un téléphone Android ou iOS. Le module d’extension</w:t>
      </w:r>
      <w:r>
        <w:t xml:space="preserve"> </w:t>
      </w:r>
      <w:r>
        <w:rPr>
          <w:rStyle w:val="VerbatimChar"/>
        </w:rPr>
        <w:t xml:space="preserve">preuves</w:t>
      </w:r>
      <w:r>
        <w:t xml:space="preserve"> </w:t>
      </w:r>
      <w:r>
        <w:t xml:space="preserve">rend</w:t>
      </w:r>
      <w:r>
        <w:t xml:space="preserve"> </w:t>
      </w:r>
      <w:r>
        <w:rPr>
          <w:b/>
          <w:bCs/>
        </w:rPr>
        <w:t xml:space="preserve">chaque preuve vérifiable par son code, sur tous les canaux</w:t>
      </w:r>
      <w:r>
        <w:t xml:space="preserve">, avec la même réponse :</w:t>
      </w:r>
    </w:p>
    <w:p>
      <w:pPr>
        <w:pStyle w:val="Compact"/>
        <w:numPr>
          <w:ilvl w:val="0"/>
          <w:numId w:val="1037"/>
        </w:numPr>
      </w:pPr>
      <w:r>
        <w:rPr>
          <w:b/>
          <w:bCs/>
        </w:rPr>
        <w:t xml:space="preserve">Application</w:t>
      </w:r>
      <w:r>
        <w:t xml:space="preserve"> </w:t>
      </w:r>
      <w:r>
        <w:t xml:space="preserve">: page « Vérifier une preuve » (</w:t>
      </w:r>
      <w:r>
        <w:rPr>
          <w:rStyle w:val="VerbatimChar"/>
        </w:rPr>
        <w:t xml:space="preserve">/preuve</w:t>
      </w:r>
      <w:r>
        <w:t xml:space="preserve">).</w:t>
      </w:r>
    </w:p>
    <w:p>
      <w:pPr>
        <w:pStyle w:val="Compact"/>
        <w:numPr>
          <w:ilvl w:val="0"/>
          <w:numId w:val="1037"/>
        </w:numPr>
      </w:pPr>
      <w:r>
        <w:rPr>
          <w:b/>
          <w:bCs/>
        </w:rPr>
        <w:t xml:space="preserve">WhatsApp</w:t>
      </w:r>
      <w:r>
        <w:t xml:space="preserve"> </w:t>
      </w:r>
      <w:r>
        <w:t xml:space="preserve">: assistant officiel (compte certifié).</w:t>
      </w:r>
    </w:p>
    <w:p>
      <w:pPr>
        <w:pStyle w:val="Compact"/>
        <w:numPr>
          <w:ilvl w:val="0"/>
          <w:numId w:val="1037"/>
        </w:numPr>
      </w:pPr>
      <w:r>
        <w:rPr>
          <w:b/>
          <w:bCs/>
        </w:rPr>
        <w:t xml:space="preserve">SMS</w:t>
      </w:r>
      <w:r>
        <w:t xml:space="preserve"> </w:t>
      </w:r>
      <w:r>
        <w:t xml:space="preserve">: « V + code », depuis n’importe quel téléphone.</w:t>
      </w:r>
    </w:p>
    <w:p>
      <w:pPr>
        <w:pStyle w:val="Compact"/>
        <w:numPr>
          <w:ilvl w:val="0"/>
          <w:numId w:val="1037"/>
        </w:numPr>
      </w:pPr>
      <w:r>
        <w:rPr>
          <w:b/>
          <w:bCs/>
        </w:rPr>
        <w:t xml:space="preserve">USSD et serveur vocal</w:t>
      </w:r>
      <w:r>
        <w:t xml:space="preserve"> </w:t>
      </w:r>
      <w:r>
        <w:t xml:space="preserve">: l’option 3 vérifie désormais tout code.</w:t>
      </w:r>
    </w:p>
    <w:p>
      <w:pPr>
        <w:pStyle w:val="Compact"/>
        <w:numPr>
          <w:ilvl w:val="0"/>
          <w:numId w:val="1037"/>
        </w:numPr>
      </w:pPr>
      <w:r>
        <w:rPr>
          <w:b/>
          <w:bCs/>
        </w:rPr>
        <w:t xml:space="preserve">Pages légères sans JavaScript</w:t>
      </w:r>
      <w:r>
        <w:t xml:space="preserve"> </w:t>
      </w:r>
      <w:r>
        <w:t xml:space="preserve">(</w:t>
      </w:r>
      <w:r>
        <w:rPr>
          <w:rStyle w:val="VerbatimChar"/>
        </w:rPr>
        <w:t xml:space="preserve">/l</w:t>
      </w:r>
      <w:r>
        <w:t xml:space="preserve">) : pour KaiOS, Opera Mini et la 2G.</w:t>
      </w:r>
    </w:p>
    <w:p>
      <w:pPr>
        <w:pStyle w:val="Compact"/>
        <w:numPr>
          <w:ilvl w:val="0"/>
          <w:numId w:val="1037"/>
        </w:numPr>
      </w:pPr>
      <w:r>
        <w:rPr>
          <w:b/>
          <w:bCs/>
        </w:rPr>
        <w:t xml:space="preserve">Papier imprimé</w:t>
      </w:r>
      <w:r>
        <w:t xml:space="preserve"> </w:t>
      </w:r>
      <w:r>
        <w:t xml:space="preserve">: aux couleurs de la Ville.</w:t>
      </w:r>
    </w:p>
    <w:p>
      <w:pPr>
        <w:pStyle w:val="FirstParagraph"/>
      </w:pPr>
      <w:r>
        <w:t xml:space="preserve">Les preuves couvertes sont :</w:t>
      </w:r>
      <w:r>
        <w:t xml:space="preserve"> </w:t>
      </w:r>
      <w:r>
        <w:t xml:space="preserve">- tickets et places de stationnement (code aléatoire</w:t>
      </w:r>
      <w:r>
        <w:t xml:space="preserve"> </w:t>
      </w:r>
      <w:r>
        <w:rPr>
          <w:rStyle w:val="VerbatimChar"/>
        </w:rPr>
        <w:t xml:space="preserve">PKT…</w:t>
      </w:r>
      <w:r>
        <w:t xml:space="preserve">, non séquentiel) ;</w:t>
      </w:r>
      <w:r>
        <w:t xml:space="preserve"> </w:t>
      </w:r>
      <w:r>
        <w:t xml:space="preserve">- places d’étal au marché ;</w:t>
      </w:r>
      <w:r>
        <w:t xml:space="preserve"> </w:t>
      </w:r>
      <w:r>
        <w:t xml:space="preserve">- pass wewa et tickets RakaPay ;</w:t>
      </w:r>
      <w:r>
        <w:t xml:space="preserve"> </w:t>
      </w:r>
      <w:r>
        <w:t xml:space="preserve">- certificats et autorisations des verticales ;</w:t>
      </w:r>
      <w:r>
        <w:t xml:space="preserve"> </w:t>
      </w:r>
      <w:r>
        <w:t xml:space="preserve">- supports publicitaires ;</w:t>
      </w:r>
      <w:r>
        <w:t xml:space="preserve"> </w:t>
      </w:r>
      <w:r>
        <w:t xml:space="preserve">- quitus et attestations de bail ;</w:t>
      </w:r>
      <w:r>
        <w:t xml:space="preserve"> </w:t>
      </w:r>
      <w:r>
        <w:t xml:space="preserve">- badges d’agents ;</w:t>
      </w:r>
      <w:r>
        <w:t xml:space="preserve"> </w:t>
      </w:r>
      <w:r>
        <w:t xml:space="preserve">- quittances, reçus de points agréés et cartes MOSOLO ;</w:t>
      </w:r>
      <w:r>
        <w:t xml:space="preserve"> </w:t>
      </w:r>
      <w:r>
        <w:t xml:space="preserve">- plaques.</w:t>
      </w:r>
    </w:p>
    <w:p>
      <w:pPr>
        <w:pStyle w:val="BodyText"/>
      </w:pPr>
      <w:r>
        <w:rPr>
          <w:b/>
          <w:bCs/>
        </w:rPr>
        <w:t xml:space="preserve">Règle de couleur unique (décision du maître d’ouvrage).</w:t>
      </w:r>
      <w:r>
        <w:t xml:space="preserve"> </w:t>
      </w:r>
      <w:r>
        <w:t xml:space="preserve">Toute preuve à durée limitée affiche un compte à rebours dont la couleur dépend de la part de validité restante :</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Part de validité restante</w:t>
            </w:r>
          </w:p>
        </w:tc>
        <w:tc>
          <w:tcPr>
            <w:shd w:val="clear" w:color="auto" w:fill="232C6B"/>
          </w:tcPr>
          <w:p>
            <w:pPr>
              <w:pStyle w:val="Compact"/>
            </w:pPr>
            <w:r>
              <w:rPr>
                <w:b/>
                <w:color w:val="FFFFFF"/>
                <w:sz w:val="17"/>
              </w:rPr>
              <w:t xml:space="preserve">Couleur</w:t>
            </w:r>
          </w:p>
        </w:tc>
        <w:tc>
          <w:tcPr>
            <w:shd w:val="clear" w:color="auto" w:fill="232C6B"/>
          </w:tcPr>
          <w:p>
            <w:pPr>
              <w:pStyle w:val="Compact"/>
            </w:pPr>
            <w:r>
              <w:rPr>
                <w:b/>
                <w:color w:val="FFFFFF"/>
                <w:sz w:val="17"/>
              </w:rPr>
              <w:t xml:space="preserve">Texte</w:t>
            </w:r>
          </w:p>
        </w:tc>
        <w:tc>
          <w:tcPr>
            <w:shd w:val="clear" w:color="auto" w:fill="232C6B"/>
          </w:tcPr>
          <w:p>
            <w:pPr>
              <w:pStyle w:val="Compact"/>
            </w:pPr>
            <w:r>
              <w:rPr>
                <w:b/>
                <w:color w:val="FFFFFF"/>
                <w:sz w:val="17"/>
              </w:rPr>
              <w:t xml:space="preserve">Au contrôle</w:t>
            </w:r>
          </w:p>
        </w:tc>
      </w:tr>
      <w:tr>
        <w:tc>
          <w:tcPr/>
          <w:p>
            <w:pPr>
              <w:pStyle w:val="Compact"/>
            </w:pPr>
            <w:r>
              <w:rPr>
                <w:sz w:val="17"/>
              </w:rPr>
              <w:t xml:space="preserve">50 % ou plus</w:t>
            </w:r>
          </w:p>
        </w:tc>
        <w:tc>
          <w:tcPr/>
          <w:p>
            <w:pPr>
              <w:pStyle w:val="Compact"/>
            </w:pPr>
            <w:r>
              <w:rPr>
                <w:sz w:val="17"/>
              </w:rPr>
              <w:t xml:space="preserve">Vert</w:t>
            </w:r>
          </w:p>
        </w:tc>
        <w:tc>
          <w:tcPr/>
          <w:p>
            <w:pPr>
              <w:pStyle w:val="Compact"/>
            </w:pPr>
            <w:r>
              <w:rPr>
                <w:sz w:val="17"/>
              </w:rPr>
              <w:t xml:space="preserve">✓ VALIDE — encore …</w:t>
            </w:r>
          </w:p>
        </w:tc>
        <w:tc>
          <w:tcPr/>
          <w:p>
            <w:pPr>
              <w:pStyle w:val="Compact"/>
            </w:pPr>
            <w:r>
              <w:rPr>
                <w:sz w:val="17"/>
              </w:rPr>
              <w:t xml:space="preserve">Valable</w:t>
            </w:r>
          </w:p>
        </w:tc>
      </w:tr>
      <w:tr>
        <w:tc>
          <w:tcPr>
            <w:shd w:val="clear" w:color="auto" w:fill="F5F7FB"/>
          </w:tcPr>
          <w:p>
            <w:pPr>
              <w:pStyle w:val="Compact"/>
            </w:pPr>
            <w:r>
              <w:rPr>
                <w:sz w:val="17"/>
              </w:rPr>
              <w:t xml:space="preserve">De 1 % à moins de 50 %</w:t>
            </w:r>
          </w:p>
        </w:tc>
        <w:tc>
          <w:tcPr>
            <w:shd w:val="clear" w:color="auto" w:fill="F5F7FB"/>
          </w:tcPr>
          <w:p>
            <w:pPr>
              <w:pStyle w:val="Compact"/>
            </w:pPr>
            <w:r>
              <w:rPr>
                <w:sz w:val="17"/>
              </w:rPr>
              <w:t xml:space="preserve">Ambre (orange)</w:t>
            </w:r>
          </w:p>
        </w:tc>
        <w:tc>
          <w:tcPr>
            <w:shd w:val="clear" w:color="auto" w:fill="F5F7FB"/>
          </w:tcPr>
          <w:p>
            <w:pPr>
              <w:pStyle w:val="Compact"/>
            </w:pPr>
            <w:r>
              <w:rPr>
                <w:sz w:val="17"/>
              </w:rPr>
              <w:t xml:space="preserve">⚠ VALIDE — expire dans …</w:t>
            </w:r>
          </w:p>
        </w:tc>
        <w:tc>
          <w:tcPr>
            <w:shd w:val="clear" w:color="auto" w:fill="F5F7FB"/>
          </w:tcPr>
          <w:p>
            <w:pPr>
              <w:pStyle w:val="Compact"/>
            </w:pPr>
            <w:r>
              <w:rPr>
                <w:sz w:val="17"/>
              </w:rPr>
              <w:t xml:space="preserve">Valable</w:t>
            </w:r>
          </w:p>
        </w:tc>
      </w:tr>
      <w:tr>
        <w:tc>
          <w:tcPr/>
          <w:p>
            <w:pPr>
              <w:pStyle w:val="Compact"/>
            </w:pPr>
            <w:r>
              <w:rPr>
                <w:sz w:val="17"/>
              </w:rPr>
              <w:t xml:space="preserve">Moins de 1 %</w:t>
            </w:r>
          </w:p>
        </w:tc>
        <w:tc>
          <w:tcPr/>
          <w:p>
            <w:pPr>
              <w:pStyle w:val="Compact"/>
            </w:pPr>
            <w:r>
              <w:rPr>
                <w:sz w:val="17"/>
              </w:rPr>
              <w:t xml:space="preserve">Rouge</w:t>
            </w:r>
          </w:p>
        </w:tc>
        <w:tc>
          <w:tcPr/>
          <w:p>
            <w:pPr>
              <w:pStyle w:val="Compact"/>
            </w:pPr>
            <w:r>
              <w:rPr>
                <w:sz w:val="17"/>
              </w:rPr>
              <w:t xml:space="preserve">⚠ VALIDE — EXPIRE DANS …</w:t>
            </w:r>
          </w:p>
        </w:tc>
        <w:tc>
          <w:tcPr/>
          <w:p>
            <w:pPr>
              <w:pStyle w:val="Compact"/>
            </w:pPr>
            <w:r>
              <w:rPr>
                <w:b/>
                <w:bCs/>
                <w:sz w:val="17"/>
              </w:rPr>
              <w:t xml:space="preserve">Valable</w:t>
            </w:r>
            <w:r>
              <w:rPr>
                <w:sz w:val="17"/>
              </w:rPr>
              <w:t xml:space="preserve"> </w:t>
            </w:r>
            <w:r>
              <w:rPr>
                <w:sz w:val="17"/>
              </w:rPr>
              <w:t xml:space="preserve">(à renouveler)</w:t>
            </w:r>
          </w:p>
        </w:tc>
      </w:tr>
      <w:tr>
        <w:tc>
          <w:tcPr>
            <w:shd w:val="clear" w:color="auto" w:fill="F5F7FB"/>
          </w:tcPr>
          <w:p>
            <w:pPr>
              <w:pStyle w:val="Compact"/>
            </w:pPr>
            <w:r>
              <w:rPr>
                <w:sz w:val="17"/>
              </w:rPr>
              <w:t xml:space="preserve">0 %</w:t>
            </w:r>
          </w:p>
        </w:tc>
        <w:tc>
          <w:tcPr>
            <w:shd w:val="clear" w:color="auto" w:fill="F5F7FB"/>
          </w:tcPr>
          <w:p>
            <w:pPr>
              <w:pStyle w:val="Compact"/>
            </w:pPr>
            <w:r>
              <w:rPr>
                <w:sz w:val="17"/>
              </w:rPr>
              <w:t xml:space="preserve">Rouge</w:t>
            </w:r>
          </w:p>
        </w:tc>
        <w:tc>
          <w:tcPr>
            <w:shd w:val="clear" w:color="auto" w:fill="F5F7FB"/>
          </w:tcPr>
          <w:p>
            <w:pPr>
              <w:pStyle w:val="Compact"/>
            </w:pPr>
            <w:r>
              <w:rPr>
                <w:sz w:val="17"/>
              </w:rPr>
              <w:t xml:space="preserve">✗ EXPIRÉ DEPUIS …</w:t>
            </w:r>
          </w:p>
        </w:tc>
        <w:tc>
          <w:tcPr>
            <w:shd w:val="clear" w:color="auto" w:fill="F5F7FB"/>
          </w:tcPr>
          <w:p>
            <w:pPr>
              <w:pStyle w:val="Compact"/>
            </w:pPr>
            <w:r>
              <w:rPr>
                <w:sz w:val="17"/>
              </w:rPr>
              <w:t xml:space="preserve">Non valable</w:t>
            </w:r>
          </w:p>
        </w:tc>
      </w:tr>
      <w:tr>
        <w:tc>
          <w:tcPr/>
          <w:p>
            <w:pPr>
              <w:pStyle w:val="Compact"/>
            </w:pPr>
            <w:r>
              <w:rPr>
                <w:sz w:val="17"/>
              </w:rPr>
              <w:t xml:space="preserve">Avant le début</w:t>
            </w:r>
          </w:p>
        </w:tc>
        <w:tc>
          <w:tcPr/>
          <w:p>
            <w:pPr>
              <w:pStyle w:val="Compact"/>
            </w:pPr>
            <w:r>
              <w:rPr>
                <w:sz w:val="17"/>
              </w:rPr>
              <w:t xml:space="preserve">Gris</w:t>
            </w:r>
          </w:p>
        </w:tc>
        <w:tc>
          <w:tcPr/>
          <w:p>
            <w:pPr>
              <w:pStyle w:val="Compact"/>
            </w:pPr>
            <w:r>
              <w:rPr>
                <w:sz w:val="17"/>
              </w:rPr>
              <w:t xml:space="preserve">PAS ENCORE ACTIF</w:t>
            </w:r>
          </w:p>
        </w:tc>
        <w:tc>
          <w:tcPr/>
          <w:p>
            <w:pPr>
              <w:pStyle w:val="Compact"/>
            </w:pPr>
            <w:r>
              <w:rPr>
                <w:sz w:val="17"/>
              </w:rPr>
              <w:t xml:space="preserve">Non valable</w:t>
            </w:r>
          </w:p>
        </w:tc>
      </w:tr>
    </w:tbl>
    <w:p>
      <w:pPr>
        <w:pStyle w:val="BodyText"/>
      </w:pPr>
      <w:r>
        <w:t xml:space="preserve">Cette règle remplace les seuils ambre fixés en durée de l’Annexe H (§ H.11.4) et les seuils propres à chaque module. Elle est calculée en un seul endroit (</w:t>
      </w:r>
      <w:r>
        <w:rPr>
          <w:rStyle w:val="VerbatimChar"/>
        </w:rPr>
        <w:t xml:space="preserve">shared/validity.ts</w:t>
      </w:r>
      <w:r>
        <w:t xml:space="preserve">), côté serveur comme côté client. La couleur n’est jamais seule : icône, texte, barre de progression graduée à 50 % et 1 %, et pourcentage l’accompagnent.</w:t>
      </w:r>
    </w:p>
    <w:p>
      <w:pPr>
        <w:pStyle w:val="BodyText"/>
      </w:pPr>
      <w:r>
        <w:t xml:space="preserve">L’heure de référence est</w:t>
      </w:r>
      <w:r>
        <w:t xml:space="preserve"> </w:t>
      </w:r>
      <w:r>
        <w:rPr>
          <w:b/>
          <w:bCs/>
        </w:rPr>
        <w:t xml:space="preserve">celle du serveur</w:t>
      </w:r>
      <w:r>
        <w:t xml:space="preserve">. Chaque réponse porte l’en-tête</w:t>
      </w:r>
      <w:r>
        <w:t xml:space="preserve"> </w:t>
      </w:r>
      <w:r>
        <w:rPr>
          <w:rStyle w:val="VerbatimChar"/>
        </w:rPr>
        <w:t xml:space="preserve">x-mosolo-server-time</w:t>
      </w:r>
      <w:r>
        <w:t xml:space="preserve"> </w:t>
      </w:r>
      <w:r>
        <w:t xml:space="preserve">: changer l’heure du téléphone ne change rien. Le rouge sous 1 % n’est</w:t>
      </w:r>
      <w:r>
        <w:t xml:space="preserve"> </w:t>
      </w:r>
      <w:r>
        <w:rPr>
          <w:b/>
          <w:bCs/>
        </w:rPr>
        <w:t xml:space="preserve">pas</w:t>
      </w:r>
      <w:r>
        <w:t xml:space="preserve"> </w:t>
      </w:r>
      <w:r>
        <w:t xml:space="preserve">une infraction. Le résultat du contrôle reste « VALIDE », et le feu de contrôle du stationnement reste distinct de la couleur d’affichage : aucun constat n’est possible sur un titre encore valable.</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1980"/>
        <w:gridCol w:w="1980"/>
        <w:gridCol w:w="1980"/>
        <w:gridCol w:w="1980"/>
      </w:tblGrid>
      <w:tr>
        <w:trPr>
          <w:tblHeader w:val="on"/>
        </w:trPr>
        <w:tc>
          <w:tcPr>
            <w:shd w:val="clear" w:color="auto" w:fill="232C6B"/>
          </w:tcPr>
          <w:p>
            <w:pPr>
              <w:pStyle w:val="Compact"/>
            </w:pPr>
            <w:r>
              <w:rPr>
                <w:b/>
                <w:color w:val="FFFFFF"/>
                <w:sz w:val="17"/>
              </w:rPr>
              <w:t xml:space="preserve">Canal</w:t>
            </w:r>
          </w:p>
        </w:tc>
        <w:tc>
          <w:tcPr>
            <w:shd w:val="clear" w:color="auto" w:fill="232C6B"/>
          </w:tcPr>
          <w:p>
            <w:pPr>
              <w:pStyle w:val="Compact"/>
            </w:pPr>
            <w:r>
              <w:rPr>
                <w:b/>
                <w:color w:val="FFFFFF"/>
                <w:sz w:val="17"/>
              </w:rPr>
              <w:t xml:space="preserve">Pour qui</w:t>
            </w:r>
          </w:p>
        </w:tc>
        <w:tc>
          <w:tcPr>
            <w:shd w:val="clear" w:color="auto" w:fill="232C6B"/>
          </w:tcPr>
          <w:p>
            <w:pPr>
              <w:pStyle w:val="Compact"/>
            </w:pPr>
            <w:r>
              <w:rPr>
                <w:b/>
                <w:color w:val="FFFFFF"/>
                <w:sz w:val="17"/>
              </w:rPr>
              <w:t xml:space="preserve">Ce qu’il fait</w:t>
            </w:r>
          </w:p>
        </w:tc>
        <w:tc>
          <w:tcPr>
            <w:shd w:val="clear" w:color="auto" w:fill="232C6B"/>
          </w:tcPr>
          <w:p>
            <w:pPr>
              <w:pStyle w:val="Compact"/>
            </w:pPr>
            <w:r>
              <w:rPr>
                <w:b/>
                <w:color w:val="FFFFFF"/>
                <w:sz w:val="17"/>
              </w:rPr>
              <w:t xml:space="preserve">Garde-fous</w:t>
            </w:r>
          </w:p>
        </w:tc>
      </w:tr>
      <w:tr>
        <w:tc>
          <w:tcPr/>
          <w:p>
            <w:pPr>
              <w:pStyle w:val="Compact"/>
            </w:pPr>
            <w:r>
              <w:rPr>
                <w:sz w:val="17"/>
              </w:rPr>
              <w:t xml:space="preserve">Application,</w:t>
            </w:r>
            <w:r>
              <w:rPr>
                <w:sz w:val="17"/>
              </w:rPr>
              <w:t xml:space="preserve"> </w:t>
            </w:r>
            <w:r>
              <w:rPr>
                <w:rStyle w:val="VerbatimChar"/>
                <w:sz w:val="17"/>
              </w:rPr>
              <w:t xml:space="preserve">/preuve</w:t>
            </w:r>
          </w:p>
        </w:tc>
        <w:tc>
          <w:tcPr/>
          <w:p>
            <w:pPr>
              <w:pStyle w:val="Compact"/>
            </w:pPr>
            <w:r>
              <w:rPr>
                <w:sz w:val="17"/>
              </w:rPr>
              <w:t xml:space="preserve">Smartphone</w:t>
            </w:r>
          </w:p>
        </w:tc>
        <w:tc>
          <w:tcPr/>
          <w:p>
            <w:pPr>
              <w:pStyle w:val="Compact"/>
            </w:pPr>
            <w:r>
              <w:rPr>
                <w:sz w:val="17"/>
              </w:rPr>
              <w:t xml:space="preserve">Vérifier tout code ou QR, compte à rebours en direct, « comment lire la couleur »</w:t>
            </w:r>
          </w:p>
        </w:tc>
        <w:tc>
          <w:tcPr/>
          <w:p>
            <w:pPr>
              <w:pStyle w:val="Compact"/>
            </w:pPr>
            <w:r>
              <w:rPr>
                <w:sz w:val="17"/>
              </w:rPr>
              <w:t xml:space="preserve">Réponse minimale : ni nom, ni adresse ; plaque masquée (KN-00••-DM)</w:t>
            </w:r>
          </w:p>
        </w:tc>
      </w:tr>
      <w:tr>
        <w:tc>
          <w:tcPr>
            <w:shd w:val="clear" w:color="auto" w:fill="F5F7FB"/>
          </w:tcPr>
          <w:p>
            <w:pPr>
              <w:pStyle w:val="Compact"/>
            </w:pPr>
            <w:r>
              <w:rPr>
                <w:sz w:val="17"/>
              </w:rPr>
              <w:t xml:space="preserve">WhatsApp (assistant officiel)</w:t>
            </w:r>
          </w:p>
        </w:tc>
        <w:tc>
          <w:tcPr>
            <w:shd w:val="clear" w:color="auto" w:fill="F5F7FB"/>
          </w:tcPr>
          <w:p>
            <w:pPr>
              <w:pStyle w:val="Compact"/>
            </w:pPr>
            <w:r>
              <w:rPr>
                <w:sz w:val="17"/>
              </w:rPr>
              <w:t xml:space="preserve">Habitants avec WhatsApp, sans l’application</w:t>
            </w:r>
          </w:p>
        </w:tc>
        <w:tc>
          <w:tcPr>
            <w:shd w:val="clear" w:color="auto" w:fill="F5F7FB"/>
          </w:tcPr>
          <w:p>
            <w:pPr>
              <w:pStyle w:val="Compact"/>
            </w:pPr>
            <w:r>
              <w:rPr>
                <w:sz w:val="17"/>
              </w:rPr>
              <w:t xml:space="preserve">Vérifier un code ; où payer ; comment payer ; rappels ; signaler un faux agent ; français et lingala</w:t>
            </w:r>
          </w:p>
        </w:tc>
        <w:tc>
          <w:tcPr>
            <w:shd w:val="clear" w:color="auto" w:fill="F5F7FB"/>
          </w:tcPr>
          <w:p>
            <w:pPr>
              <w:pStyle w:val="Compact"/>
            </w:pPr>
            <w:r>
              <w:rPr>
                <w:b/>
                <w:bCs/>
                <w:sz w:val="17"/>
              </w:rPr>
              <w:t xml:space="preserve">Consentement explicite</w:t>
            </w:r>
            <w:r>
              <w:rPr>
                <w:sz w:val="17"/>
              </w:rPr>
              <w:t xml:space="preserve"> </w:t>
            </w:r>
            <w:r>
              <w:rPr>
                <w:sz w:val="17"/>
              </w:rPr>
              <w:t xml:space="preserve">(« OUI ») avant tout contenu ; « STOP » le retire.</w:t>
            </w:r>
            <w:r>
              <w:rPr>
                <w:sz w:val="17"/>
              </w:rPr>
              <w:t xml:space="preserve"> </w:t>
            </w:r>
            <w:r>
              <w:rPr>
                <w:b/>
                <w:bCs/>
                <w:sz w:val="17"/>
              </w:rPr>
              <w:t xml:space="preserve">Aucun lien de paiement</w:t>
            </w:r>
            <w:r>
              <w:rPr>
                <w:sz w:val="17"/>
              </w:rPr>
              <w:t xml:space="preserve"> </w:t>
            </w:r>
            <w:r>
              <w:rPr>
                <w:sz w:val="17"/>
              </w:rPr>
              <w:t xml:space="preserve">(tout lien est retiré, ARB-64).</w:t>
            </w:r>
            <w:r>
              <w:rPr>
                <w:sz w:val="17"/>
              </w:rPr>
              <w:t xml:space="preserve"> </w:t>
            </w:r>
            <w:r>
              <w:rPr>
                <w:b/>
                <w:bCs/>
                <w:sz w:val="17"/>
              </w:rPr>
              <w:t xml:space="preserve">Aucun montant</w:t>
            </w:r>
            <w:r>
              <w:rPr>
                <w:sz w:val="17"/>
              </w:rPr>
              <w:t xml:space="preserve"> </w:t>
            </w:r>
            <w:r>
              <w:rPr>
                <w:sz w:val="17"/>
              </w:rPr>
              <w:t xml:space="preserve">nominatif. Webhook signé</w:t>
            </w:r>
            <w:r>
              <w:rPr>
                <w:sz w:val="17"/>
              </w:rPr>
              <w:t xml:space="preserve"> </w:t>
            </w:r>
            <w:r>
              <w:rPr>
                <w:rStyle w:val="VerbatimChar"/>
                <w:sz w:val="17"/>
              </w:rPr>
              <w:t xml:space="preserve">x-hub-signature-256</w:t>
            </w:r>
          </w:p>
        </w:tc>
      </w:tr>
      <w:tr>
        <w:tc>
          <w:tcPr/>
          <w:p>
            <w:pPr>
              <w:pStyle w:val="Compact"/>
            </w:pPr>
            <w:r>
              <w:rPr>
                <w:sz w:val="17"/>
              </w:rPr>
              <w:t xml:space="preserve">SMS « V code », « POINTS commune », « SIGNAL … »</w:t>
            </w:r>
          </w:p>
        </w:tc>
        <w:tc>
          <w:tcPr/>
          <w:p>
            <w:pPr>
              <w:pStyle w:val="Compact"/>
            </w:pPr>
            <w:r>
              <w:rPr>
                <w:sz w:val="17"/>
              </w:rPr>
              <w:t xml:space="preserve">Tout téléphone, sans Internet</w:t>
            </w:r>
          </w:p>
        </w:tc>
        <w:tc>
          <w:tcPr/>
          <w:p>
            <w:pPr>
              <w:pStyle w:val="Compact"/>
            </w:pPr>
            <w:r>
              <w:rPr>
                <w:sz w:val="17"/>
              </w:rPr>
              <w:t xml:space="preserve">Réponse de 320 caractères au plus, sans accents (GSM-7) : couleur, temps restant, fin de validité</w:t>
            </w:r>
          </w:p>
        </w:tc>
        <w:tc>
          <w:tcPr/>
          <w:p>
            <w:pPr>
              <w:pStyle w:val="Compact"/>
            </w:pPr>
            <w:r>
              <w:rPr>
                <w:sz w:val="17"/>
              </w:rPr>
              <w:t xml:space="preserve">Passerelle signée HMAC (</w:t>
            </w:r>
            <w:r>
              <w:rPr>
                <w:rStyle w:val="VerbatimChar"/>
                <w:sz w:val="17"/>
              </w:rPr>
              <w:t xml:space="preserve">x-mosolo-signature</w:t>
            </w:r>
            <w:r>
              <w:rPr>
                <w:sz w:val="17"/>
              </w:rPr>
              <w:t xml:space="preserve">) ; limiteur anti-énumération par numéro</w:t>
            </w:r>
          </w:p>
        </w:tc>
      </w:tr>
      <w:tr>
        <w:tc>
          <w:tcPr>
            <w:shd w:val="clear" w:color="auto" w:fill="F5F7FB"/>
          </w:tcPr>
          <w:p>
            <w:pPr>
              <w:pStyle w:val="Compact"/>
            </w:pPr>
            <w:r>
              <w:rPr>
                <w:sz w:val="17"/>
              </w:rPr>
              <w:t xml:space="preserve">USSD et serveur vocal (option 3)</w:t>
            </w:r>
          </w:p>
        </w:tc>
        <w:tc>
          <w:tcPr>
            <w:shd w:val="clear" w:color="auto" w:fill="F5F7FB"/>
          </w:tcPr>
          <w:p>
            <w:pPr>
              <w:pStyle w:val="Compact"/>
            </w:pPr>
            <w:r>
              <w:rPr>
                <w:sz w:val="17"/>
              </w:rPr>
              <w:t xml:space="preserve">Sans données mobiles</w:t>
            </w:r>
          </w:p>
        </w:tc>
        <w:tc>
          <w:tcPr>
            <w:shd w:val="clear" w:color="auto" w:fill="F5F7FB"/>
          </w:tcPr>
          <w:p>
            <w:pPr>
              <w:pStyle w:val="Compact"/>
            </w:pPr>
            <w:r>
              <w:rPr>
                <w:sz w:val="17"/>
              </w:rPr>
              <w:t xml:space="preserve">Tout code, même réponse</w:t>
            </w:r>
          </w:p>
        </w:tc>
        <w:tc>
          <w:tcPr>
            <w:shd w:val="clear" w:color="auto" w:fill="F5F7FB"/>
          </w:tcPr>
          <w:p>
            <w:pPr>
              <w:pStyle w:val="Compact"/>
            </w:pPr>
            <w:r>
              <w:rPr>
                <w:sz w:val="17"/>
              </w:rPr>
              <w:t xml:space="preserve">Existant (§ I.9), étendu au résolveur universel</w:t>
            </w:r>
          </w:p>
        </w:tc>
      </w:tr>
      <w:tr>
        <w:tc>
          <w:tcPr/>
          <w:p>
            <w:pPr>
              <w:pStyle w:val="Compact"/>
            </w:pPr>
            <w:r>
              <w:rPr>
                <w:sz w:val="17"/>
              </w:rPr>
              <w:t xml:space="preserve">Pages légères</w:t>
            </w:r>
            <w:r>
              <w:rPr>
                <w:sz w:val="17"/>
              </w:rPr>
              <w:t xml:space="preserve"> </w:t>
            </w:r>
            <w:r>
              <w:rPr>
                <w:rStyle w:val="VerbatimChar"/>
                <w:sz w:val="17"/>
              </w:rPr>
              <w:t xml:space="preserve">/l</w:t>
            </w:r>
          </w:p>
        </w:tc>
        <w:tc>
          <w:tcPr/>
          <w:p>
            <w:pPr>
              <w:pStyle w:val="Compact"/>
            </w:pPr>
            <w:r>
              <w:rPr>
                <w:sz w:val="17"/>
              </w:rPr>
              <w:t xml:space="preserve">KaiOS, Opera Mini, 2G/EDGE, forfaits de quelques Mo</w:t>
            </w:r>
          </w:p>
        </w:tc>
        <w:tc>
          <w:tcPr/>
          <w:p>
            <w:pPr>
              <w:pStyle w:val="Compact"/>
            </w:pPr>
            <w:r>
              <w:rPr>
                <w:sz w:val="17"/>
              </w:rPr>
              <w:t xml:space="preserve">Vérifier, où payer, comment payer, signaler (anonyme) ; version imprimable avec QR</w:t>
            </w:r>
          </w:p>
        </w:tc>
        <w:tc>
          <w:tcPr/>
          <w:p>
            <w:pPr>
              <w:pStyle w:val="Compact"/>
            </w:pPr>
            <w:r>
              <w:rPr>
                <w:b/>
                <w:bCs/>
                <w:sz w:val="17"/>
              </w:rPr>
              <w:t xml:space="preserve">Aucun JavaScript</w:t>
            </w:r>
            <w:r>
              <w:rPr>
                <w:sz w:val="17"/>
              </w:rPr>
              <w:t xml:space="preserve">, aucune police ni image externe, moins de 10 Ko par page, barre de validité en caractères (lisible sur écran monochrome)</w:t>
            </w:r>
          </w:p>
        </w:tc>
      </w:tr>
      <w:tr>
        <w:tc>
          <w:tcPr>
            <w:shd w:val="clear" w:color="auto" w:fill="F5F7FB"/>
          </w:tcPr>
          <w:p>
            <w:pPr>
              <w:pStyle w:val="Compact"/>
            </w:pPr>
            <w:r>
              <w:rPr>
                <w:sz w:val="17"/>
              </w:rPr>
              <w:t xml:space="preserve">Papier imprimé</w:t>
            </w:r>
          </w:p>
        </w:tc>
        <w:tc>
          <w:tcPr>
            <w:shd w:val="clear" w:color="auto" w:fill="F5F7FB"/>
          </w:tcPr>
          <w:p>
            <w:pPr>
              <w:pStyle w:val="Compact"/>
            </w:pPr>
            <w:r>
              <w:rPr>
                <w:sz w:val="17"/>
              </w:rPr>
              <w:t xml:space="preserve">Sans téléphone ; guichet, point agréé, affichage</w:t>
            </w:r>
          </w:p>
        </w:tc>
        <w:tc>
          <w:tcPr>
            <w:shd w:val="clear" w:color="auto" w:fill="F5F7FB"/>
          </w:tcPr>
          <w:p>
            <w:pPr>
              <w:pStyle w:val="Compact"/>
            </w:pPr>
            <w:r>
              <w:rPr>
                <w:sz w:val="17"/>
              </w:rPr>
              <w:t xml:space="preserve">A6 à afficher ; ticket thermique 80 mm ou 58 mm</w:t>
            </w:r>
          </w:p>
        </w:tc>
        <w:tc>
          <w:tcPr>
            <w:shd w:val="clear" w:color="auto" w:fill="F5F7FB"/>
          </w:tcPr>
          <w:p>
            <w:pPr>
              <w:pStyle w:val="Compact"/>
            </w:pPr>
            <w:r>
              <w:rPr>
                <w:sz w:val="17"/>
              </w:rPr>
              <w:t xml:space="preserve">Voir ci-dessous</w:t>
            </w:r>
          </w:p>
        </w:tc>
      </w:tr>
    </w:tbl>
    <w:p>
      <w:pPr>
        <w:pStyle w:val="BodyText"/>
      </w:pPr>
      <w:r>
        <w:t xml:space="preserve">La preuve imprimée est marquée et vérifiable :</w:t>
      </w:r>
      <w:r>
        <w:t xml:space="preserve"> </w:t>
      </w:r>
      <w:r>
        <w:t xml:space="preserve">-</w:t>
      </w:r>
      <w:r>
        <w:t xml:space="preserve"> </w:t>
      </w:r>
      <w:r>
        <w:rPr>
          <w:b/>
          <w:bCs/>
        </w:rPr>
        <w:t xml:space="preserve">Marquage</w:t>
      </w:r>
      <w:r>
        <w:t xml:space="preserve"> </w:t>
      </w:r>
      <w:r>
        <w:t xml:space="preserve">: logo officiel de la Ville inchangé, bandeau aux couleurs nationales, fond de sécurité (guilloche) et micro-texte du code.</w:t>
      </w:r>
      <w:r>
        <w:t xml:space="preserve"> </w:t>
      </w:r>
      <w:r>
        <w:t xml:space="preserve">-</w:t>
      </w:r>
      <w:r>
        <w:t xml:space="preserve"> </w:t>
      </w:r>
      <w:r>
        <w:rPr>
          <w:b/>
          <w:bCs/>
        </w:rPr>
        <w:t xml:space="preserve">Vérification</w:t>
      </w:r>
      <w:r>
        <w:t xml:space="preserve"> </w:t>
      </w:r>
      <w:r>
        <w:t xml:space="preserve">: QR vers la page de vérification (lisible par tout appareil photo et par le terminal de contrôle), code court et dates en gros caractères.</w:t>
      </w:r>
      <w:r>
        <w:t xml:space="preserve"> </w:t>
      </w:r>
      <w:r>
        <w:t xml:space="preserve">-</w:t>
      </w:r>
      <w:r>
        <w:t xml:space="preserve"> </w:t>
      </w:r>
      <w:r>
        <w:rPr>
          <w:b/>
          <w:bCs/>
        </w:rPr>
        <w:t xml:space="preserve">Échéancier des couleurs</w:t>
      </w:r>
      <w:r>
        <w:t xml:space="preserve"> </w:t>
      </w:r>
      <w:r>
        <w:t xml:space="preserve">: un papier ne peut pas décompter. Il porte donc les instants de passage : vert jusqu’au …, orange jusqu’au …, rouge jusqu’au …, puis expiré.</w:t>
      </w:r>
      <w:r>
        <w:t xml:space="preserve"> </w:t>
      </w:r>
      <w:r>
        <w:t xml:space="preserve">-</w:t>
      </w:r>
      <w:r>
        <w:t xml:space="preserve"> </w:t>
      </w:r>
      <w:r>
        <w:rPr>
          <w:b/>
          <w:bCs/>
        </w:rPr>
        <w:t xml:space="preserve">État et mentions</w:t>
      </w:r>
      <w:r>
        <w:t xml:space="preserve"> </w:t>
      </w:r>
      <w:r>
        <w:t xml:space="preserve">: état à l’impression, rappel « aucun agent ne reçoit d’espèces », et mention « DÉMONSTRATION — NON OPPOSABLE » tant que les actes ne sont pas pris.</w:t>
      </w:r>
      <w:r>
        <w:t xml:space="preserve"> </w:t>
      </w:r>
      <w:r>
        <w:t xml:space="preserve">-</w:t>
      </w:r>
      <w:r>
        <w:t xml:space="preserve"> </w:t>
      </w:r>
      <w:r>
        <w:rPr>
          <w:b/>
          <w:bCs/>
        </w:rPr>
        <w:t xml:space="preserve">Aucun nom ni montant</w:t>
      </w:r>
      <w:r>
        <w:t xml:space="preserve"> </w:t>
      </w:r>
      <w:r>
        <w:t xml:space="preserve">n’est imprimé.</w:t>
      </w:r>
      <w:r>
        <w:t xml:space="preserve"> </w:t>
      </w:r>
      <w:r>
        <w:rPr>
          <w:b/>
          <w:bCs/>
        </w:rPr>
        <w:t xml:space="preserve">Seule la vérification en ligne fait foi</w:t>
      </w:r>
      <w:r>
        <w:t xml:space="preserve"> </w:t>
      </w:r>
      <w:r>
        <w:t xml:space="preserve">: la photocopie d’un ticket expiré s’affiche EXPIRÉ.</w:t>
      </w:r>
    </w:p>
    <w:p>
      <w:pPr>
        <w:pStyle w:val="BodyText"/>
      </w:pPr>
      <w:r>
        <w:t xml:space="preserve">Routes :</w:t>
      </w:r>
      <w:r>
        <w:t xml:space="preserve"> </w:t>
      </w:r>
      <w:r>
        <w:t xml:space="preserve">-</w:t>
      </w:r>
      <w:r>
        <w:t xml:space="preserve"> </w:t>
      </w:r>
      <w:r>
        <w:rPr>
          <w:rStyle w:val="VerbatimChar"/>
        </w:rPr>
        <w:t xml:space="preserve">GET /v1/public/preuves/:code</w:t>
      </w:r>
      <w:r>
        <w:t xml:space="preserve"> </w:t>
      </w:r>
      <w:r>
        <w:t xml:space="preserve">;</w:t>
      </w:r>
      <w:r>
        <w:t xml:space="preserve"> </w:t>
      </w:r>
      <w:r>
        <w:t xml:space="preserve">-</w:t>
      </w:r>
      <w:r>
        <w:t xml:space="preserve"> </w:t>
      </w:r>
      <w:r>
        <w:rPr>
          <w:rStyle w:val="VerbatimChar"/>
        </w:rPr>
        <w:t xml:space="preserve">GET /v1/public/preuves?c=</w:t>
      </w:r>
      <w:r>
        <w:t xml:space="preserve"> </w:t>
      </w:r>
      <w:r>
        <w:t xml:space="preserve">(jetons longs) ;</w:t>
      </w:r>
      <w:r>
        <w:t xml:space="preserve"> </w:t>
      </w:r>
      <w:r>
        <w:t xml:space="preserve">-</w:t>
      </w:r>
      <w:r>
        <w:t xml:space="preserve"> </w:t>
      </w:r>
      <w:r>
        <w:rPr>
          <w:rStyle w:val="VerbatimChar"/>
        </w:rPr>
        <w:t xml:space="preserve">GET /v1/public/preuves/:code/impression</w:t>
      </w:r>
      <w:r>
        <w:t xml:space="preserve"> </w:t>
      </w:r>
      <w:r>
        <w:t xml:space="preserve">;</w:t>
      </w:r>
      <w:r>
        <w:t xml:space="preserve"> </w:t>
      </w:r>
      <w:r>
        <w:t xml:space="preserve">-</w:t>
      </w:r>
      <w:r>
        <w:t xml:space="preserve"> </w:t>
      </w:r>
      <w:r>
        <w:rPr>
          <w:rStyle w:val="VerbatimChar"/>
        </w:rPr>
        <w:t xml:space="preserve">POST /v1/sms/inbound</w:t>
      </w:r>
      <w:r>
        <w:t xml:space="preserve"> </w:t>
      </w:r>
      <w:r>
        <w:t xml:space="preserve">;</w:t>
      </w:r>
      <w:r>
        <w:t xml:space="preserve"> </w:t>
      </w:r>
      <w:r>
        <w:t xml:space="preserve">-</w:t>
      </w:r>
      <w:r>
        <w:t xml:space="preserve"> </w:t>
      </w:r>
      <w:r>
        <w:rPr>
          <w:rStyle w:val="VerbatimChar"/>
        </w:rPr>
        <w:t xml:space="preserve">GET|POST /v1/whatsapp/webhook</w:t>
      </w:r>
      <w:r>
        <w:t xml:space="preserve"> </w:t>
      </w:r>
      <w:r>
        <w:t xml:space="preserve">;</w:t>
      </w:r>
      <w:r>
        <w:t xml:space="preserve"> </w:t>
      </w:r>
      <w:r>
        <w:t xml:space="preserve">-</w:t>
      </w:r>
      <w:r>
        <w:t xml:space="preserve"> </w:t>
      </w:r>
      <w:r>
        <w:rPr>
          <w:rStyle w:val="VerbatimChar"/>
        </w:rPr>
        <w:t xml:space="preserve">GET /l</w:t>
      </w:r>
      <w:r>
        <w:t xml:space="preserve">,</w:t>
      </w:r>
      <w:r>
        <w:t xml:space="preserve"> </w:t>
      </w:r>
      <w:r>
        <w:rPr>
          <w:rStyle w:val="VerbatimChar"/>
        </w:rPr>
        <w:t xml:space="preserve">/l/v</w:t>
      </w:r>
      <w:r>
        <w:t xml:space="preserve">,</w:t>
      </w:r>
      <w:r>
        <w:t xml:space="preserve"> </w:t>
      </w:r>
      <w:r>
        <w:rPr>
          <w:rStyle w:val="VerbatimChar"/>
        </w:rPr>
        <w:t xml:space="preserve">/l/imprimer</w:t>
      </w:r>
      <w:r>
        <w:t xml:space="preserve">,</w:t>
      </w:r>
      <w:r>
        <w:t xml:space="preserve"> </w:t>
      </w:r>
      <w:r>
        <w:rPr>
          <w:rStyle w:val="VerbatimChar"/>
        </w:rPr>
        <w:t xml:space="preserve">/l/points</w:t>
      </w:r>
      <w:r>
        <w:t xml:space="preserve">,</w:t>
      </w:r>
      <w:r>
        <w:t xml:space="preserve"> </w:t>
      </w:r>
      <w:r>
        <w:rPr>
          <w:rStyle w:val="VerbatimChar"/>
        </w:rPr>
        <w:t xml:space="preserve">/l/payer</w:t>
      </w:r>
      <w:r>
        <w:t xml:space="preserve">,</w:t>
      </w:r>
      <w:r>
        <w:t xml:space="preserve"> </w:t>
      </w:r>
      <w:r>
        <w:rPr>
          <w:rStyle w:val="VerbatimChar"/>
        </w:rPr>
        <w:t xml:space="preserve">GET|POST /l/signaler</w:t>
      </w:r>
      <w:r>
        <w:t xml:space="preserve">.</w:t>
      </w:r>
    </w:p>
    <w:p>
      <w:pPr>
        <w:pStyle w:val="BodyText"/>
      </w:pPr>
      <w:r>
        <w:t xml:space="preserve">Écrans :</w:t>
      </w:r>
      <w:r>
        <w:t xml:space="preserve"> </w:t>
      </w:r>
      <w:r>
        <w:t xml:space="preserve">-</w:t>
      </w:r>
      <w:r>
        <w:t xml:space="preserve"> </w:t>
      </w:r>
      <w:r>
        <w:rPr>
          <w:rStyle w:val="VerbatimChar"/>
        </w:rPr>
        <w:t xml:space="preserve">/preuve</w:t>
      </w:r>
      <w:r>
        <w:t xml:space="preserve"> </w:t>
      </w:r>
      <w:r>
        <w:t xml:space="preserve">et</w:t>
      </w:r>
      <w:r>
        <w:t xml:space="preserve"> </w:t>
      </w:r>
      <w:r>
        <w:rPr>
          <w:rStyle w:val="VerbatimChar"/>
        </w:rPr>
        <w:t xml:space="preserve">/preuve/:code</w:t>
      </w:r>
      <w:r>
        <w:t xml:space="preserve"> </w:t>
      </w:r>
      <w:r>
        <w:t xml:space="preserve">;</w:t>
      </w:r>
      <w:r>
        <w:t xml:space="preserve"> </w:t>
      </w:r>
      <w:r>
        <w:t xml:space="preserve">-</w:t>
      </w:r>
      <w:r>
        <w:t xml:space="preserve"> </w:t>
      </w:r>
      <w:r>
        <w:rPr>
          <w:rStyle w:val="VerbatimChar"/>
        </w:rPr>
        <w:t xml:space="preserve">/preuve/:code/imprimer</w:t>
      </w:r>
      <w:r>
        <w:t xml:space="preserve"> </w:t>
      </w:r>
      <w:r>
        <w:t xml:space="preserve">(formats A6, 80 mm, 58 mm) ;</w:t>
      </w:r>
      <w:r>
        <w:t xml:space="preserve"> </w:t>
      </w:r>
      <w:r>
        <w:t xml:space="preserve">-</w:t>
      </w:r>
      <w:r>
        <w:t xml:space="preserve"> </w:t>
      </w:r>
      <w:r>
        <w:rPr>
          <w:rStyle w:val="VerbatimChar"/>
        </w:rPr>
        <w:t xml:space="preserve">/canaux/whatsapp-sms</w:t>
      </w:r>
      <w:r>
        <w:t xml:space="preserve"> </w:t>
      </w:r>
      <w:r>
        <w:t xml:space="preserve">(simulateur) ;</w:t>
      </w:r>
      <w:r>
        <w:t xml:space="preserve"> </w:t>
      </w:r>
      <w:r>
        <w:t xml:space="preserve">- liens « Imprimer » depuis le stationnement, le pass wewa, les tickets RakaPay, les certificats et le quitus.</w:t>
      </w:r>
    </w:p>
    <w:p>
      <w:pPr>
        <w:pStyle w:val="BodyText"/>
      </w:pPr>
      <w:r>
        <w:t xml:space="preserve">Tests :</w:t>
      </w:r>
      <w:r>
        <w:t xml:space="preserve"> </w:t>
      </w:r>
      <w:r>
        <w:t xml:space="preserve">-</w:t>
      </w:r>
      <w:r>
        <w:t xml:space="preserve"> </w:t>
      </w:r>
      <w:r>
        <w:rPr>
          <w:rStyle w:val="VerbatimChar"/>
        </w:rPr>
        <w:t xml:space="preserve">backend/test/preuves.test.ts</w:t>
      </w:r>
      <w:r>
        <w:t xml:space="preserve"> </w:t>
      </w:r>
      <w:r>
        <w:t xml:space="preserve">: résolution de chaque type de preuve ; seuils à l’heure serveur ; SMS sans accents et signé en production ; consentement WhatsApp, absence de lien et de montant ; pages sans script de moins de 10 Ko.</w:t>
      </w:r>
      <w:r>
        <w:t xml:space="preserve"> </w:t>
      </w:r>
      <w:r>
        <w:t xml:space="preserve">-</w:t>
      </w:r>
      <w:r>
        <w:t xml:space="preserve"> </w:t>
      </w:r>
      <w:r>
        <w:rPr>
          <w:rStyle w:val="VerbatimChar"/>
        </w:rPr>
        <w:t xml:space="preserve">frontend/test/validity-countdown.test.tsx</w:t>
      </w:r>
      <w:r>
        <w:t xml:space="preserve"> </w:t>
      </w:r>
      <w:r>
        <w:t xml:space="preserve">: seuils, dates seules, statut bloquant, contenu de la preuve imprimée.</w:t>
      </w:r>
    </w:p>
    <w:bookmarkEnd w:id="630"/>
    <w:bookmarkStart w:id="631" w:name="i.15-ce-qui-reste-ouvert"/>
    <w:p>
      <w:pPr>
        <w:pStyle w:val="Heading2"/>
      </w:pPr>
      <w:r>
        <w:t xml:space="preserve">I.15 Ce qui reste ouvert</w:t>
      </w:r>
    </w:p>
    <w:p>
      <w:pPr>
        <w:pStyle w:val="FirstParagraph"/>
      </w:pPr>
      <w:r>
        <w:t xml:space="preserve">Les points suivants ne relèvent pas du logiciel seul ou attendent un acte, un protocole ou une convention ; ils sont signalés dans les écrans concernés et ne produisent aucun effet financier tant qu’ils ne sont pas levés.</w:t>
      </w:r>
    </w:p>
    <w:tbl>
      <w:tblPr>
        <w:tblStyle w:val="Table"/>
        <w:tblW w:type="pct" w:w="5000"/>
        <w:tblBorders>
          <w:top w:val="single" w:sz="4" w:color="CFE9E4"/>
          <w:left w:val="single" w:sz="4" w:color="CFE9E4"/>
          <w:bottom w:val="single" w:sz="4" w:color="CFE9E4"/>
          <w:right w:val="single" w:sz="4" w:color="CFE9E4"/>
          <w:insideH w:val="single" w:sz="4" w:color="CFE9E4"/>
          <w:insideV w:val="single" w:sz="4" w:color="CFE9E4"/>
        </w:tblBorders>
        <w:tblLayout w:type="fixed"/>
        <w:tblLook w:firstRow="1" w:lastRow="0" w:firstColumn="0" w:lastColumn="0" w:noHBand="0" w:noVBand="0" w:val="0020"/>
      </w:tblPr>
      <w:tblGrid>
        <w:gridCol w:w="2640"/>
        <w:gridCol w:w="2640"/>
        <w:gridCol w:w="2640"/>
      </w:tblGrid>
      <w:tr>
        <w:trPr>
          <w:tblHeader w:val="on"/>
        </w:trPr>
        <w:tc>
          <w:tcPr>
            <w:shd w:val="clear" w:color="auto" w:fill="232C6B"/>
          </w:tcPr>
          <w:p>
            <w:pPr>
              <w:pStyle w:val="Compact"/>
            </w:pPr>
            <w:r>
              <w:rPr>
                <w:b/>
                <w:color w:val="FFFFFF"/>
                <w:sz w:val="17"/>
              </w:rPr>
              <w:t xml:space="preserve">Domaine</w:t>
            </w:r>
          </w:p>
        </w:tc>
        <w:tc>
          <w:tcPr>
            <w:shd w:val="clear" w:color="auto" w:fill="232C6B"/>
          </w:tcPr>
          <w:p>
            <w:pPr>
              <w:pStyle w:val="Compact"/>
            </w:pPr>
            <w:r>
              <w:rPr>
                <w:b/>
                <w:color w:val="FFFFFF"/>
                <w:sz w:val="17"/>
              </w:rPr>
              <w:t xml:space="preserve">Point ouvert</w:t>
            </w:r>
          </w:p>
        </w:tc>
        <w:tc>
          <w:tcPr>
            <w:shd w:val="clear" w:color="auto" w:fill="232C6B"/>
          </w:tcPr>
          <w:p>
            <w:pPr>
              <w:pStyle w:val="Compact"/>
            </w:pPr>
            <w:r>
              <w:rPr>
                <w:b/>
                <w:color w:val="FFFFFF"/>
                <w:sz w:val="17"/>
              </w:rPr>
              <w:t xml:space="preserve">Condition de levée</w:t>
            </w:r>
          </w:p>
        </w:tc>
      </w:tr>
      <w:tr>
        <w:tc>
          <w:tcPr/>
          <w:p>
            <w:pPr>
              <w:pStyle w:val="Compact"/>
            </w:pPr>
            <w:r>
              <w:rPr>
                <w:sz w:val="17"/>
              </w:rPr>
              <w:t xml:space="preserve">Tarifs et assiettes</w:t>
            </w:r>
          </w:p>
        </w:tc>
        <w:tc>
          <w:tcPr/>
          <w:p>
            <w:pPr>
              <w:pStyle w:val="Compact"/>
            </w:pPr>
            <w:r>
              <w:rPr>
                <w:sz w:val="17"/>
              </w:rPr>
              <w:t xml:space="preserve">Tarifs réels du pass wewa, du stationnement, des titres de transport, de la publicité, des redevances AVIA et portuaires, de la contribution plastique</w:t>
            </w:r>
          </w:p>
        </w:tc>
        <w:tc>
          <w:tcPr/>
          <w:p>
            <w:pPr>
              <w:pStyle w:val="Compact"/>
            </w:pPr>
            <w:r>
              <w:rPr>
                <w:sz w:val="17"/>
              </w:rPr>
              <w:t xml:space="preserve">Actes J21, J23, J24, J25, J28 et fiches de règles certifiées (quatre visas)</w:t>
            </w:r>
          </w:p>
        </w:tc>
      </w:tr>
      <w:tr>
        <w:tc>
          <w:tcPr>
            <w:shd w:val="clear" w:color="auto" w:fill="F5F7FB"/>
          </w:tcPr>
          <w:p>
            <w:pPr>
              <w:pStyle w:val="Compact"/>
            </w:pPr>
            <w:r>
              <w:rPr>
                <w:sz w:val="17"/>
              </w:rPr>
              <w:t xml:space="preserve">Quitus fiscal</w:t>
            </w:r>
          </w:p>
        </w:tc>
        <w:tc>
          <w:tcPr>
            <w:shd w:val="clear" w:color="auto" w:fill="F5F7FB"/>
          </w:tcPr>
          <w:p>
            <w:pPr>
              <w:pStyle w:val="Compact"/>
            </w:pPr>
            <w:r>
              <w:rPr>
                <w:sz w:val="17"/>
              </w:rPr>
              <w:t xml:space="preserve">Effet bloquant sur les mutations et services</w:t>
            </w:r>
          </w:p>
        </w:tc>
        <w:tc>
          <w:tcPr>
            <w:shd w:val="clear" w:color="auto" w:fill="F5F7FB"/>
          </w:tcPr>
          <w:p>
            <w:pPr>
              <w:pStyle w:val="Compact"/>
            </w:pPr>
            <w:r>
              <w:rPr>
                <w:sz w:val="17"/>
              </w:rPr>
              <w:t xml:space="preserve">Acte J6 ; le quitus reste informatif jusque-là</w:t>
            </w:r>
          </w:p>
        </w:tc>
      </w:tr>
      <w:tr>
        <w:tc>
          <w:tcPr/>
          <w:p>
            <w:pPr>
              <w:pStyle w:val="Compact"/>
            </w:pPr>
            <w:r>
              <w:rPr>
                <w:sz w:val="17"/>
              </w:rPr>
              <w:t xml:space="preserve">Répartition</w:t>
            </w:r>
          </w:p>
        </w:tc>
        <w:tc>
          <w:tcPr/>
          <w:p>
            <w:pPr>
              <w:pStyle w:val="Compact"/>
            </w:pPr>
            <w:r>
              <w:rPr>
                <w:sz w:val="17"/>
              </w:rPr>
              <w:t xml:space="preserve">Parts légales éventuelles entre entités</w:t>
            </w:r>
          </w:p>
        </w:tc>
        <w:tc>
          <w:tcPr/>
          <w:p>
            <w:pPr>
              <w:pStyle w:val="Compact"/>
            </w:pPr>
            <w:r>
              <w:rPr>
                <w:sz w:val="17"/>
              </w:rPr>
              <w:t xml:space="preserve">Lecture de l’OL 18/004 et actes provinciaux ; aucune clé paramétrée</w:t>
            </w:r>
          </w:p>
        </w:tc>
      </w:tr>
      <w:tr>
        <w:tc>
          <w:tcPr>
            <w:shd w:val="clear" w:color="auto" w:fill="F5F7FB"/>
          </w:tcPr>
          <w:p>
            <w:pPr>
              <w:pStyle w:val="Compact"/>
            </w:pPr>
            <w:r>
              <w:rPr>
                <w:sz w:val="17"/>
              </w:rPr>
              <w:t xml:space="preserve">Identité</w:t>
            </w:r>
          </w:p>
        </w:tc>
        <w:tc>
          <w:tcPr>
            <w:shd w:val="clear" w:color="auto" w:fill="F5F7FB"/>
          </w:tcPr>
          <w:p>
            <w:pPr>
              <w:pStyle w:val="Compact"/>
            </w:pPr>
            <w:r>
              <w:rPr>
                <w:sz w:val="17"/>
              </w:rPr>
              <w:t xml:space="preserve">Clés d’accès FIDO2 (passkeys), récupération de compte</w:t>
            </w:r>
          </w:p>
        </w:tc>
        <w:tc>
          <w:tcPr>
            <w:shd w:val="clear" w:color="auto" w:fill="F5F7FB"/>
          </w:tcPr>
          <w:p>
            <w:pPr>
              <w:pStyle w:val="Compact"/>
            </w:pPr>
            <w:r>
              <w:rPr>
                <w:sz w:val="17"/>
              </w:rPr>
              <w:t xml:space="preserve">Raccordement WebAuthn ; procédure de récupération validée</w:t>
            </w:r>
          </w:p>
        </w:tc>
      </w:tr>
      <w:tr>
        <w:tc>
          <w:tcPr/>
          <w:p>
            <w:pPr>
              <w:pStyle w:val="Compact"/>
            </w:pPr>
            <w:r>
              <w:rPr>
                <w:sz w:val="17"/>
              </w:rPr>
              <w:t xml:space="preserve">Canaux</w:t>
            </w:r>
          </w:p>
        </w:tc>
        <w:tc>
          <w:tcPr/>
          <w:p>
            <w:pPr>
              <w:pStyle w:val="Compact"/>
            </w:pPr>
            <w:r>
              <w:rPr>
                <w:sz w:val="17"/>
              </w:rPr>
              <w:t xml:space="preserve">Passerelles USSD, SMS, SVI et courrier réelles ; code court et numéro vert ; compte WhatsApp Business certifié et fournisseur contractualisé ; validation des textes lingala de l’assistant</w:t>
            </w:r>
          </w:p>
        </w:tc>
        <w:tc>
          <w:tcPr/>
          <w:p>
            <w:pPr>
              <w:pStyle w:val="Compact"/>
            </w:pPr>
            <w:r>
              <w:rPr>
                <w:sz w:val="17"/>
              </w:rPr>
              <w:t xml:space="preserve">Conventions opérateurs (J29), contrat du fournisseur WhatsApp, avis de l’autorité de protection des données</w:t>
            </w:r>
          </w:p>
        </w:tc>
      </w:tr>
      <w:tr>
        <w:tc>
          <w:tcPr>
            <w:shd w:val="clear" w:color="auto" w:fill="F5F7FB"/>
          </w:tcPr>
          <w:p>
            <w:pPr>
              <w:pStyle w:val="Compact"/>
            </w:pPr>
            <w:r>
              <w:rPr>
                <w:sz w:val="17"/>
              </w:rPr>
              <w:t xml:space="preserve">Données géographiques</w:t>
            </w:r>
          </w:p>
        </w:tc>
        <w:tc>
          <w:tcPr>
            <w:shd w:val="clear" w:color="auto" w:fill="F5F7FB"/>
          </w:tcPr>
          <w:p>
            <w:pPr>
              <w:pStyle w:val="Compact"/>
            </w:pPr>
            <w:r>
              <w:rPr>
                <w:sz w:val="17"/>
              </w:rPr>
              <w:t xml:space="preserve">Géométries PostGIS, référentiel officiel des codes de communes, cartographie de la population</w:t>
            </w:r>
          </w:p>
        </w:tc>
        <w:tc>
          <w:tcPr>
            <w:shd w:val="clear" w:color="auto" w:fill="F5F7FB"/>
          </w:tcPr>
          <w:p>
            <w:pPr>
              <w:pStyle w:val="Compact"/>
            </w:pPr>
            <w:r>
              <w:rPr>
                <w:sz w:val="17"/>
              </w:rPr>
              <w:t xml:space="preserve">Protocoles de données et référentiel arrêté</w:t>
            </w:r>
          </w:p>
        </w:tc>
      </w:tr>
      <w:tr>
        <w:tc>
          <w:tcPr/>
          <w:p>
            <w:pPr>
              <w:pStyle w:val="Compact"/>
            </w:pPr>
            <w:r>
              <w:rPr>
                <w:sz w:val="17"/>
              </w:rPr>
              <w:t xml:space="preserve">Partenaires</w:t>
            </w:r>
          </w:p>
        </w:tc>
        <w:tc>
          <w:tcPr/>
          <w:p>
            <w:pPr>
              <w:pStyle w:val="Compact"/>
            </w:pPr>
            <w:r>
              <w:rPr>
                <w:sz w:val="17"/>
              </w:rPr>
              <w:t xml:space="preserve">Connecteurs BSP/GDS et IFA (AVIA), passerelle bancaire réelle (CALCU), immatriculations nationales</w:t>
            </w:r>
          </w:p>
        </w:tc>
        <w:tc>
          <w:tcPr/>
          <w:p>
            <w:pPr>
              <w:pStyle w:val="Compact"/>
            </w:pPr>
            <w:r>
              <w:rPr>
                <w:sz w:val="17"/>
              </w:rPr>
              <w:t xml:space="preserve">Accords et protocoles avec le pouvoir central et les partenaires</w:t>
            </w:r>
          </w:p>
        </w:tc>
      </w:tr>
      <w:tr>
        <w:tc>
          <w:tcPr>
            <w:shd w:val="clear" w:color="auto" w:fill="F5F7FB"/>
          </w:tcPr>
          <w:p>
            <w:pPr>
              <w:pStyle w:val="Compact"/>
            </w:pPr>
            <w:r>
              <w:rPr>
                <w:sz w:val="17"/>
              </w:rPr>
              <w:t xml:space="preserve">Exploitation</w:t>
            </w:r>
          </w:p>
        </w:tc>
        <w:tc>
          <w:tcPr>
            <w:shd w:val="clear" w:color="auto" w:fill="F5F7FB"/>
          </w:tcPr>
          <w:p>
            <w:pPr>
              <w:pStyle w:val="Compact"/>
            </w:pPr>
            <w:r>
              <w:rPr>
                <w:sz w:val="17"/>
              </w:rPr>
              <w:t xml:space="preserve">Persistance des états encore volatils (idempotence, brouillons serveur, lots terrain, boîtes in-app), clé de signature QR dédiée, secrets TOTP au coffre de secrets</w:t>
            </w:r>
          </w:p>
        </w:tc>
        <w:tc>
          <w:tcPr>
            <w:shd w:val="clear" w:color="auto" w:fill="F5F7FB"/>
          </w:tcPr>
          <w:p>
            <w:pPr>
              <w:pStyle w:val="Compact"/>
            </w:pPr>
            <w:r>
              <w:rPr>
                <w:sz w:val="17"/>
              </w:rPr>
              <w:t xml:space="preserve">Mise en production (hébergement souverain)</w:t>
            </w:r>
          </w:p>
        </w:tc>
      </w:tr>
      <w:tr>
        <w:tc>
          <w:tcPr/>
          <w:p>
            <w:pPr>
              <w:pStyle w:val="Compact"/>
            </w:pPr>
            <w:r>
              <w:rPr>
                <w:sz w:val="17"/>
              </w:rPr>
              <w:t xml:space="preserve">IA</w:t>
            </w:r>
          </w:p>
        </w:tc>
        <w:tc>
          <w:tcPr/>
          <w:p>
            <w:pPr>
              <w:pStyle w:val="Compact"/>
            </w:pPr>
            <w:r>
              <w:rPr>
                <w:sz w:val="17"/>
              </w:rPr>
              <w:t xml:space="preserve">Registre complet des modèles (évaluations, biais, dérive), OCR des baux, « 12 questions » par action</w:t>
            </w:r>
          </w:p>
        </w:tc>
        <w:tc>
          <w:tcPr/>
          <w:p>
            <w:pPr>
              <w:pStyle w:val="Compact"/>
            </w:pPr>
            <w:r>
              <w:rPr>
                <w:sz w:val="17"/>
              </w:rPr>
              <w:t xml:space="preserve">Gouvernance IA validée par le délégué à la protection des données</w:t>
            </w:r>
          </w:p>
        </w:tc>
      </w:tr>
    </w:tbl>
    <w:bookmarkEnd w:id="631"/>
    <w:bookmarkEnd w:id="632"/>
    <w:sectPr>
      <w:headerReference w:type="default" r:id="rId10"/>
      <w:footerReference w:type="default" r:id="rId11"/>
      <w:footnotePr>
        <w:numRestart w:val="eachSect"/>
      </w:footnotePr>
      <w:pgSz w:h="16838" w:w="11906"/>
      <w:pgMar w:left="1134"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4F5C"/>
        <w:sz w:val="15"/>
      </w:rPr>
      <w:t xml:space="preserve">« Une ville, un contribuable, une donnée, une quittance. » — Document de travail soumis à validation juridique — page </w:t>
    </w:r>
    <w:r>
      <w:rPr>
        <w:sz w:val="15"/>
      </w:rPr>
      <w:fldChar w:fldCharType="begin"/>
    </w:r>
    <w:r>
      <w:rPr>
        <w:sz w:val="15"/>
      </w:rPr>
      <w:instrText xml:space="preserve">PAGE</w:instrText>
    </w:r>
    <w:r>
      <w:rPr>
        <w:sz w:val="15"/>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840293" cy="396000"/>
          <wp:docPr id="1" name="Picture 1"/>
          <wp:cNvGraphicFramePr>
            <a:graphicFrameLocks noChangeAspect="1"/>
          </wp:cNvGraphicFramePr>
          <a:graphic>
            <a:graphicData uri="http://schemas.openxmlformats.org/drawingml/2006/picture">
              <pic:pic>
                <pic:nvPicPr>
                  <pic:cNvPr id="0" name="logo-ville-de-kinshasa.png"/>
                  <pic:cNvPicPr/>
                </pic:nvPicPr>
                <pic:blipFill>
                  <a:blip r:embed="rId1"/>
                  <a:stretch>
                    <a:fillRect/>
                  </a:stretch>
                </pic:blipFill>
                <pic:spPr>
                  <a:xfrm>
                    <a:off x="0" y="0"/>
                    <a:ext cx="840293" cy="396000"/>
                  </a:xfrm>
                  <a:prstGeom prst="rect"/>
                </pic:spPr>
              </pic:pic>
            </a:graphicData>
          </a:graphic>
        </wp:inline>
      </w:drawing>
    </w:r>
    <w:r>
      <w:rPr>
        <w:color w:val="232C6B"/>
        <w:sz w:val="16"/>
      </w:rPr>
      <w:t xml:space="preserve">   KINSHASA MOSOLO — Document maître v3.0</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FR"/>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111111"/>
      <w:sz w:val="21"/>
    </w:rPr>
  </w:style>
  <w:style w:styleId="BodyText" w:type="paragraph">
    <w:name w:val="Body Text"/>
    <w:basedOn w:val="Normal"/>
    <w:link w:val="BodyTextChar"/>
    <w:qFormat/>
    <w:pPr>
      <w:spacing w:after="180" w:before="180"/>
    </w:pPr>
    <w:rPr>
      <w:rFonts w:ascii="Calibri" w:hAnsi="Calibri"/>
      <w:color w:val="111111"/>
      <w:sz w:val="21"/>
    </w:rPr>
  </w:style>
  <w:style w:customStyle="1" w:styleId="FirstParagraph" w:type="paragraph">
    <w:name w:val="First Paragraph"/>
    <w:basedOn w:val="BodyText"/>
    <w:next w:val="BodyText"/>
    <w:qFormat/>
    <w:rPr>
      <w:rFonts w:ascii="Calibri" w:hAnsi="Calibri"/>
      <w:color w:val="111111"/>
      <w:sz w:val="21"/>
    </w:rPr>
  </w:style>
  <w:style w:customStyle="1" w:styleId="Compact" w:type="paragraph">
    <w:name w:val="Compact"/>
    <w:basedOn w:val="BodyText"/>
    <w:qFormat/>
    <w:pPr>
      <w:spacing w:after="36" w:before="36"/>
    </w:pPr>
    <w:rPr>
      <w:rFonts w:ascii="Calibri" w:hAnsi="Calibri"/>
      <w:color w:val="111111"/>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color w:val="232C6B"/>
      <w:sz w:val="6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color w:val="1E9BD7"/>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asciiTheme="majorHAnsi" w:cstheme="majorBidi" w:eastAsiaTheme="majorEastAsia" w:hAnsi="Calibri" w:hAnsiTheme="majorHAnsi"/>
      <w:b/>
      <w:color w:val="232C6B"/>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asciiTheme="majorHAnsi" w:cstheme="majorBidi" w:eastAsiaTheme="majorEastAsia" w:hAnsi="Calibri" w:hAnsiTheme="majorHAnsi"/>
      <w:b/>
      <w:color w:val="1E9BD7"/>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theme="majorBidi" w:eastAsiaTheme="majorEastAsia" w:hAnsi="Calibri"/>
      <w:b/>
      <w:color w:val="232C6B"/>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Calibri" w:cstheme="majorBidi" w:eastAsiaTheme="majorEastAsia" w:hAnsi="Calibri"/>
      <w:b/>
      <w:i/>
      <w:iCs/>
      <w:color w:val="111111"/>
      <w:sz w:val="23"/>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color w:val="232C6B"/>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82" Type="http://schemas.openxmlformats.org/officeDocument/2006/relationships/image" Target="media/rId82.png"/><Relationship Id="rId16" Type="http://schemas.openxmlformats.org/officeDocument/2006/relationships/image" Target="media/rId16.png"/><Relationship Id="rId262" Type="http://schemas.openxmlformats.org/officeDocument/2006/relationships/image" Target="media/rId262.png"/><Relationship Id="rId113" Type="http://schemas.openxmlformats.org/officeDocument/2006/relationships/image" Target="media/rId113.png"/><Relationship Id="rId116" Type="http://schemas.openxmlformats.org/officeDocument/2006/relationships/image" Target="media/rId116.png"/><Relationship Id="rId323" Type="http://schemas.openxmlformats.org/officeDocument/2006/relationships/image" Target="media/rId323.png"/><Relationship Id="rId42" Type="http://schemas.openxmlformats.org/officeDocument/2006/relationships/image" Target="media/rId42.png"/><Relationship Id="rId38" Type="http://schemas.openxmlformats.org/officeDocument/2006/relationships/image" Target="media/rId38.png"/><Relationship Id="rId45" Type="http://schemas.openxmlformats.org/officeDocument/2006/relationships/image" Target="media/rId45.png"/><Relationship Id="rId68" Type="http://schemas.openxmlformats.org/officeDocument/2006/relationships/image" Target="media/rId68.png"/><Relationship Id="rId179" Type="http://schemas.openxmlformats.org/officeDocument/2006/relationships/image" Target="media/rId179.png"/><Relationship Id="rId348" Type="http://schemas.openxmlformats.org/officeDocument/2006/relationships/image" Target="media/rId348.png"/><Relationship Id="rId342" Type="http://schemas.openxmlformats.org/officeDocument/2006/relationships/image" Target="media/rId342.png"/><Relationship Id="rId266" Type="http://schemas.openxmlformats.org/officeDocument/2006/relationships/image" Target="media/rId266.png"/><Relationship Id="rId442" Type="http://schemas.openxmlformats.org/officeDocument/2006/relationships/image" Target="media/rId442.png"/><Relationship Id="rId183" Type="http://schemas.openxmlformats.org/officeDocument/2006/relationships/image" Target="media/rId183.png"/><Relationship Id="rId26" Type="http://schemas.openxmlformats.org/officeDocument/2006/relationships/image" Target="media/rId26.png"/><Relationship Id="rId546" Type="http://schemas.openxmlformats.org/officeDocument/2006/relationships/image" Target="media/rId546.png"/><Relationship Id="rId283" Type="http://schemas.openxmlformats.org/officeDocument/2006/relationships/image" Target="media/rId283.png"/><Relationship Id="rId236" Type="http://schemas.openxmlformats.org/officeDocument/2006/relationships/image" Target="media/rId236.png"/><Relationship Id="rId279" Type="http://schemas.openxmlformats.org/officeDocument/2006/relationships/image" Target="media/rId279.png"/><Relationship Id="rId556" Type="http://schemas.openxmlformats.org/officeDocument/2006/relationships/image" Target="media/rId556.png"/><Relationship Id="rId486" Type="http://schemas.openxmlformats.org/officeDocument/2006/relationships/image" Target="media/rId486.png"/><Relationship Id="rId187" Type="http://schemas.openxmlformats.org/officeDocument/2006/relationships/image" Target="media/rId187.png"/><Relationship Id="rId425" Type="http://schemas.openxmlformats.org/officeDocument/2006/relationships/image" Target="media/rId425.png"/><Relationship Id="rId55" Type="http://schemas.openxmlformats.org/officeDocument/2006/relationships/image" Target="media/rId55.png"/><Relationship Id="rId380" Type="http://schemas.openxmlformats.org/officeDocument/2006/relationships/image" Target="media/rId380.png"/><Relationship Id="rId291" Type="http://schemas.openxmlformats.org/officeDocument/2006/relationships/image" Target="media/rId291.png"/><Relationship Id="rId140" Type="http://schemas.openxmlformats.org/officeDocument/2006/relationships/image" Target="media/rId140.png"/><Relationship Id="rId109" Type="http://schemas.openxmlformats.org/officeDocument/2006/relationships/image" Target="media/rId109.png"/><Relationship Id="rId467" Type="http://schemas.openxmlformats.org/officeDocument/2006/relationships/image" Target="media/rId467.png"/><Relationship Id="rId331" Type="http://schemas.openxmlformats.org/officeDocument/2006/relationships/image" Target="media/rId331.png"/><Relationship Id="rId389" Type="http://schemas.openxmlformats.org/officeDocument/2006/relationships/image" Target="media/rId389.png"/><Relationship Id="rId295" Type="http://schemas.openxmlformats.org/officeDocument/2006/relationships/image" Target="media/rId295.png"/><Relationship Id="rId413" Type="http://schemas.openxmlformats.org/officeDocument/2006/relationships/image" Target="media/rId413.png"/><Relationship Id="rId222" Type="http://schemas.openxmlformats.org/officeDocument/2006/relationships/image" Target="media/rId222.png"/><Relationship Id="rId451" Type="http://schemas.openxmlformats.org/officeDocument/2006/relationships/image" Target="media/rId451.png"/><Relationship Id="rId158" Type="http://schemas.openxmlformats.org/officeDocument/2006/relationships/image" Target="media/rId158.png"/><Relationship Id="rId226" Type="http://schemas.openxmlformats.org/officeDocument/2006/relationships/image" Target="media/rId226.png"/><Relationship Id="rId563" Type="http://schemas.openxmlformats.org/officeDocument/2006/relationships/image" Target="media/rId563.png"/><Relationship Id="rId504" Type="http://schemas.openxmlformats.org/officeDocument/2006/relationships/image" Target="media/rId504.png"/><Relationship Id="rId287" Type="http://schemas.openxmlformats.org/officeDocument/2006/relationships/image" Target="media/rId287.png"/><Relationship Id="rId306" Type="http://schemas.openxmlformats.org/officeDocument/2006/relationships/image" Target="media/rId306.png"/><Relationship Id="rId99" Type="http://schemas.openxmlformats.org/officeDocument/2006/relationships/image" Target="media/rId99.png"/><Relationship Id="rId92" Type="http://schemas.openxmlformats.org/officeDocument/2006/relationships/image" Target="media/rId92.png"/><Relationship Id="rId299" Type="http://schemas.openxmlformats.org/officeDocument/2006/relationships/image" Target="media/rId299.png"/><Relationship Id="rId395" Type="http://schemas.openxmlformats.org/officeDocument/2006/relationships/image" Target="media/rId395.png"/><Relationship Id="rId212" Type="http://schemas.openxmlformats.org/officeDocument/2006/relationships/image" Target="media/rId212.png"/><Relationship Id="rId431" Type="http://schemas.openxmlformats.org/officeDocument/2006/relationships/image" Target="media/rId431.png"/><Relationship Id="rId205" Type="http://schemas.openxmlformats.org/officeDocument/2006/relationships/image" Target="media/rId205.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KINSHASA MOSOLO — Document maître unique</dc:title>
  <dc:creator/>
  <dc:language>fr-FR</dc:language>
  <cp:keywords/>
  <dcterms:created xsi:type="dcterms:W3CDTF">2026-09-26T19:00:54Z</dcterms:created>
  <dcterms:modified xsi:type="dcterms:W3CDTF">2026-09-26T19:00:54Z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Système d'exploitation souverain de maximisation des recettes de la Ville Province de Kinshasa</vt:lpwstr>
  </property>
  <property fmtid="{D5CDD505-2E9C-101B-9397-08002B2CF9AE}" pid="3" name="toc-title">
    <vt:lpwstr>Table des matières</vt:lpwstr>
  </property>
</Properties>
</file>