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1"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i.14-ce-qui-reste-ouvert"/>
    <w:p>
      <w:pPr>
        <w:pStyle w:val="Heading2"/>
      </w:pPr>
      <w:r>
        <w:t xml:space="preserve">I.14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w:t>
            </w:r>
          </w:p>
        </w:tc>
        <w:tc>
          <w:tcPr/>
          <w:p>
            <w:pPr>
              <w:pStyle w:val="Compact"/>
            </w:pPr>
            <w:r>
              <w:rPr>
                <w:sz w:val="17"/>
              </w:rPr>
              <w:t xml:space="preserve">Conventions opérateurs (J29)</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w:t>
            </w:r>
          </w:p>
        </w:tc>
        <w:tc>
          <w:tcPr>
            <w:shd w:val="clear" w:color="auto" w:fill="F5F7FB"/>
          </w:tcPr>
          <w:p>
            <w:pPr>
              <w:pStyle w:val="Compact"/>
            </w:pPr>
            <w:r>
              <w:rPr>
                <w:sz w:val="17"/>
              </w:rPr>
              <w:t xml:space="preserve">Protocoles de données et référentiel arrêté</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0"/>
    <w:bookmarkEnd w:id="631"/>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2026-09-26T17:40:35Z</dcterms:created>
  <dcterms:modified xsi:type="dcterms:W3CDTF">2026-09-26T17:40:35Z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