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239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239</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126</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192</w:t>
            </w:r>
          </w:p>
        </w:tc>
      </w:tr>
      <w:tr>
        <w:tc>
          <w:tcPr/>
          <w:p>
            <w:pPr>
              <w:pStyle w:val="Compact"/>
            </w:pPr>
            <w:r>
              <w:rPr>
                <w:sz w:val="17"/>
              </w:rPr>
              <w:t xml:space="preserve">… dans l’application</w:t>
            </w:r>
          </w:p>
        </w:tc>
        <w:tc>
          <w:tcPr/>
          <w:p>
            <w:pPr>
              <w:pStyle w:val="Compact"/>
            </w:pPr>
            <w:r>
              <w:rPr>
                <w:sz w:val="17"/>
              </w:rPr>
              <w:t xml:space="preserve">232</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111</w:t>
            </w:r>
          </w:p>
        </w:tc>
      </w:tr>
      <w:tr>
        <w:tc>
          <w:tcPr/>
          <w:p>
            <w:pPr>
              <w:pStyle w:val="Compact"/>
            </w:pPr>
            <w:r>
              <w:rPr>
                <w:sz w:val="17"/>
              </w:rPr>
              <w:t xml:space="preserve">… par notification push</w:t>
            </w:r>
          </w:p>
        </w:tc>
        <w:tc>
          <w:tcPr/>
          <w:p>
            <w:pPr>
              <w:pStyle w:val="Compact"/>
            </w:pPr>
            <w:r>
              <w:rPr>
                <w:sz w:val="17"/>
              </w:rPr>
              <w:t xml:space="preserve">42</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23</w:t>
            </w:r>
          </w:p>
        </w:tc>
      </w:tr>
      <w:tr>
        <w:tc>
          <w:tcPr/>
          <w:p>
            <w:pPr>
              <w:pStyle w:val="Compact"/>
            </w:pPr>
            <w:r>
              <w:rPr>
                <w:sz w:val="17"/>
              </w:rPr>
              <w:t xml:space="preserve">… éligibles à WhatsApp sur consentement</w:t>
            </w:r>
          </w:p>
        </w:tc>
        <w:tc>
          <w:tcPr/>
          <w:p>
            <w:pPr>
              <w:pStyle w:val="Compact"/>
            </w:pPr>
            <w:r>
              <w:rPr>
                <w:sz w:val="17"/>
              </w:rPr>
              <w:t xml:space="preserve">62</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w:t>
      </w:r>
      <w:r>
        <w:t xml:space="preserve"> </w:t>
      </w:r>
      <w:r>
        <w:rPr>
          <w:b/>
          <w:bCs/>
        </w:rPr>
        <w:t xml:space="preserve">uniquement</w:t>
      </w:r>
      <w:r>
        <w:t xml:space="preserve"> </w:t>
      </w:r>
      <w:r>
        <w:t xml:space="preserve">« plaque authentique, bâtiment enregistré, commune, quartier ». 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1"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End w:id="201"/>
    <w:bookmarkStart w:id="209" w:name="recouvrement-et-exécution"/>
    <w:p>
      <w:pPr>
        <w:pStyle w:val="Heading1"/>
      </w:pPr>
      <w:r>
        <w:t xml:space="preserve">21. Recouvrement et exécution</w:t>
      </w:r>
    </w:p>
    <w:bookmarkStart w:id="202"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2"/>
    <w:bookmarkStart w:id="203"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3"/>
    <w:bookmarkStart w:id="207" w:name="parcours-gradué"/>
    <w:p>
      <w:pPr>
        <w:pStyle w:val="Heading2"/>
      </w:pPr>
      <w:r>
        <w:t xml:space="preserve">21.3 Parcours gradué</w:t>
      </w:r>
    </w:p>
    <w:p>
      <w:pPr>
        <w:pStyle w:val="FirstParagraph"/>
      </w:pPr>
      <w:r>
        <w:drawing>
          <wp:inline>
            <wp:extent cx="6108700" cy="607753"/>
            <wp:effectExtent b="0" l="0" r="0" t="0"/>
            <wp:docPr descr="" title="" id="205" name="Picture"/>
            <a:graphic>
              <a:graphicData uri="http://schemas.openxmlformats.org/drawingml/2006/picture">
                <pic:pic>
                  <pic:nvPicPr>
                    <pic:cNvPr descr="figures/mermaid/mmd-fc4e0ac7367c.png" id="206" name="Picture"/>
                    <pic:cNvPicPr>
                      <a:picLocks noChangeArrowheads="1" noChangeAspect="1"/>
                    </pic:cNvPicPr>
                  </pic:nvPicPr>
                  <pic:blipFill>
                    <a:blip r:embed="rId204"/>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7"/>
    <w:bookmarkStart w:id="208"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8"/>
    <w:bookmarkEnd w:id="209"/>
    <w:bookmarkStart w:id="232" w:name="recours-et-droits-du-contribuable"/>
    <w:p>
      <w:pPr>
        <w:pStyle w:val="Heading1"/>
      </w:pPr>
      <w:r>
        <w:t xml:space="preserve">22. Recours et droits du contribuable</w:t>
      </w:r>
    </w:p>
    <w:bookmarkStart w:id="210"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0"/>
    <w:bookmarkStart w:id="214" w:name="workflow-des-réclamations"/>
    <w:p>
      <w:pPr>
        <w:pStyle w:val="Heading2"/>
      </w:pPr>
      <w:r>
        <w:t xml:space="preserve">22.2 Workflow des réclamations</w:t>
      </w:r>
    </w:p>
    <w:p>
      <w:pPr>
        <w:pStyle w:val="FirstParagraph"/>
      </w:pPr>
      <w:r>
        <w:drawing>
          <wp:inline>
            <wp:extent cx="6108700" cy="7400364"/>
            <wp:effectExtent b="0" l="0" r="0" t="0"/>
            <wp:docPr descr="" title="" id="212" name="Picture"/>
            <a:graphic>
              <a:graphicData uri="http://schemas.openxmlformats.org/drawingml/2006/picture">
                <pic:pic>
                  <pic:nvPicPr>
                    <pic:cNvPr descr="figures/mermaid/mmd-fa5ee172f2af.png" id="213" name="Picture"/>
                    <pic:cNvPicPr>
                      <a:picLocks noChangeArrowheads="1" noChangeAspect="1"/>
                    </pic:cNvPicPr>
                  </pic:nvPicPr>
                  <pic:blipFill>
                    <a:blip r:embed="rId211"/>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4"/>
    <w:bookmarkStart w:id="215"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8"/>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8"/>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8"/>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5"/>
    <w:bookmarkStart w:id="216"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6"/>
    <w:bookmarkStart w:id="217"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7"/>
    <w:bookmarkStart w:id="218"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8"/>
    <w:bookmarkStart w:id="219"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19"/>
    <w:bookmarkStart w:id="220"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0"/>
    <w:bookmarkStart w:id="229" w:name="diagrammes-de-séquence"/>
    <w:p>
      <w:pPr>
        <w:pStyle w:val="Heading2"/>
      </w:pPr>
      <w:r>
        <w:t xml:space="preserve">18.13 Diagrammes de séquence</w:t>
      </w:r>
    </w:p>
    <w:bookmarkStart w:id="224" w:name="koda"/>
    <w:p>
      <w:pPr>
        <w:pStyle w:val="Heading3"/>
      </w:pPr>
      <w:r>
        <w:t xml:space="preserve">KODA</w:t>
      </w:r>
    </w:p>
    <w:p>
      <w:pPr>
        <w:pStyle w:val="FirstParagraph"/>
      </w:pPr>
      <w:r>
        <w:drawing>
          <wp:inline>
            <wp:extent cx="6108700" cy="2150511"/>
            <wp:effectExtent b="0" l="0" r="0" t="0"/>
            <wp:docPr descr="" title="" id="222" name="Picture"/>
            <a:graphic>
              <a:graphicData uri="http://schemas.openxmlformats.org/drawingml/2006/picture">
                <pic:pic>
                  <pic:nvPicPr>
                    <pic:cNvPr descr="figures/mermaid/mmd-a5c2d4d1dfa8.png" id="223" name="Picture"/>
                    <pic:cNvPicPr>
                      <a:picLocks noChangeArrowheads="1" noChangeAspect="1"/>
                    </pic:cNvPicPr>
                  </pic:nvPicPr>
                  <pic:blipFill>
                    <a:blip r:embed="rId221"/>
                    <a:stretch>
                      <a:fillRect/>
                    </a:stretch>
                  </pic:blipFill>
                  <pic:spPr bwMode="auto">
                    <a:xfrm>
                      <a:off x="0" y="0"/>
                      <a:ext cx="6108700" cy="2150511"/>
                    </a:xfrm>
                    <a:prstGeom prst="rect">
                      <a:avLst/>
                    </a:prstGeom>
                    <a:noFill/>
                    <a:ln w="9525">
                      <a:noFill/>
                      <a:headEnd/>
                      <a:tailEnd/>
                    </a:ln>
                  </pic:spPr>
                </pic:pic>
              </a:graphicData>
            </a:graphic>
          </wp:inline>
        </w:drawing>
      </w:r>
    </w:p>
    <w:bookmarkEnd w:id="224"/>
    <w:bookmarkStart w:id="228" w:name="bitripay"/>
    <w:p>
      <w:pPr>
        <w:pStyle w:val="Heading3"/>
      </w:pPr>
      <w:r>
        <w:t xml:space="preserve">BitriPay</w:t>
      </w:r>
    </w:p>
    <w:p>
      <w:pPr>
        <w:pStyle w:val="FirstParagraph"/>
      </w:pPr>
      <w:r>
        <w:drawing>
          <wp:inline>
            <wp:extent cx="6108700" cy="2664764"/>
            <wp:effectExtent b="0" l="0" r="0" t="0"/>
            <wp:docPr descr="" title="" id="226" name="Picture"/>
            <a:graphic>
              <a:graphicData uri="http://schemas.openxmlformats.org/drawingml/2006/picture">
                <pic:pic>
                  <pic:nvPicPr>
                    <pic:cNvPr descr="figures/mermaid/mmd-b85762ecfe54.png" id="227" name="Picture"/>
                    <pic:cNvPicPr>
                      <a:picLocks noChangeArrowheads="1" noChangeAspect="1"/>
                    </pic:cNvPicPr>
                  </pic:nvPicPr>
                  <pic:blipFill>
                    <a:blip r:embed="rId225"/>
                    <a:stretch>
                      <a:fillRect/>
                    </a:stretch>
                  </pic:blipFill>
                  <pic:spPr bwMode="auto">
                    <a:xfrm>
                      <a:off x="0" y="0"/>
                      <a:ext cx="6108700" cy="2664764"/>
                    </a:xfrm>
                    <a:prstGeom prst="rect">
                      <a:avLst/>
                    </a:prstGeom>
                    <a:noFill/>
                    <a:ln w="9525">
                      <a:noFill/>
                      <a:headEnd/>
                      <a:tailEnd/>
                    </a:ln>
                  </pic:spPr>
                </pic:pic>
              </a:graphicData>
            </a:graphic>
          </wp:inline>
        </w:drawing>
      </w:r>
    </w:p>
    <w:bookmarkEnd w:id="228"/>
    <w:bookmarkEnd w:id="229"/>
    <w:bookmarkStart w:id="230"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0"/>
    <w:bookmarkStart w:id="231"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1"/>
    <w:bookmarkEnd w:id="232"/>
    <w:bookmarkStart w:id="253" w:name="Xffaa8886a3c8f9c5cd6a9b1edac510bf94ddbe2"/>
    <w:p>
      <w:pPr>
        <w:pStyle w:val="Heading1"/>
      </w:pPr>
      <w:r>
        <w:t xml:space="preserve">23. Architecture des agents d’intelligence artificielle</w:t>
      </w:r>
    </w:p>
    <w:bookmarkStart w:id="233"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3"/>
    <w:bookmarkStart w:id="234"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4"/>
    <w:bookmarkStart w:id="238" w:name="flux-de-travail-dun-agent"/>
    <w:p>
      <w:pPr>
        <w:pStyle w:val="Heading2"/>
      </w:pPr>
      <w:r>
        <w:t xml:space="preserve">23.3 Flux de travail d’un agent</w:t>
      </w:r>
    </w:p>
    <w:p>
      <w:pPr>
        <w:pStyle w:val="FirstParagraph"/>
      </w:pPr>
      <w:r>
        <w:drawing>
          <wp:inline>
            <wp:extent cx="6108700" cy="2633597"/>
            <wp:effectExtent b="0" l="0" r="0" t="0"/>
            <wp:docPr descr="" title="" id="236" name="Picture"/>
            <a:graphic>
              <a:graphicData uri="http://schemas.openxmlformats.org/drawingml/2006/picture">
                <pic:pic>
                  <pic:nvPicPr>
                    <pic:cNvPr descr="figures/mermaid/mmd-31be79e76ad1.png" id="237" name="Picture"/>
                    <pic:cNvPicPr>
                      <a:picLocks noChangeArrowheads="1" noChangeAspect="1"/>
                    </pic:cNvPicPr>
                  </pic:nvPicPr>
                  <pic:blipFill>
                    <a:blip r:embed="rId235"/>
                    <a:stretch>
                      <a:fillRect/>
                    </a:stretch>
                  </pic:blipFill>
                  <pic:spPr bwMode="auto">
                    <a:xfrm>
                      <a:off x="0" y="0"/>
                      <a:ext cx="6108700" cy="2633597"/>
                    </a:xfrm>
                    <a:prstGeom prst="rect">
                      <a:avLst/>
                    </a:prstGeom>
                    <a:noFill/>
                    <a:ln w="9525">
                      <a:noFill/>
                      <a:headEnd/>
                      <a:tailEnd/>
                    </a:ln>
                  </pic:spPr>
                </pic:pic>
              </a:graphicData>
            </a:graphic>
          </wp:inline>
        </w:drawing>
      </w:r>
    </w:p>
    <w:bookmarkEnd w:id="238"/>
    <w:bookmarkStart w:id="239"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39"/>
    <w:bookmarkStart w:id="252" w:name="Xf6cc4df239188a19fac20a2bee38058bd9faad8"/>
    <w:p>
      <w:pPr>
        <w:pStyle w:val="Heading2"/>
      </w:pPr>
      <w:r>
        <w:t xml:space="preserve">23.5 Couche d’intelligence : MOSOLO, système d’exploitation piloté par l’IA</w:t>
      </w:r>
    </w:p>
    <w:bookmarkStart w:id="240"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0"/>
    <w:bookmarkStart w:id="241"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1"/>
    <w:bookmarkStart w:id="242"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2"/>
    <w:bookmarkStart w:id="243"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3"/>
    <w:bookmarkStart w:id="244"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4"/>
    <w:bookmarkStart w:id="245"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5"/>
    <w:bookmarkStart w:id="246"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6"/>
    <w:bookmarkStart w:id="247"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7"/>
    <w:bookmarkStart w:id="248" w:name="sécurité-transparence-et-contrôle"/>
    <w:p>
      <w:pPr>
        <w:pStyle w:val="Heading3"/>
      </w:pPr>
      <w:r>
        <w:t xml:space="preserve">23.5.9 Sécurité, transparence et contrôle</w:t>
      </w:r>
    </w:p>
    <w:p>
      <w:pPr>
        <w:pStyle w:val="Compact"/>
        <w:numPr>
          <w:ilvl w:val="0"/>
          <w:numId w:val="1019"/>
        </w:numPr>
      </w:pPr>
      <w:r>
        <w:t xml:space="preserve">L’interface n’expose ni les fournisseurs techniques d’IA, ni la logique interne, ni les clés, ni les données confidentielles, ni la complexité technique inutile.</w:t>
      </w:r>
    </w:p>
    <w:p>
      <w:pPr>
        <w:pStyle w:val="Compact"/>
        <w:numPr>
          <w:ilvl w:val="0"/>
          <w:numId w:val="1019"/>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19"/>
        </w:numPr>
      </w:pPr>
      <w:r>
        <w:t xml:space="preserve">La couche respecte permissions, rôles, cloisonnements, auditabilité, confidentialité fiscale et obligations de conformité.</w:t>
      </w:r>
    </w:p>
    <w:bookmarkEnd w:id="248"/>
    <w:bookmarkStart w:id="249"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49"/>
    <w:bookmarkStart w:id="250"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0"/>
    <w:bookmarkStart w:id="251"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1"/>
    <w:bookmarkEnd w:id="252"/>
    <w:bookmarkEnd w:id="253"/>
    <w:bookmarkStart w:id="256" w:name="Xb68dec3409a3c7d9cb99c26da27dd05b38bdf59"/>
    <w:p>
      <w:pPr>
        <w:pStyle w:val="Heading1"/>
      </w:pPr>
      <w:r>
        <w:t xml:space="preserve">24. Apprentissage des utilisateurs et environnement de travail</w:t>
      </w:r>
    </w:p>
    <w:bookmarkStart w:id="254"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4"/>
    <w:bookmarkStart w:id="255"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5"/>
    <w:bookmarkEnd w:id="256"/>
    <w:bookmarkStart w:id="260" w:name="Xf3a60cd30f45fcf2de3d46ce1ee2b7820e24895"/>
    <w:p>
      <w:pPr>
        <w:pStyle w:val="Heading1"/>
      </w:pPr>
      <w:r>
        <w:t xml:space="preserve">25. Prévention de la fraude et de la déperdition</w:t>
      </w:r>
    </w:p>
    <w:bookmarkStart w:id="257"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7"/>
    <w:bookmarkStart w:id="258"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8"/>
    <w:bookmarkStart w:id="259"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59"/>
    <w:bookmarkEnd w:id="260"/>
    <w:bookmarkStart w:id="270" w:name="tableaux-de-bord-exécutifs"/>
    <w:p>
      <w:pPr>
        <w:pStyle w:val="Heading1"/>
      </w:pPr>
      <w:r>
        <w:t xml:space="preserve">26. Tableaux de bord exécutifs</w:t>
      </w:r>
    </w:p>
    <w:bookmarkStart w:id="264"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2" name="Picture"/>
            <a:graphic>
              <a:graphicData uri="http://schemas.openxmlformats.org/drawingml/2006/picture">
                <pic:pic>
                  <pic:nvPicPr>
                    <pic:cNvPr descr="figures/fig-echelle-recette.png" id="263" name="Picture"/>
                    <pic:cNvPicPr>
                      <a:picLocks noChangeArrowheads="1" noChangeAspect="1"/>
                    </pic:cNvPicPr>
                  </pic:nvPicPr>
                  <pic:blipFill>
                    <a:blip r:embed="rId261"/>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Sous réclamation</w:t>
            </w:r>
          </w:p>
        </w:tc>
      </w:tr>
      <w:tr>
        <w:tc>
          <w:tcPr/>
          <w:p>
            <w:pPr>
              <w:pStyle w:val="Compact"/>
            </w:pPr>
            <w:r>
              <w:rPr>
                <w:sz w:val="17"/>
              </w:rPr>
              <w:t xml:space="preserve">7</w:t>
            </w:r>
          </w:p>
        </w:tc>
        <w:tc>
          <w:tcPr/>
          <w:p>
            <w:pPr>
              <w:pStyle w:val="Compact"/>
            </w:pPr>
            <w:r>
              <w:rPr>
                <w:b/>
                <w:bCs/>
                <w:sz w:val="17"/>
              </w:rPr>
              <w:t xml:space="preserve">Paiement initié</w:t>
            </w:r>
          </w:p>
        </w:tc>
        <w:tc>
          <w:tcPr/>
          <w:p>
            <w:pPr>
              <w:pStyle w:val="Compact"/>
            </w:pPr>
            <w:r>
              <w:rPr>
                <w:sz w:val="17"/>
              </w:rPr>
              <w:t xml:space="preserve">Références en cours</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Paiement confirmé</w:t>
            </w:r>
          </w:p>
        </w:tc>
        <w:tc>
          <w:tcPr>
            <w:shd w:val="clear" w:color="auto" w:fill="F5F7FB"/>
          </w:tcPr>
          <w:p>
            <w:pPr>
              <w:pStyle w:val="Compact"/>
            </w:pPr>
            <w:r>
              <w:rPr>
                <w:sz w:val="17"/>
              </w:rPr>
              <w:t xml:space="preserve">Confirmé par le prestataire</w:t>
            </w:r>
          </w:p>
        </w:tc>
      </w:tr>
      <w:tr>
        <w:tc>
          <w:tcPr/>
          <w:p>
            <w:pPr>
              <w:pStyle w:val="Compact"/>
            </w:pPr>
            <w:r>
              <w:rPr>
                <w:sz w:val="17"/>
              </w:rPr>
              <w:t xml:space="preserve">9</w:t>
            </w:r>
          </w:p>
        </w:tc>
        <w:tc>
          <w:tcPr/>
          <w:p>
            <w:pPr>
              <w:pStyle w:val="Compact"/>
            </w:pPr>
            <w:r>
              <w:rPr>
                <w:b/>
                <w:bCs/>
                <w:sz w:val="17"/>
              </w:rPr>
              <w:t xml:space="preserve">Réglé sur le compte public</w:t>
            </w:r>
          </w:p>
        </w:tc>
        <w:tc>
          <w:tcPr/>
          <w:p>
            <w:pPr>
              <w:pStyle w:val="Compact"/>
            </w:pPr>
            <w:r>
              <w:rPr>
                <w:sz w:val="17"/>
              </w:rPr>
              <w:t xml:space="preserve">Crédit constaté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Rapproché</w:t>
            </w:r>
          </w:p>
        </w:tc>
        <w:tc>
          <w:tcPr>
            <w:shd w:val="clear" w:color="auto" w:fill="F5F7FB"/>
          </w:tcPr>
          <w:p>
            <w:pPr>
              <w:pStyle w:val="Compact"/>
            </w:pPr>
            <w:r>
              <w:rPr>
                <w:sz w:val="17"/>
              </w:rPr>
              <w:t xml:space="preserve">Appariement complet et écritures</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bookmarkEnd w:id="264"/>
    <w:bookmarkStart w:id="268"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6" name="Picture"/>
            <a:graphic>
              <a:graphicData uri="http://schemas.openxmlformats.org/drawingml/2006/picture">
                <pic:pic>
                  <pic:nvPicPr>
                    <pic:cNvPr descr="figures/fig-tableau-de-bord-gouverneur.png" id="267" name="Picture"/>
                    <pic:cNvPicPr>
                      <a:picLocks noChangeArrowheads="1" noChangeAspect="1"/>
                    </pic:cNvPicPr>
                  </pic:nvPicPr>
                  <pic:blipFill>
                    <a:blip r:embed="rId265"/>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8"/>
    <w:bookmarkStart w:id="269"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69"/>
    <w:bookmarkEnd w:id="270"/>
    <w:bookmarkStart w:id="275" w:name="X4aef5093910a2055244cca3a1961d2dd0246d2c"/>
    <w:p>
      <w:pPr>
        <w:pStyle w:val="Heading1"/>
      </w:pPr>
      <w:r>
        <w:t xml:space="preserve">27. Affectation des recettes et planification de l’investissement public</w:t>
      </w:r>
    </w:p>
    <w:bookmarkStart w:id="271"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1"/>
    <w:bookmarkStart w:id="272"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2"/>
    <w:bookmarkStart w:id="273"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3"/>
    <w:bookmarkStart w:id="274"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4"/>
    <w:bookmarkEnd w:id="275"/>
    <w:bookmarkStart w:id="303" w:name="architecture-technique"/>
    <w:p>
      <w:pPr>
        <w:pStyle w:val="Heading1"/>
      </w:pPr>
      <w:r>
        <w:t xml:space="preserve">28. Architecture technique</w:t>
      </w:r>
    </w:p>
    <w:bookmarkStart w:id="276"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6"/>
    <w:bookmarkStart w:id="277"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7"/>
    <w:bookmarkStart w:id="281" w:name="diagramme-de-contexte-du-système"/>
    <w:p>
      <w:pPr>
        <w:pStyle w:val="Heading2"/>
      </w:pPr>
      <w:r>
        <w:t xml:space="preserve">28.3 Diagramme de contexte du système</w:t>
      </w:r>
    </w:p>
    <w:p>
      <w:pPr>
        <w:pStyle w:val="FirstParagraph"/>
      </w:pPr>
      <w:r>
        <w:drawing>
          <wp:inline>
            <wp:extent cx="6108700" cy="1527174"/>
            <wp:effectExtent b="0" l="0" r="0" t="0"/>
            <wp:docPr descr="" title="" id="279" name="Picture"/>
            <a:graphic>
              <a:graphicData uri="http://schemas.openxmlformats.org/drawingml/2006/picture">
                <pic:pic>
                  <pic:nvPicPr>
                    <pic:cNvPr descr="figures/mermaid/mmd-37f4e1037f97.png" id="280" name="Picture"/>
                    <pic:cNvPicPr>
                      <a:picLocks noChangeArrowheads="1" noChangeAspect="1"/>
                    </pic:cNvPicPr>
                  </pic:nvPicPr>
                  <pic:blipFill>
                    <a:blip r:embed="rId278"/>
                    <a:stretch>
                      <a:fillRect/>
                    </a:stretch>
                  </pic:blipFill>
                  <pic:spPr bwMode="auto">
                    <a:xfrm>
                      <a:off x="0" y="0"/>
                      <a:ext cx="6108700" cy="1527174"/>
                    </a:xfrm>
                    <a:prstGeom prst="rect">
                      <a:avLst/>
                    </a:prstGeom>
                    <a:noFill/>
                    <a:ln w="9525">
                      <a:noFill/>
                      <a:headEnd/>
                      <a:tailEnd/>
                    </a:ln>
                  </pic:spPr>
                </pic:pic>
              </a:graphicData>
            </a:graphic>
          </wp:inline>
        </w:drawing>
      </w:r>
    </w:p>
    <w:bookmarkEnd w:id="281"/>
    <w:bookmarkStart w:id="285" w:name="architecture-des-conteneurs"/>
    <w:p>
      <w:pPr>
        <w:pStyle w:val="Heading2"/>
      </w:pPr>
      <w:r>
        <w:t xml:space="preserve">28.4 Architecture des conteneurs</w:t>
      </w:r>
    </w:p>
    <w:p>
      <w:pPr>
        <w:pStyle w:val="FirstParagraph"/>
      </w:pPr>
      <w:r>
        <w:drawing>
          <wp:inline>
            <wp:extent cx="6108700" cy="5165903"/>
            <wp:effectExtent b="0" l="0" r="0" t="0"/>
            <wp:docPr descr="" title="" id="283" name="Picture"/>
            <a:graphic>
              <a:graphicData uri="http://schemas.openxmlformats.org/drawingml/2006/picture">
                <pic:pic>
                  <pic:nvPicPr>
                    <pic:cNvPr descr="figures/mermaid/mmd-318546d8a893.png" id="284" name="Picture"/>
                    <pic:cNvPicPr>
                      <a:picLocks noChangeArrowheads="1" noChangeAspect="1"/>
                    </pic:cNvPicPr>
                  </pic:nvPicPr>
                  <pic:blipFill>
                    <a:blip r:embed="rId282"/>
                    <a:stretch>
                      <a:fillRect/>
                    </a:stretch>
                  </pic:blipFill>
                  <pic:spPr bwMode="auto">
                    <a:xfrm>
                      <a:off x="0" y="0"/>
                      <a:ext cx="6108700" cy="5165903"/>
                    </a:xfrm>
                    <a:prstGeom prst="rect">
                      <a:avLst/>
                    </a:prstGeom>
                    <a:noFill/>
                    <a:ln w="9525">
                      <a:noFill/>
                      <a:headEnd/>
                      <a:tailEnd/>
                    </a:ln>
                  </pic:spPr>
                </pic:pic>
              </a:graphicData>
            </a:graphic>
          </wp:inline>
        </w:drawing>
      </w:r>
    </w:p>
    <w:bookmarkEnd w:id="285"/>
    <w:bookmarkStart w:id="289"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7" name="Picture"/>
            <a:graphic>
              <a:graphicData uri="http://schemas.openxmlformats.org/drawingml/2006/picture">
                <pic:pic>
                  <pic:nvPicPr>
                    <pic:cNvPr descr="figures/mermaid/mmd-df9a0806bdd0.png" id="288" name="Picture"/>
                    <pic:cNvPicPr>
                      <a:picLocks noChangeArrowheads="1" noChangeAspect="1"/>
                    </pic:cNvPicPr>
                  </pic:nvPicPr>
                  <pic:blipFill>
                    <a:blip r:embed="rId286"/>
                    <a:stretch>
                      <a:fillRect/>
                    </a:stretch>
                  </pic:blipFill>
                  <pic:spPr bwMode="auto">
                    <a:xfrm>
                      <a:off x="0" y="0"/>
                      <a:ext cx="6108700" cy="888254"/>
                    </a:xfrm>
                    <a:prstGeom prst="rect">
                      <a:avLst/>
                    </a:prstGeom>
                    <a:noFill/>
                    <a:ln w="9525">
                      <a:noFill/>
                      <a:headEnd/>
                      <a:tailEnd/>
                    </a:ln>
                  </pic:spPr>
                </pic:pic>
              </a:graphicData>
            </a:graphic>
          </wp:inline>
        </w:drawing>
      </w:r>
    </w:p>
    <w:bookmarkEnd w:id="289"/>
    <w:bookmarkStart w:id="293"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1" name="Picture"/>
            <a:graphic>
              <a:graphicData uri="http://schemas.openxmlformats.org/drawingml/2006/picture">
                <pic:pic>
                  <pic:nvPicPr>
                    <pic:cNvPr descr="figures/mermaid/mmd-6e06de1490cf.png" id="292" name="Picture"/>
                    <pic:cNvPicPr>
                      <a:picLocks noChangeArrowheads="1" noChangeAspect="1"/>
                    </pic:cNvPicPr>
                  </pic:nvPicPr>
                  <pic:blipFill>
                    <a:blip r:embed="rId290"/>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3"/>
    <w:bookmarkStart w:id="297" w:name="flux-de-contrôle-daccès"/>
    <w:p>
      <w:pPr>
        <w:pStyle w:val="Heading2"/>
      </w:pPr>
      <w:r>
        <w:t xml:space="preserve">28.7 Flux de contrôle d’accès</w:t>
      </w:r>
    </w:p>
    <w:p>
      <w:pPr>
        <w:pStyle w:val="FirstParagraph"/>
      </w:pPr>
      <w:r>
        <w:drawing>
          <wp:inline>
            <wp:extent cx="6108700" cy="2205053"/>
            <wp:effectExtent b="0" l="0" r="0" t="0"/>
            <wp:docPr descr="" title="" id="295" name="Picture"/>
            <a:graphic>
              <a:graphicData uri="http://schemas.openxmlformats.org/drawingml/2006/picture">
                <pic:pic>
                  <pic:nvPicPr>
                    <pic:cNvPr descr="figures/mermaid/mmd-9e421e9c5c1c.png" id="296" name="Picture"/>
                    <pic:cNvPicPr>
                      <a:picLocks noChangeArrowheads="1" noChangeAspect="1"/>
                    </pic:cNvPicPr>
                  </pic:nvPicPr>
                  <pic:blipFill>
                    <a:blip r:embed="rId294"/>
                    <a:stretch>
                      <a:fillRect/>
                    </a:stretch>
                  </pic:blipFill>
                  <pic:spPr bwMode="auto">
                    <a:xfrm>
                      <a:off x="0" y="0"/>
                      <a:ext cx="6108700" cy="2205053"/>
                    </a:xfrm>
                    <a:prstGeom prst="rect">
                      <a:avLst/>
                    </a:prstGeom>
                    <a:noFill/>
                    <a:ln w="9525">
                      <a:noFill/>
                      <a:headEnd/>
                      <a:tailEnd/>
                    </a:ln>
                  </pic:spPr>
                </pic:pic>
              </a:graphicData>
            </a:graphic>
          </wp:inline>
        </w:drawing>
      </w:r>
    </w:p>
    <w:bookmarkEnd w:id="297"/>
    <w:bookmarkStart w:id="301" w:name="reprise-après-sinistre"/>
    <w:p>
      <w:pPr>
        <w:pStyle w:val="Heading2"/>
      </w:pPr>
      <w:r>
        <w:t xml:space="preserve">28.8 Reprise après sinistre</w:t>
      </w:r>
    </w:p>
    <w:p>
      <w:pPr>
        <w:pStyle w:val="FirstParagraph"/>
      </w:pPr>
      <w:r>
        <w:drawing>
          <wp:inline>
            <wp:extent cx="6108700" cy="4230898"/>
            <wp:effectExtent b="0" l="0" r="0" t="0"/>
            <wp:docPr descr="" title="" id="299" name="Picture"/>
            <a:graphic>
              <a:graphicData uri="http://schemas.openxmlformats.org/drawingml/2006/picture">
                <pic:pic>
                  <pic:nvPicPr>
                    <pic:cNvPr descr="figures/mermaid/mmd-ef50589352ea.png" id="300" name="Picture"/>
                    <pic:cNvPicPr>
                      <a:picLocks noChangeArrowheads="1" noChangeAspect="1"/>
                    </pic:cNvPicPr>
                  </pic:nvPicPr>
                  <pic:blipFill>
                    <a:blip r:embed="rId298"/>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1"/>
    <w:bookmarkStart w:id="302"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2"/>
    <w:bookmarkEnd w:id="303"/>
    <w:bookmarkStart w:id="310" w:name="modèle-de-données-conceptuel"/>
    <w:p>
      <w:pPr>
        <w:pStyle w:val="Heading1"/>
      </w:pPr>
      <w:r>
        <w:t xml:space="preserve">29. Modèle de données conceptuel</w:t>
      </w:r>
    </w:p>
    <w:bookmarkStart w:id="304"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4"/>
    <w:bookmarkStart w:id="308"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6" name="Picture"/>
            <a:graphic>
              <a:graphicData uri="http://schemas.openxmlformats.org/drawingml/2006/picture">
                <pic:pic>
                  <pic:nvPicPr>
                    <pic:cNvPr descr="figures/mermaid/mmd-e21817bcdfe2.png" id="307" name="Picture"/>
                    <pic:cNvPicPr>
                      <a:picLocks noChangeArrowheads="1" noChangeAspect="1"/>
                    </pic:cNvPicPr>
                  </pic:nvPicPr>
                  <pic:blipFill>
                    <a:blip r:embed="rId305"/>
                    <a:stretch>
                      <a:fillRect/>
                    </a:stretch>
                  </pic:blipFill>
                  <pic:spPr bwMode="auto">
                    <a:xfrm>
                      <a:off x="0" y="0"/>
                      <a:ext cx="6108700" cy="1932343"/>
                    </a:xfrm>
                    <a:prstGeom prst="rect">
                      <a:avLst/>
                    </a:prstGeom>
                    <a:noFill/>
                    <a:ln w="9525">
                      <a:noFill/>
                      <a:headEnd/>
                      <a:tailEnd/>
                    </a:ln>
                  </pic:spPr>
                </pic:pic>
              </a:graphicData>
            </a:graphic>
          </wp:inline>
        </w:drawing>
      </w:r>
    </w:p>
    <w:bookmarkEnd w:id="308"/>
    <w:bookmarkStart w:id="309"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09"/>
    <w:bookmarkEnd w:id="310"/>
    <w:bookmarkStart w:id="314" w:name="catalogue-des-api"/>
    <w:p>
      <w:pPr>
        <w:pStyle w:val="Heading1"/>
      </w:pPr>
      <w:r>
        <w:t xml:space="preserve">30. Catalogue des API</w:t>
      </w:r>
    </w:p>
    <w:bookmarkStart w:id="311"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1"/>
    <w:bookmarkStart w:id="312"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2"/>
    <w:bookmarkStart w:id="313"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3"/>
    <w:bookmarkEnd w:id="314"/>
    <w:bookmarkStart w:id="317" w:name="architecture-de-sécurité"/>
    <w:p>
      <w:pPr>
        <w:pStyle w:val="Heading1"/>
      </w:pPr>
      <w:r>
        <w:t xml:space="preserve">31. Architecture de sécurité</w:t>
      </w:r>
    </w:p>
    <w:bookmarkStart w:id="315"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5"/>
    <w:bookmarkStart w:id="316"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6"/>
    <w:bookmarkEnd w:id="317"/>
    <w:bookmarkStart w:id="318"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8"/>
    <w:bookmarkStart w:id="321" w:name="hébergement-et-souveraineté"/>
    <w:p>
      <w:pPr>
        <w:pStyle w:val="Heading1"/>
      </w:pPr>
      <w:r>
        <w:t xml:space="preserve">33. Hébergement et souveraineté</w:t>
      </w:r>
    </w:p>
    <w:bookmarkStart w:id="319"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19"/>
    <w:bookmarkStart w:id="320"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0"/>
    <w:bookmarkEnd w:id="321"/>
    <w:bookmarkStart w:id="328"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3" name="Picture"/>
            <a:graphic>
              <a:graphicData uri="http://schemas.openxmlformats.org/drawingml/2006/picture">
                <pic:pic>
                  <pic:nvPicPr>
                    <pic:cNvPr descr="figures/fig-feuille-de-route.png" id="324" name="Picture"/>
                    <pic:cNvPicPr>
                      <a:picLocks noChangeArrowheads="1" noChangeAspect="1"/>
                    </pic:cNvPicPr>
                  </pic:nvPicPr>
                  <pic:blipFill>
                    <a:blip r:embed="rId322"/>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5"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0"/>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0"/>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0"/>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0"/>
        </w:numPr>
      </w:pPr>
      <w:r>
        <w:t xml:space="preserve">l’extension et la généralisation</w:t>
      </w:r>
      <w:r>
        <w:t xml:space="preserve"> </w:t>
      </w:r>
      <w:r>
        <w:rPr>
          <w:b/>
          <w:bCs/>
        </w:rPr>
        <w:t xml:space="preserve">conditionnées à des résultats audités</w:t>
      </w:r>
      <w:r>
        <w:t xml:space="preserve">.</w:t>
      </w:r>
    </w:p>
    <w:bookmarkEnd w:id="325"/>
    <w:bookmarkStart w:id="326"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6"/>
    <w:bookmarkStart w:id="327"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7"/>
    <w:bookmarkEnd w:id="328"/>
    <w:bookmarkStart w:id="329"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29"/>
    <w:bookmarkStart w:id="333" w:name="gouvernance-du-programme"/>
    <w:p>
      <w:pPr>
        <w:pStyle w:val="Heading1"/>
      </w:pPr>
      <w:r>
        <w:t xml:space="preserve">36. Gouvernance du programme</w:t>
      </w:r>
    </w:p>
    <w:p>
      <w:pPr>
        <w:pStyle w:val="FirstParagraph"/>
      </w:pPr>
      <w:r>
        <w:drawing>
          <wp:inline>
            <wp:extent cx="6108700" cy="1854426"/>
            <wp:effectExtent b="0" l="0" r="0" t="0"/>
            <wp:docPr descr="" title="" id="331" name="Picture"/>
            <a:graphic>
              <a:graphicData uri="http://schemas.openxmlformats.org/drawingml/2006/picture">
                <pic:pic>
                  <pic:nvPicPr>
                    <pic:cNvPr descr="figures/mermaid/mmd-8a7ff25ecd22.png" id="332" name="Picture"/>
                    <pic:cNvPicPr>
                      <a:picLocks noChangeArrowheads="1" noChangeAspect="1"/>
                    </pic:cNvPicPr>
                  </pic:nvPicPr>
                  <pic:blipFill>
                    <a:blip r:embed="rId330"/>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3"/>
    <w:bookmarkStart w:id="338" w:name="X9264de879a9b14f1ad13b100c53cac086dd79e4"/>
    <w:p>
      <w:pPr>
        <w:pStyle w:val="Heading1"/>
      </w:pPr>
      <w:r>
        <w:t xml:space="preserve">37. Passation des marchés et modèle commercial</w:t>
      </w:r>
    </w:p>
    <w:bookmarkStart w:id="334"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4"/>
    <w:bookmarkStart w:id="335"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5"/>
    <w:bookmarkStart w:id="336"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6"/>
    <w:bookmarkStart w:id="337"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7"/>
    <w:bookmarkEnd w:id="338"/>
    <w:bookmarkStart w:id="345" w:name="modèle-financier"/>
    <w:p>
      <w:pPr>
        <w:pStyle w:val="Heading1"/>
      </w:pPr>
      <w:r>
        <w:t xml:space="preserve">38. Modèle financier</w:t>
      </w:r>
    </w:p>
    <w:bookmarkStart w:id="339"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39"/>
    <w:bookmarkStart w:id="340" w:name="formules"/>
    <w:p>
      <w:pPr>
        <w:pStyle w:val="Heading2"/>
      </w:pPr>
      <w:r>
        <w:t xml:space="preserve">38.2 Formules</w:t>
      </w:r>
    </w:p>
    <w:p>
      <w:pPr>
        <w:pStyle w:val="Compact"/>
        <w:numPr>
          <w:ilvl w:val="0"/>
          <w:numId w:val="1021"/>
        </w:numPr>
      </w:pPr>
      <w:r>
        <w:t xml:space="preserve">Potentiel théorique = Σ objets × montant légal moyen dû</w:t>
      </w:r>
    </w:p>
    <w:p>
      <w:pPr>
        <w:pStyle w:val="Compact"/>
        <w:numPr>
          <w:ilvl w:val="0"/>
          <w:numId w:val="1021"/>
        </w:numPr>
      </w:pPr>
      <w:r>
        <w:t xml:space="preserve">Recette additionnelle attendue = potentiel × (conformité cible − conformité actuelle) − coût marginal de recouvrement</w:t>
      </w:r>
    </w:p>
    <w:p>
      <w:pPr>
        <w:pStyle w:val="Compact"/>
        <w:numPr>
          <w:ilvl w:val="0"/>
          <w:numId w:val="1021"/>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1"/>
        </w:numPr>
      </w:pPr>
      <w:r>
        <w:t xml:space="preserve">Délai de retour = coût d’investissement cumulé / RANV annuelle moyenne</w:t>
      </w:r>
    </w:p>
    <w:bookmarkEnd w:id="340"/>
    <w:bookmarkStart w:id="344" w:name="scénarios"/>
    <w:p>
      <w:pPr>
        <w:pStyle w:val="Heading2"/>
      </w:pPr>
      <w:r>
        <w:t xml:space="preserve">38.3 Scénarios</w:t>
      </w:r>
    </w:p>
    <w:p>
      <w:pPr>
        <w:pStyle w:val="CaptionedFigure"/>
      </w:pPr>
      <w:r>
        <w:drawing>
          <wp:inline>
            <wp:extent cx="6108700" cy="3072936"/>
            <wp:effectExtent b="0" l="0" r="0" t="0"/>
            <wp:docPr descr="Trois scénarios" title="" id="342" name="Picture"/>
            <a:graphic>
              <a:graphicData uri="http://schemas.openxmlformats.org/drawingml/2006/picture">
                <pic:pic>
                  <pic:nvPicPr>
                    <pic:cNvPr descr="figures/fig-scenarios.png" id="343" name="Picture"/>
                    <pic:cNvPicPr>
                      <a:picLocks noChangeArrowheads="1" noChangeAspect="1"/>
                    </pic:cNvPicPr>
                  </pic:nvPicPr>
                  <pic:blipFill>
                    <a:blip r:embed="rId341"/>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4"/>
    <w:bookmarkEnd w:id="345"/>
    <w:bookmarkStart w:id="346"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6"/>
    <w:bookmarkStart w:id="350" w:name="registre-des-risques"/>
    <w:p>
      <w:pPr>
        <w:pStyle w:val="Heading1"/>
      </w:pPr>
      <w:r>
        <w:t xml:space="preserve">40. Registre des risques</w:t>
      </w:r>
    </w:p>
    <w:p>
      <w:pPr>
        <w:pStyle w:val="CaptionedFigure"/>
      </w:pPr>
      <w:r>
        <w:drawing>
          <wp:inline>
            <wp:extent cx="6108700" cy="4592480"/>
            <wp:effectExtent b="0" l="0" r="0" t="0"/>
            <wp:docPr descr="Cartographie des risques" title="" id="348" name="Picture"/>
            <a:graphic>
              <a:graphicData uri="http://schemas.openxmlformats.org/drawingml/2006/picture">
                <pic:pic>
                  <pic:nvPicPr>
                    <pic:cNvPr descr="figures/fig-risques.png" id="349" name="Picture"/>
                    <pic:cNvPicPr>
                      <a:picLocks noChangeArrowheads="1" noChangeAspect="1"/>
                    </pic:cNvPicPr>
                  </pic:nvPicPr>
                  <pic:blipFill>
                    <a:blip r:embed="rId347"/>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0"/>
    <w:bookmarkStart w:id="351"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1"/>
    <w:bookmarkStart w:id="354" w:name="carnet-de-développement"/>
    <w:p>
      <w:pPr>
        <w:pStyle w:val="Heading1"/>
      </w:pPr>
      <w:r>
        <w:t xml:space="preserve">42. Carnet de développement</w:t>
      </w:r>
    </w:p>
    <w:bookmarkStart w:id="352"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2"/>
    <w:bookmarkStart w:id="353"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3"/>
    <w:bookmarkEnd w:id="354"/>
    <w:bookmarkStart w:id="355"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5"/>
    <w:bookmarkStart w:id="356"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6"/>
    <w:bookmarkStart w:id="361" w:name="plan-pilote-de-180-jours"/>
    <w:p>
      <w:pPr>
        <w:pStyle w:val="Heading1"/>
      </w:pPr>
      <w:r>
        <w:t xml:space="preserve">45. Plan pilote de 180 jours</w:t>
      </w:r>
    </w:p>
    <w:bookmarkStart w:id="357"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7"/>
    <w:bookmarkStart w:id="358"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8"/>
    <w:bookmarkStart w:id="359" w:name="critères-de-succès"/>
    <w:p>
      <w:pPr>
        <w:pStyle w:val="Heading2"/>
      </w:pPr>
      <w:r>
        <w:t xml:space="preserve">45.3 Critères de succès</w:t>
      </w:r>
    </w:p>
    <w:p>
      <w:pPr>
        <w:pStyle w:val="Compact"/>
        <w:numPr>
          <w:ilvl w:val="0"/>
          <w:numId w:val="1022"/>
        </w:numPr>
      </w:pPr>
      <w:r>
        <w:t xml:space="preserve">Couverture ≥ 90 % des objets des quartiers traités ;</w:t>
      </w:r>
    </w:p>
    <w:p>
      <w:pPr>
        <w:pStyle w:val="Compact"/>
        <w:numPr>
          <w:ilvl w:val="0"/>
          <w:numId w:val="1022"/>
        </w:numPr>
      </w:pPr>
      <w:r>
        <w:t xml:space="preserve">Rapprochement automatique ≥ 95 % à J+1 ;</w:t>
      </w:r>
    </w:p>
    <w:p>
      <w:pPr>
        <w:pStyle w:val="Compact"/>
        <w:numPr>
          <w:ilvl w:val="0"/>
          <w:numId w:val="1022"/>
        </w:numPr>
      </w:pPr>
      <w:r>
        <w:t xml:space="preserve">Aucune espèce hors canal agréé non instruite ;</w:t>
      </w:r>
    </w:p>
    <w:p>
      <w:pPr>
        <w:pStyle w:val="Compact"/>
        <w:numPr>
          <w:ilvl w:val="0"/>
          <w:numId w:val="1022"/>
        </w:numPr>
      </w:pPr>
      <w:r>
        <w:t xml:space="preserve">RANV positive et significative dans les quartiers traités par rapport aux quartiers de comparaison ;</w:t>
      </w:r>
    </w:p>
    <w:p>
      <w:pPr>
        <w:pStyle w:val="Compact"/>
        <w:numPr>
          <w:ilvl w:val="0"/>
          <w:numId w:val="1022"/>
        </w:numPr>
      </w:pPr>
      <w:r>
        <w:t xml:space="preserve">Coût de collecte par franc recouvré inférieur à la base ;</w:t>
      </w:r>
    </w:p>
    <w:p>
      <w:pPr>
        <w:pStyle w:val="Compact"/>
        <w:numPr>
          <w:ilvl w:val="0"/>
          <w:numId w:val="1022"/>
        </w:numPr>
      </w:pPr>
      <w:r>
        <w:t xml:space="preserve">Délai de traitement des réclamations dans le délai légal ;</w:t>
      </w:r>
    </w:p>
    <w:p>
      <w:pPr>
        <w:pStyle w:val="Compact"/>
        <w:numPr>
          <w:ilvl w:val="0"/>
          <w:numId w:val="1022"/>
        </w:numPr>
      </w:pPr>
      <w:r>
        <w:t xml:space="preserve">Satisfaction ≥ 4/5 ;</w:t>
      </w:r>
    </w:p>
    <w:p>
      <w:pPr>
        <w:pStyle w:val="Compact"/>
        <w:numPr>
          <w:ilvl w:val="0"/>
          <w:numId w:val="1022"/>
        </w:numPr>
      </w:pPr>
      <w:r>
        <w:t xml:space="preserve">Aucun incident de sécurité majeur ;</w:t>
      </w:r>
    </w:p>
    <w:p>
      <w:pPr>
        <w:pStyle w:val="Compact"/>
        <w:numPr>
          <w:ilvl w:val="0"/>
          <w:numId w:val="1022"/>
        </w:numPr>
      </w:pPr>
      <w:r>
        <w:t xml:space="preserve">Aucune liquidation fondée sur une règle non certifiée.</w:t>
      </w:r>
    </w:p>
    <w:bookmarkEnd w:id="359"/>
    <w:bookmarkStart w:id="360"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0"/>
    <w:bookmarkEnd w:id="361"/>
    <w:bookmarkStart w:id="362"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2"/>
    <w:bookmarkStart w:id="363"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3"/>
    <w:bookmarkStart w:id="372"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4" w:name="dix-décisions-immédiates-du-gouverneur"/>
    <w:p>
      <w:pPr>
        <w:pStyle w:val="Heading2"/>
      </w:pPr>
      <w:r>
        <w:t xml:space="preserve">1. Dix décisions immédiates du Gouverneur</w:t>
      </w:r>
    </w:p>
    <w:p>
      <w:pPr>
        <w:pStyle w:val="Compact"/>
        <w:numPr>
          <w:ilvl w:val="0"/>
          <w:numId w:val="1023"/>
        </w:numPr>
      </w:pPr>
      <w:r>
        <w:t xml:space="preserve">Mandater KINSHASA MOSOLO comme architecture faîtière des recettes et installer le comité de pilotage sous quinze jours.</w:t>
      </w:r>
    </w:p>
    <w:p>
      <w:pPr>
        <w:pStyle w:val="Compact"/>
        <w:numPr>
          <w:ilvl w:val="0"/>
          <w:numId w:val="1023"/>
        </w:numPr>
      </w:pPr>
      <w:r>
        <w:t xml:space="preserve">Désigner le ministre provincial des Finances comme sponsor exécutif et nommer un directeur de programme.</w:t>
      </w:r>
    </w:p>
    <w:p>
      <w:pPr>
        <w:pStyle w:val="Compact"/>
        <w:numPr>
          <w:ilvl w:val="0"/>
          <w:numId w:val="1023"/>
        </w:numPr>
      </w:pPr>
      <w:r>
        <w:t xml:space="preserve">Ordonner le relevé juridique certifié : OL 18/004, Édit 005/2021, édit budgétaire 2026, arrêtés de taux, arrêtés DGIPK et DGTK, statut de la « Loi n° 18/014 ».</w:t>
      </w:r>
    </w:p>
    <w:p>
      <w:pPr>
        <w:pStyle w:val="Compact"/>
        <w:numPr>
          <w:ilvl w:val="0"/>
          <w:numId w:val="1023"/>
        </w:numPr>
      </w:pPr>
      <w:r>
        <w:t xml:space="preserve">Faire mesurer la base de référence des recettes par un auditeur indépendant avant tout engagement chiffré.</w:t>
      </w:r>
    </w:p>
    <w:p>
      <w:pPr>
        <w:pStyle w:val="Compact"/>
        <w:numPr>
          <w:ilvl w:val="0"/>
          <w:numId w:val="1023"/>
        </w:numPr>
      </w:pPr>
      <w:r>
        <w:t xml:space="preserve">Poser par écrit le principe « fonds publics sur comptes publics » et désigner les comptes de recettes et les gardiens du coffre des bénéficiaires.</w:t>
      </w:r>
    </w:p>
    <w:p>
      <w:pPr>
        <w:pStyle w:val="Compact"/>
        <w:numPr>
          <w:ilvl w:val="0"/>
          <w:numId w:val="1023"/>
        </w:numPr>
      </w:pPr>
      <w:r>
        <w:t xml:space="preserve">Adopter la Constitution financière : aucune personne ne peut seule modifier une dette, un paiement, un compte bénéficiaire, une règle ou une trace.</w:t>
      </w:r>
    </w:p>
    <w:p>
      <w:pPr>
        <w:pStyle w:val="Compact"/>
        <w:numPr>
          <w:ilvl w:val="0"/>
          <w:numId w:val="1023"/>
        </w:numPr>
      </w:pPr>
      <w:r>
        <w:t xml:space="preserve">Autoriser la négociation des protocoles de données (énergie, eau, immatriculations, télécoms, brasseries, DGI, grands employeurs), sous analyse d’impact.</w:t>
      </w:r>
    </w:p>
    <w:p>
      <w:pPr>
        <w:pStyle w:val="Compact"/>
        <w:numPr>
          <w:ilvl w:val="0"/>
          <w:numId w:val="1023"/>
        </w:numPr>
      </w:pPr>
      <w:r>
        <w:t xml:space="preserve">Approuver les communes pilotes — Gombe, Limete, Kalamu, Ngaliema — et le calendrier de recensement avant février 2027.</w:t>
      </w:r>
    </w:p>
    <w:p>
      <w:pPr>
        <w:pStyle w:val="Compact"/>
        <w:numPr>
          <w:ilvl w:val="0"/>
          <w:numId w:val="1023"/>
        </w:numPr>
      </w:pPr>
      <w:r>
        <w:t xml:space="preserve">Retenir le modèle commercial hybride et exclure tout prélèvement automatique de recettes publiques au profit d’un tiers.</w:t>
      </w:r>
    </w:p>
    <w:p>
      <w:pPr>
        <w:pStyle w:val="Compact"/>
        <w:numPr>
          <w:ilvl w:val="0"/>
          <w:numId w:val="1023"/>
        </w:numPr>
      </w:pPr>
      <w:r>
        <w:t xml:space="preserve">Arrêter le financement des moyens physiques et conditionner la généralisation à des résultats audités.</w:t>
      </w:r>
    </w:p>
    <w:bookmarkEnd w:id="364"/>
    <w:bookmarkStart w:id="365"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5"/>
    <w:bookmarkStart w:id="366"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6"/>
    <w:bookmarkStart w:id="367"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7"/>
    <w:bookmarkStart w:id="368"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8"/>
    <w:bookmarkStart w:id="369"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69"/>
    <w:bookmarkStart w:id="370"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0"/>
    <w:bookmarkStart w:id="371"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1"/>
    <w:bookmarkEnd w:id="372"/>
    <w:bookmarkStart w:id="373"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3"/>
    <w:bookmarkStart w:id="374"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4"/>
    <w:bookmarkStart w:id="375"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5"/>
    <w:bookmarkStart w:id="378" w:name="Xc12fdb73653bdacaac97164d86ee693695850f5"/>
    <w:p>
      <w:pPr>
        <w:pStyle w:val="Heading1"/>
      </w:pPr>
      <w:r>
        <w:t xml:space="preserve">Annexe D — Arbitrages avec les documents antérieurs et traçabilité</w:t>
      </w:r>
    </w:p>
    <w:bookmarkStart w:id="376"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6"/>
    <w:bookmarkStart w:id="377"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239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7"/>
    <w:bookmarkEnd w:id="378"/>
    <w:bookmarkStart w:id="386"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2"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0" name="Picture"/>
            <a:graphic>
              <a:graphicData uri="http://schemas.openxmlformats.org/drawingml/2006/picture">
                <pic:pic>
                  <pic:nvPicPr>
                    <pic:cNvPr descr="figures/mermaid/mmd-69fedf0e1b7f.png" id="381" name="Picture"/>
                    <pic:cNvPicPr>
                      <a:picLocks noChangeArrowheads="1" noChangeAspect="1"/>
                    </pic:cNvPicPr>
                  </pic:nvPicPr>
                  <pic:blipFill>
                    <a:blip r:embed="rId379"/>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2"/>
    <w:bookmarkStart w:id="383"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3"/>
    <w:bookmarkStart w:id="384"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4"/>
    <w:bookmarkStart w:id="385"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239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5"/>
    <w:bookmarkEnd w:id="386"/>
    <w:bookmarkStart w:id="583"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8" w:name="X85d547152aac5cc5fd3d053fc13d69aa923fb0e"/>
    <w:p>
      <w:pPr>
        <w:pStyle w:val="Heading2"/>
      </w:pPr>
      <w:r>
        <w:t xml:space="preserve">H.1 Méthode et statistiques de couverture</w:t>
      </w:r>
    </w:p>
    <w:bookmarkStart w:id="387"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7"/>
    <w:bookmarkStart w:id="391"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89" name="Picture"/>
            <a:graphic>
              <a:graphicData uri="http://schemas.openxmlformats.org/drawingml/2006/picture">
                <pic:pic>
                  <pic:nvPicPr>
                    <pic:cNvPr descr="figures/mermaid/mmd-93dbe4fbec8d.png" id="390" name="Picture"/>
                    <pic:cNvPicPr>
                      <a:picLocks noChangeArrowheads="1" noChangeAspect="1"/>
                    </pic:cNvPicPr>
                  </pic:nvPicPr>
                  <pic:blipFill>
                    <a:blip r:embed="rId388"/>
                    <a:stretch>
                      <a:fillRect/>
                    </a:stretch>
                  </pic:blipFill>
                  <pic:spPr bwMode="auto">
                    <a:xfrm>
                      <a:off x="0" y="0"/>
                      <a:ext cx="6108700" cy="3171225"/>
                    </a:xfrm>
                    <a:prstGeom prst="rect">
                      <a:avLst/>
                    </a:prstGeom>
                    <a:noFill/>
                    <a:ln w="9525">
                      <a:noFill/>
                      <a:headEnd/>
                      <a:tailEnd/>
                    </a:ln>
                  </pic:spPr>
                </pic:pic>
              </a:graphicData>
            </a:graphic>
          </wp:inline>
        </w:drawing>
      </w:r>
    </w:p>
    <w:bookmarkEnd w:id="391"/>
    <w:bookmarkStart w:id="392"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2"/>
    <w:bookmarkStart w:id="393"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3"/>
    <w:bookmarkStart w:id="397"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5" name="Picture"/>
            <a:graphic>
              <a:graphicData uri="http://schemas.openxmlformats.org/drawingml/2006/picture">
                <pic:pic>
                  <pic:nvPicPr>
                    <pic:cNvPr descr="figures/mermaid/mmd-f849c3702b34.png" id="396" name="Picture"/>
                    <pic:cNvPicPr>
                      <a:picLocks noChangeArrowheads="1" noChangeAspect="1"/>
                    </pic:cNvPicPr>
                  </pic:nvPicPr>
                  <pic:blipFill>
                    <a:blip r:embed="rId394"/>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7"/>
    <w:bookmarkEnd w:id="398"/>
    <w:bookmarkStart w:id="403" w:name="h.2-chapitres-1-à-5-compléments-décider"/>
    <w:p>
      <w:pPr>
        <w:pStyle w:val="Heading2"/>
      </w:pPr>
      <w:r>
        <w:t xml:space="preserve">H.2 Chapitres 1 à 5 — Compléments « Décider »</w:t>
      </w:r>
    </w:p>
    <w:bookmarkStart w:id="399"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399"/>
    <w:bookmarkStart w:id="400"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0"/>
    <w:bookmarkStart w:id="401"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1"/>
    <w:bookmarkStart w:id="402"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2"/>
    <w:bookmarkEnd w:id="403"/>
    <w:bookmarkStart w:id="409" w:name="X67aad3788cdd0ae762a0cb2a4e0191330cb4091"/>
    <w:p>
      <w:pPr>
        <w:pStyle w:val="Heading2"/>
      </w:pPr>
      <w:r>
        <w:t xml:space="preserve">H.3 Chapitres 6 à 8 — Compléments « Le droit et l’argent »</w:t>
      </w:r>
    </w:p>
    <w:bookmarkStart w:id="404"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4"/>
    <w:bookmarkStart w:id="405"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5"/>
    <w:bookmarkStart w:id="406"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6"/>
    <w:bookmarkStart w:id="407"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7"/>
    <w:bookmarkStart w:id="408"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8"/>
    <w:bookmarkEnd w:id="409"/>
    <w:bookmarkStart w:id="416" w:name="X1e6a27aa57c82f3528e925eb4b5cc52e6da9040"/>
    <w:p>
      <w:pPr>
        <w:pStyle w:val="Heading2"/>
      </w:pPr>
      <w:r>
        <w:t xml:space="preserve">H.4 Chapitres 9 et 10 — Compte unique et architecture multi-entités</w:t>
      </w:r>
    </w:p>
    <w:bookmarkStart w:id="410"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0"/>
    <w:bookmarkStart w:id="411"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4"/>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4"/>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4"/>
        </w:numPr>
      </w:pPr>
      <w:r>
        <w:rPr>
          <w:b/>
          <w:bCs/>
        </w:rPr>
        <w:t xml:space="preserve">Échanges inter-entités par API contractualisées</w:t>
      </w:r>
      <w:r>
        <w:t xml:space="preserve"> </w:t>
      </w:r>
      <w:r>
        <w:t xml:space="preserve">uniquement (module 52), journalisés.</w:t>
      </w:r>
    </w:p>
    <w:bookmarkEnd w:id="411"/>
    <w:bookmarkStart w:id="415"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3" name="Picture"/>
            <a:graphic>
              <a:graphicData uri="http://schemas.openxmlformats.org/drawingml/2006/picture">
                <pic:pic>
                  <pic:nvPicPr>
                    <pic:cNvPr descr="figures/mermaid/mmd-a16304bbef7e.png" id="414" name="Picture"/>
                    <pic:cNvPicPr>
                      <a:picLocks noChangeArrowheads="1" noChangeAspect="1"/>
                    </pic:cNvPicPr>
                  </pic:nvPicPr>
                  <pic:blipFill>
                    <a:blip r:embed="rId412"/>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5"/>
    <w:bookmarkEnd w:id="416"/>
    <w:bookmarkStart w:id="420" w:name="Xdaf85de975bb73ae39c43ce8fd05582255527e0"/>
    <w:p>
      <w:pPr>
        <w:pStyle w:val="Heading2"/>
      </w:pPr>
      <w:r>
        <w:t xml:space="preserve">H.5 Chapitre 11 — Catalogue des modules et verticales</w:t>
      </w:r>
    </w:p>
    <w:bookmarkStart w:id="417"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7"/>
    <w:bookmarkStart w:id="418"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8"/>
    <w:bookmarkStart w:id="419"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19"/>
    <w:bookmarkEnd w:id="420"/>
    <w:bookmarkStart w:id="436" w:name="Xeb053607120574e7a9d2cf6e2598ddc3e41eefd"/>
    <w:p>
      <w:pPr>
        <w:pStyle w:val="Heading2"/>
      </w:pPr>
      <w:r>
        <w:t xml:space="preserve">H.6 Chapitre 12 — Rôles, impossibilités et invitations en cascade</w:t>
      </w:r>
    </w:p>
    <w:bookmarkStart w:id="421"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1"/>
    <w:bookmarkStart w:id="422"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2"/>
    <w:bookmarkStart w:id="423"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3"/>
    <w:bookmarkStart w:id="427"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5" name="Picture"/>
            <a:graphic>
              <a:graphicData uri="http://schemas.openxmlformats.org/drawingml/2006/picture">
                <pic:pic>
                  <pic:nvPicPr>
                    <pic:cNvPr descr="figures/mermaid/mmd-4bbadc94bb63.png" id="426" name="Picture"/>
                    <pic:cNvPicPr>
                      <a:picLocks noChangeArrowheads="1" noChangeAspect="1"/>
                    </pic:cNvPicPr>
                  </pic:nvPicPr>
                  <pic:blipFill>
                    <a:blip r:embed="rId424"/>
                    <a:stretch>
                      <a:fillRect/>
                    </a:stretch>
                  </pic:blipFill>
                  <pic:spPr bwMode="auto">
                    <a:xfrm>
                      <a:off x="0" y="0"/>
                      <a:ext cx="6108700" cy="8085044"/>
                    </a:xfrm>
                    <a:prstGeom prst="rect">
                      <a:avLst/>
                    </a:prstGeom>
                    <a:noFill/>
                    <a:ln w="9525">
                      <a:noFill/>
                      <a:headEnd/>
                      <a:tailEnd/>
                    </a:ln>
                  </pic:spPr>
                </pic:pic>
              </a:graphicData>
            </a:graphic>
          </wp:inline>
        </w:drawing>
      </w:r>
    </w:p>
    <w:bookmarkEnd w:id="427"/>
    <w:bookmarkStart w:id="428"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8"/>
    <w:bookmarkStart w:id="429"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29"/>
    <w:bookmarkStart w:id="433"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1" name="Picture"/>
            <a:graphic>
              <a:graphicData uri="http://schemas.openxmlformats.org/drawingml/2006/picture">
                <pic:pic>
                  <pic:nvPicPr>
                    <pic:cNvPr descr="figures/mermaid/mmd-fc06376a1977.png" id="432" name="Picture"/>
                    <pic:cNvPicPr>
                      <a:picLocks noChangeArrowheads="1" noChangeAspect="1"/>
                    </pic:cNvPicPr>
                  </pic:nvPicPr>
                  <pic:blipFill>
                    <a:blip r:embed="rId430"/>
                    <a:stretch>
                      <a:fillRect/>
                    </a:stretch>
                  </pic:blipFill>
                  <pic:spPr bwMode="auto">
                    <a:xfrm>
                      <a:off x="0" y="0"/>
                      <a:ext cx="6108700" cy="5290570"/>
                    </a:xfrm>
                    <a:prstGeom prst="rect">
                      <a:avLst/>
                    </a:prstGeom>
                    <a:noFill/>
                    <a:ln w="9525">
                      <a:noFill/>
                      <a:headEnd/>
                      <a:tailEnd/>
                    </a:ln>
                  </pic:spPr>
                </pic:pic>
              </a:graphicData>
            </a:graphic>
          </wp:inline>
        </w:drawing>
      </w:r>
    </w:p>
    <w:bookmarkEnd w:id="433"/>
    <w:bookmarkStart w:id="434" w:name="X362d0ff3f5222f33ae86aeb0a55801d740ef779"/>
    <w:p>
      <w:pPr>
        <w:pStyle w:val="Heading3"/>
      </w:pPr>
      <w:r>
        <w:t xml:space="preserve">H.6.8 Garde-fous de l’administrateur de la plateforme</w:t>
      </w:r>
    </w:p>
    <w:p>
      <w:pPr>
        <w:pStyle w:val="Compact"/>
        <w:numPr>
          <w:ilvl w:val="0"/>
          <w:numId w:val="1025"/>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5"/>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5"/>
        </w:numPr>
      </w:pPr>
      <w:r>
        <w:t xml:space="preserve">Toute invitation, activation, modification ou révocation est journalisée et visible en temps réel par l’administrateur d’entité concerné et par l’audit.</w:t>
      </w:r>
    </w:p>
    <w:p>
      <w:pPr>
        <w:pStyle w:val="Compact"/>
        <w:numPr>
          <w:ilvl w:val="0"/>
          <w:numId w:val="1025"/>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4"/>
    <w:bookmarkStart w:id="435"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5"/>
    <w:bookmarkEnd w:id="436"/>
    <w:bookmarkStart w:id="447" w:name="Xd057f2189754abaa4100b43236807ad2a0b75d2"/>
    <w:p>
      <w:pPr>
        <w:pStyle w:val="Heading2"/>
      </w:pPr>
      <w:r>
        <w:t xml:space="preserve">H.7 Chapitre 13 — Parcours contribuables et enrôlement inclusif</w:t>
      </w:r>
    </w:p>
    <w:bookmarkStart w:id="437"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7"/>
    <w:bookmarkStart w:id="438"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8"/>
    <w:bookmarkStart w:id="439" w:name="h.7.3-consentement-sans-écriture"/>
    <w:p>
      <w:pPr>
        <w:pStyle w:val="Heading3"/>
      </w:pPr>
      <w:r>
        <w:t xml:space="preserve">H.7.3 Consentement sans écriture</w:t>
      </w:r>
    </w:p>
    <w:p>
      <w:pPr>
        <w:pStyle w:val="Compact"/>
        <w:numPr>
          <w:ilvl w:val="0"/>
          <w:numId w:val="1026"/>
        </w:numPr>
      </w:pPr>
      <w:r>
        <w:t xml:space="preserve">Lecture à voix haute du résumé dans la langue choisie (audio pré-enregistré validé, § 11.5).</w:t>
      </w:r>
    </w:p>
    <w:p>
      <w:pPr>
        <w:pStyle w:val="Compact"/>
        <w:numPr>
          <w:ilvl w:val="0"/>
          <w:numId w:val="1026"/>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6"/>
        </w:numPr>
      </w:pPr>
      <w:r>
        <w:t xml:space="preserve">Récapitulatif remis par SMS, appel vocal ou document imprimé.</w:t>
      </w:r>
    </w:p>
    <w:p>
      <w:pPr>
        <w:pStyle w:val="Compact"/>
        <w:numPr>
          <w:ilvl w:val="0"/>
          <w:numId w:val="1026"/>
        </w:numPr>
      </w:pPr>
      <w:r>
        <w:rPr>
          <w:b/>
          <w:bCs/>
        </w:rPr>
        <w:t xml:space="preserve">Impossible de terminer un enrôlement assisté sans lecture du résumé et consentement</w:t>
      </w:r>
      <w:r>
        <w:t xml:space="preserve"> </w:t>
      </w:r>
      <w:r>
        <w:t xml:space="preserve">; toute tentative est journalisée.</w:t>
      </w:r>
    </w:p>
    <w:bookmarkEnd w:id="439"/>
    <w:bookmarkStart w:id="440"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0"/>
    <w:bookmarkStart w:id="444"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2" name="Picture"/>
            <a:graphic>
              <a:graphicData uri="http://schemas.openxmlformats.org/drawingml/2006/picture">
                <pic:pic>
                  <pic:nvPicPr>
                    <pic:cNvPr descr="figures/mermaid/mmd-058a3ac75d44.png" id="443" name="Picture"/>
                    <pic:cNvPicPr>
                      <a:picLocks noChangeArrowheads="1" noChangeAspect="1"/>
                    </pic:cNvPicPr>
                  </pic:nvPicPr>
                  <pic:blipFill>
                    <a:blip r:embed="rId441"/>
                    <a:stretch>
                      <a:fillRect/>
                    </a:stretch>
                  </pic:blipFill>
                  <pic:spPr bwMode="auto">
                    <a:xfrm>
                      <a:off x="0" y="0"/>
                      <a:ext cx="6108700" cy="2688139"/>
                    </a:xfrm>
                    <a:prstGeom prst="rect">
                      <a:avLst/>
                    </a:prstGeom>
                    <a:noFill/>
                    <a:ln w="9525">
                      <a:noFill/>
                      <a:headEnd/>
                      <a:tailEnd/>
                    </a:ln>
                  </pic:spPr>
                </pic:pic>
              </a:graphicData>
            </a:graphic>
          </wp:inline>
        </w:drawing>
      </w:r>
    </w:p>
    <w:bookmarkEnd w:id="444"/>
    <w:bookmarkStart w:id="445" w:name="h.7.6-garanties-et-critère"/>
    <w:p>
      <w:pPr>
        <w:pStyle w:val="Heading3"/>
      </w:pPr>
      <w:r>
        <w:t xml:space="preserve">H.7.6 Garanties et critère</w:t>
      </w:r>
    </w:p>
    <w:p>
      <w:pPr>
        <w:pStyle w:val="Compact"/>
        <w:numPr>
          <w:ilvl w:val="0"/>
          <w:numId w:val="1027"/>
        </w:numPr>
      </w:pPr>
      <w:r>
        <w:t xml:space="preserve">Aucun frais d’enrôlement ; USSD et SVI gratuits pour l’appelant (sous réserve de J29).</w:t>
      </w:r>
    </w:p>
    <w:p>
      <w:pPr>
        <w:pStyle w:val="Compact"/>
        <w:numPr>
          <w:ilvl w:val="0"/>
          <w:numId w:val="1027"/>
        </w:numPr>
      </w:pPr>
      <w:r>
        <w:t xml:space="preserve">Contestation possible à tout moment au guichet ou par SVI,</w:t>
      </w:r>
      <w:r>
        <w:t xml:space="preserve"> </w:t>
      </w:r>
      <w:r>
        <w:rPr>
          <w:b/>
          <w:bCs/>
        </w:rPr>
        <w:t xml:space="preserve">sans écrit</w:t>
      </w:r>
      <w:r>
        <w:t xml:space="preserve">.</w:t>
      </w:r>
    </w:p>
    <w:p>
      <w:pPr>
        <w:pStyle w:val="Compact"/>
        <w:numPr>
          <w:ilvl w:val="0"/>
          <w:numId w:val="1027"/>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5"/>
    <w:bookmarkStart w:id="446"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6"/>
    <w:bookmarkEnd w:id="447"/>
    <w:bookmarkStart w:id="457" w:name="X19d09b278c6afbbf017764c6c5243a2b35edb9d"/>
    <w:p>
      <w:pPr>
        <w:pStyle w:val="Heading2"/>
      </w:pPr>
      <w:r>
        <w:t xml:space="preserve">H.8 Chapitres 14 et 15 — Agent de terrain et sous-traitance</w:t>
      </w:r>
    </w:p>
    <w:bookmarkStart w:id="448"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8"/>
    <w:bookmarkStart w:id="449"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49"/>
    <w:bookmarkStart w:id="453" w:name="h.8.3-hiérarchie-à-cinq-niveaux"/>
    <w:p>
      <w:pPr>
        <w:pStyle w:val="Heading3"/>
      </w:pPr>
      <w:r>
        <w:t xml:space="preserve">H.8.3 Hiérarchie à cinq niveaux</w:t>
      </w:r>
    </w:p>
    <w:p>
      <w:pPr>
        <w:pStyle w:val="FirstParagraph"/>
      </w:pPr>
      <w:r>
        <w:drawing>
          <wp:inline>
            <wp:extent cx="6108700" cy="7932970"/>
            <wp:effectExtent b="0" l="0" r="0" t="0"/>
            <wp:docPr descr="" title="" id="451" name="Picture"/>
            <a:graphic>
              <a:graphicData uri="http://schemas.openxmlformats.org/drawingml/2006/picture">
                <pic:pic>
                  <pic:nvPicPr>
                    <pic:cNvPr descr="figures/mermaid/mmd-aa8272a6406e.png" id="452" name="Picture"/>
                    <pic:cNvPicPr>
                      <a:picLocks noChangeArrowheads="1" noChangeAspect="1"/>
                    </pic:cNvPicPr>
                  </pic:nvPicPr>
                  <pic:blipFill>
                    <a:blip r:embed="rId450"/>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3"/>
    <w:bookmarkStart w:id="454"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4"/>
    <w:bookmarkStart w:id="455"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5"/>
    <w:bookmarkStart w:id="456"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6"/>
    <w:bookmarkEnd w:id="457"/>
    <w:bookmarkStart w:id="462" w:name="X43df1b2d4f5ccf11051071cb8da56bc93789a72"/>
    <w:p>
      <w:pPr>
        <w:pStyle w:val="Heading2"/>
      </w:pPr>
      <w:r>
        <w:t xml:space="preserve">H.9 Chapitres 16 et 17 — Foncier, plaque fiscale immobilière et cadastre</w:t>
      </w:r>
    </w:p>
    <w:bookmarkStart w:id="458"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b/>
                <w:bCs/>
                <w:sz w:val="17"/>
              </w:rPr>
              <w:t xml:space="preserve">Uniquement</w:t>
            </w:r>
            <w:r>
              <w:rPr>
                <w:sz w:val="17"/>
              </w:rPr>
              <w:t xml:space="preserve"> </w:t>
            </w:r>
            <w:r>
              <w:rPr>
                <w:sz w:val="17"/>
              </w:rPr>
              <w:t xml:space="preserve">« plaque authentique, bâtiment enregistré, commune, quartier » (§ 16.8) — le statut « payé / non payé » n’est pas affiché publiquement pour un bâtiment identifiable (ARB-76, P14)</w:t>
            </w:r>
          </w:p>
        </w:tc>
        <w:tc>
          <w:tcPr/>
          <w:p>
            <w:pPr>
              <w:pStyle w:val="Compact"/>
            </w:pPr>
            <w:r>
              <w:rPr>
                <w:sz w:val="17"/>
              </w:rPr>
              <w:t xml:space="preserve">v3.0 prévaut sur la source (« statut minimal »)</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8"/>
    <w:bookmarkStart w:id="459"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59"/>
    <w:bookmarkStart w:id="460"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0"/>
    <w:bookmarkStart w:id="461"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1"/>
    <w:bookmarkEnd w:id="462"/>
    <w:bookmarkStart w:id="478" w:name="X2554ae789d909430d36d3eae981d278cadbb3a1"/>
    <w:p>
      <w:pPr>
        <w:pStyle w:val="Heading2"/>
      </w:pPr>
      <w:r>
        <w:t xml:space="preserve">H.10 Chapitres 18 à 20 — Paiement de bout en bout, preuve de paiement et rapprochement</w:t>
      </w:r>
    </w:p>
    <w:bookmarkStart w:id="463"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3"/>
    <w:bookmarkStart w:id="464"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4"/>
    <w:bookmarkStart w:id="465"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5"/>
    <w:bookmarkStart w:id="469"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7" name="Picture"/>
            <a:graphic>
              <a:graphicData uri="http://schemas.openxmlformats.org/drawingml/2006/picture">
                <pic:pic>
                  <pic:nvPicPr>
                    <pic:cNvPr descr="figures/mermaid/mmd-875da270e8da.png" id="468" name="Picture"/>
                    <pic:cNvPicPr>
                      <a:picLocks noChangeArrowheads="1" noChangeAspect="1"/>
                    </pic:cNvPicPr>
                  </pic:nvPicPr>
                  <pic:blipFill>
                    <a:blip r:embed="rId466"/>
                    <a:stretch>
                      <a:fillRect/>
                    </a:stretch>
                  </pic:blipFill>
                  <pic:spPr bwMode="auto">
                    <a:xfrm>
                      <a:off x="0" y="0"/>
                      <a:ext cx="6108700" cy="3132267"/>
                    </a:xfrm>
                    <a:prstGeom prst="rect">
                      <a:avLst/>
                    </a:prstGeom>
                    <a:noFill/>
                    <a:ln w="9525">
                      <a:noFill/>
                      <a:headEnd/>
                      <a:tailEnd/>
                    </a:ln>
                  </pic:spPr>
                </pic:pic>
              </a:graphicData>
            </a:graphic>
          </wp:inline>
        </w:drawing>
      </w:r>
    </w:p>
    <w:bookmarkEnd w:id="469"/>
    <w:bookmarkStart w:id="470"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0"/>
    <w:bookmarkStart w:id="471"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1"/>
    <w:bookmarkStart w:id="472" w:name="h.10.7-authenticité-de-la-preuve"/>
    <w:p>
      <w:pPr>
        <w:pStyle w:val="Heading3"/>
      </w:pPr>
      <w:r>
        <w:t xml:space="preserve">H.10.7 Authenticité de la preuve</w:t>
      </w:r>
    </w:p>
    <w:p>
      <w:pPr>
        <w:pStyle w:val="Compact"/>
        <w:numPr>
          <w:ilvl w:val="0"/>
          <w:numId w:val="1028"/>
        </w:numPr>
      </w:pPr>
      <w:r>
        <w:t xml:space="preserve">Seul le système émet un numéro de quittance, après confirmation serveur à serveur.</w:t>
      </w:r>
    </w:p>
    <w:p>
      <w:pPr>
        <w:pStyle w:val="Compact"/>
        <w:numPr>
          <w:ilvl w:val="0"/>
          <w:numId w:val="1028"/>
        </w:numPr>
      </w:pPr>
      <w:r>
        <w:t xml:space="preserve">Le QR est un jeton signé renvoyant à la vérification en ligne ; toute copie modifiée est déclarée « invalide ».</w:t>
      </w:r>
    </w:p>
    <w:p>
      <w:pPr>
        <w:pStyle w:val="Compact"/>
        <w:numPr>
          <w:ilvl w:val="0"/>
          <w:numId w:val="1028"/>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8"/>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8"/>
        </w:numPr>
      </w:pPr>
      <w:r>
        <w:rPr>
          <w:b/>
          <w:bCs/>
        </w:rPr>
        <w:t xml:space="preserve">Un papier seul, sans enregistrement dans le système, n’a aucune valeur.</w:t>
      </w:r>
    </w:p>
    <w:bookmarkEnd w:id="472"/>
    <w:bookmarkStart w:id="473"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3"/>
    <w:bookmarkStart w:id="474" w:name="X0f8ce68f468e45bfbbcc690e9da8692de0d13df"/>
    <w:p>
      <w:pPr>
        <w:pStyle w:val="Heading3"/>
      </w:pPr>
      <w:r>
        <w:t xml:space="preserve">H.10.9 Ligne de signalement et contrôles mystère (module 69)</w:t>
      </w:r>
    </w:p>
    <w:p>
      <w:pPr>
        <w:pStyle w:val="Compact"/>
        <w:numPr>
          <w:ilvl w:val="0"/>
          <w:numId w:val="1029"/>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29"/>
        </w:numPr>
      </w:pPr>
      <w:r>
        <w:t xml:space="preserve">Chaque signalement est enregistré, qualifié, transmis à l’enquêteur ; délai de traitement suivi jusqu’à clôture.</w:t>
      </w:r>
    </w:p>
    <w:p>
      <w:pPr>
        <w:pStyle w:val="Compact"/>
        <w:numPr>
          <w:ilvl w:val="0"/>
          <w:numId w:val="1029"/>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29"/>
        </w:numPr>
      </w:pPr>
      <w:r>
        <w:t xml:space="preserve">Critère AC-PPT-03 : un paiement en espèces chez un point agréé donne un montant non modifiable, une quittance émise seulement après confirmation S2S, une preuve imprimée et un SMS, et le statut « payé » de l’objet.</w:t>
      </w:r>
    </w:p>
    <w:bookmarkEnd w:id="474"/>
    <w:bookmarkStart w:id="475"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5"/>
    <w:bookmarkStart w:id="476"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6"/>
    <w:bookmarkStart w:id="477"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7"/>
    <w:bookmarkEnd w:id="478"/>
    <w:bookmarkStart w:id="489" w:name="X94769aa0f1c6fca8e42d99b23ec92d03efeb376"/>
    <w:p>
      <w:pPr>
        <w:pStyle w:val="Heading2"/>
      </w:pPr>
      <w:r>
        <w:t xml:space="preserve">H.11 Chapitre 19 (complément) — Titres, preuves et laissez-passer à durée</w:t>
      </w:r>
    </w:p>
    <w:bookmarkStart w:id="479"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79"/>
    <w:bookmarkStart w:id="480"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bookmarkEnd w:id="480"/>
    <w:bookmarkStart w:id="481"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1"/>
    <w:bookmarkStart w:id="482"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2"/>
    <w:bookmarkStart w:id="483"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3"/>
    <w:bookmarkStart w:id="484" w:name="X104da7802991f030c49ddfe55861bac097e7505"/>
    <w:p>
      <w:pPr>
        <w:pStyle w:val="Heading3"/>
      </w:pPr>
      <w:r>
        <w:t xml:space="preserve">H.11.6 Temps de référence, contrôle et hors ligne</w:t>
      </w:r>
    </w:p>
    <w:p>
      <w:pPr>
        <w:pStyle w:val="Compact"/>
        <w:numPr>
          <w:ilvl w:val="0"/>
          <w:numId w:val="1030"/>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0"/>
        </w:numPr>
      </w:pPr>
      <w:r>
        <w:t xml:space="preserve">Contrôle en ligne : statut, couleur, temps restant ou écoulé, module, objet, zone.</w:t>
      </w:r>
    </w:p>
    <w:p>
      <w:pPr>
        <w:pStyle w:val="Compact"/>
        <w:numPr>
          <w:ilvl w:val="0"/>
          <w:numId w:val="1030"/>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0"/>
        </w:numPr>
      </w:pPr>
      <w:r>
        <w:t xml:space="preserve">Chaque contrôle est journalisé (qui, où, quand, résultat) ; un titre à usage unique présenté deux fois est détecté, y compris entre deux contrôles hors ligne réconciliés.</w:t>
      </w:r>
    </w:p>
    <w:p>
      <w:pPr>
        <w:pStyle w:val="Compact"/>
        <w:numPr>
          <w:ilvl w:val="0"/>
          <w:numId w:val="1030"/>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4"/>
    <w:bookmarkStart w:id="488" w:name="h.11.7-cycle-de-vie-dun-titre"/>
    <w:p>
      <w:pPr>
        <w:pStyle w:val="Heading3"/>
      </w:pPr>
      <w:r>
        <w:t xml:space="preserve">H.11.7 Cycle de vie d’un titre</w:t>
      </w:r>
    </w:p>
    <w:p>
      <w:pPr>
        <w:pStyle w:val="FirstParagraph"/>
      </w:pPr>
      <w:r>
        <w:drawing>
          <wp:inline>
            <wp:extent cx="6108700" cy="4168564"/>
            <wp:effectExtent b="0" l="0" r="0" t="0"/>
            <wp:docPr descr="" title="" id="486" name="Picture"/>
            <a:graphic>
              <a:graphicData uri="http://schemas.openxmlformats.org/drawingml/2006/picture">
                <pic:pic>
                  <pic:nvPicPr>
                    <pic:cNvPr descr="figures/mermaid/mmd-448b9bb9f9b1.png" id="487" name="Picture"/>
                    <pic:cNvPicPr>
                      <a:picLocks noChangeArrowheads="1" noChangeAspect="1"/>
                    </pic:cNvPicPr>
                  </pic:nvPicPr>
                  <pic:blipFill>
                    <a:blip r:embed="rId485"/>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8"/>
    <w:bookmarkEnd w:id="489"/>
    <w:bookmarkStart w:id="493" w:name="Xf5b27908c32be6ac1cca9d3130c5ded397bdfe5"/>
    <w:p>
      <w:pPr>
        <w:pStyle w:val="Heading2"/>
      </w:pPr>
      <w:r>
        <w:t xml:space="preserve">H.12 Chapitres 21 et 22 — Recouvrement et recours</w:t>
      </w:r>
    </w:p>
    <w:bookmarkStart w:id="490"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0"/>
    <w:bookmarkStart w:id="491"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1"/>
    <w:bookmarkStart w:id="492"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2"/>
    <w:bookmarkEnd w:id="493"/>
    <w:bookmarkStart w:id="497" w:name="Xe4c883896121cfb82f05f591fe91ae7bb8d70dc"/>
    <w:p>
      <w:pPr>
        <w:pStyle w:val="Heading2"/>
      </w:pPr>
      <w:r>
        <w:t xml:space="preserve">H.13 Chapitres 23 à 25 — IA, apprentissage et fraude</w:t>
      </w:r>
    </w:p>
    <w:bookmarkStart w:id="494"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4"/>
    <w:bookmarkStart w:id="495"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5"/>
    <w:bookmarkStart w:id="496"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6"/>
    <w:bookmarkEnd w:id="497"/>
    <w:bookmarkStart w:id="501" w:name="Xcc1e67a4aa25006bad3587a9f833f2ec66832ec"/>
    <w:p>
      <w:pPr>
        <w:pStyle w:val="Heading2"/>
      </w:pPr>
      <w:r>
        <w:t xml:space="preserve">H.14 Chapitre 26 — Tableaux de bord : compléments</w:t>
      </w:r>
    </w:p>
    <w:bookmarkStart w:id="498"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8"/>
    <w:bookmarkStart w:id="499"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499"/>
    <w:bookmarkStart w:id="500" w:name="X06ae6b36065f0959ce282cdeb69e5a361e03192"/>
    <w:p>
      <w:pPr>
        <w:pStyle w:val="Heading3"/>
      </w:pPr>
      <w:r>
        <w:t xml:space="preserve">H.14.3 Salle de contrôle financière et autres tableaux</w:t>
      </w:r>
    </w:p>
    <w:p>
      <w:pPr>
        <w:pStyle w:val="Compact"/>
        <w:numPr>
          <w:ilvl w:val="0"/>
          <w:numId w:val="1031"/>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1"/>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0"/>
    <w:bookmarkEnd w:id="501"/>
    <w:bookmarkStart w:id="507" w:name="Xb294af4944b943961579f31441ca379ad139d48"/>
    <w:p>
      <w:pPr>
        <w:pStyle w:val="Heading2"/>
      </w:pPr>
      <w:r>
        <w:t xml:space="preserve">H.15 Chapitre 27 — Affectation et contrôle de la dépense publique (CALCU)</w:t>
      </w:r>
    </w:p>
    <w:bookmarkStart w:id="502" w:name="h.15.1-compléments-sur-laffectation"/>
    <w:p>
      <w:pPr>
        <w:pStyle w:val="Heading3"/>
      </w:pPr>
      <w:r>
        <w:t xml:space="preserve">H.15.1 Compléments sur l’affectation</w:t>
      </w:r>
    </w:p>
    <w:p>
      <w:pPr>
        <w:pStyle w:val="Compact"/>
        <w:numPr>
          <w:ilvl w:val="0"/>
          <w:numId w:val="1032"/>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2"/>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2"/>
    <w:bookmarkStart w:id="506"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4" name="Picture"/>
            <a:graphic>
              <a:graphicData uri="http://schemas.openxmlformats.org/drawingml/2006/picture">
                <pic:pic>
                  <pic:nvPicPr>
                    <pic:cNvPr descr="figures/mermaid/mmd-d7d93b04f958.png" id="505" name="Picture"/>
                    <pic:cNvPicPr>
                      <a:picLocks noChangeArrowheads="1" noChangeAspect="1"/>
                    </pic:cNvPicPr>
                  </pic:nvPicPr>
                  <pic:blipFill>
                    <a:blip r:embed="rId503"/>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6"/>
    <w:bookmarkEnd w:id="507"/>
    <w:bookmarkStart w:id="513" w:name="Xecb17b675e0e4f4ddf0c0f9f5f5a347d4ae109d"/>
    <w:p>
      <w:pPr>
        <w:pStyle w:val="Heading2"/>
      </w:pPr>
      <w:r>
        <w:t xml:space="preserve">H.16 Chapitres 28 à 33 — Compléments techniques</w:t>
      </w:r>
    </w:p>
    <w:bookmarkStart w:id="508"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8"/>
    <w:bookmarkStart w:id="509"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09"/>
    <w:bookmarkStart w:id="510"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0"/>
    <w:bookmarkStart w:id="511"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1"/>
    <w:bookmarkStart w:id="512"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2"/>
    <w:bookmarkEnd w:id="513"/>
    <w:bookmarkStart w:id="519" w:name="Xebeb21aabcf78838708d101207150b53a91f7cc"/>
    <w:p>
      <w:pPr>
        <w:pStyle w:val="Heading2"/>
      </w:pPr>
      <w:r>
        <w:t xml:space="preserve">H.17 Chapitres 34 à 36 — Feuille de route, modèle opérationnel, gouvernance</w:t>
      </w:r>
    </w:p>
    <w:bookmarkStart w:id="514"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4"/>
    <w:bookmarkStart w:id="515"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5"/>
    <w:bookmarkStart w:id="516"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6"/>
    <w:bookmarkStart w:id="517"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7"/>
    <w:bookmarkStart w:id="518"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8"/>
    <w:bookmarkEnd w:id="519"/>
    <w:bookmarkStart w:id="523" w:name="Xc592b716881543ef5fbdcfe2ea5aa0845f3479c"/>
    <w:p>
      <w:pPr>
        <w:pStyle w:val="Heading2"/>
      </w:pPr>
      <w:r>
        <w:t xml:space="preserve">H.18 Chapitres 37 et 38 — Passation et modèle financier</w:t>
      </w:r>
    </w:p>
    <w:bookmarkStart w:id="520"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3"/>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3"/>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0"/>
    <w:bookmarkStart w:id="521"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1"/>
    <w:bookmarkStart w:id="522"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2"/>
    <w:bookmarkEnd w:id="523"/>
    <w:bookmarkStart w:id="524"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4"/>
    <w:bookmarkStart w:id="525"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5"/>
    <w:bookmarkStart w:id="526"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6"/>
    <w:bookmarkStart w:id="530" w:name="X114c51179972e9538614309663ff9bfc84a959d"/>
    <w:p>
      <w:pPr>
        <w:pStyle w:val="Heading2"/>
      </w:pPr>
      <w:r>
        <w:t xml:space="preserve">H.22 Chapitres 42 et 43 — Carnet de développement et plan de livraison</w:t>
      </w:r>
    </w:p>
    <w:bookmarkStart w:id="527"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7"/>
    <w:bookmarkStart w:id="528"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8"/>
    <w:bookmarkStart w:id="529"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29"/>
    <w:bookmarkEnd w:id="530"/>
    <w:bookmarkStart w:id="531"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1"/>
    <w:bookmarkStart w:id="536" w:name="h.24-chapitre-45-pilote-compléments"/>
    <w:p>
      <w:pPr>
        <w:pStyle w:val="Heading2"/>
      </w:pPr>
      <w:r>
        <w:t xml:space="preserve">H.24 Chapitre 45 — Pilote : compléments</w:t>
      </w:r>
    </w:p>
    <w:bookmarkStart w:id="532"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2"/>
    <w:bookmarkStart w:id="533"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3"/>
    <w:bookmarkStart w:id="534"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4"/>
    <w:bookmarkStart w:id="535" w:name="Xa71c2b92df3ceb6c89d62f75a3d0a61136b5267"/>
    <w:p>
      <w:pPr>
        <w:pStyle w:val="Heading3"/>
      </w:pPr>
      <w:r>
        <w:t xml:space="preserve">H.24.4 Inclusion et sous-traitance dans le pilote</w:t>
      </w:r>
    </w:p>
    <w:p>
      <w:pPr>
        <w:pStyle w:val="Compact"/>
        <w:numPr>
          <w:ilvl w:val="0"/>
          <w:numId w:val="1034"/>
        </w:numPr>
      </w:pPr>
      <w:r>
        <w:rPr>
          <w:b/>
          <w:bCs/>
        </w:rPr>
        <w:t xml:space="preserve">Au moins un guichet MOSOLO avec guichet bancaire par commune pilote</w:t>
      </w:r>
      <w:r>
        <w:t xml:space="preserve"> </w:t>
      </w:r>
      <w:r>
        <w:t xml:space="preserve">(J29 pour le financement).</w:t>
      </w:r>
    </w:p>
    <w:p>
      <w:pPr>
        <w:pStyle w:val="Compact"/>
        <w:numPr>
          <w:ilvl w:val="0"/>
          <w:numId w:val="1034"/>
        </w:numPr>
      </w:pPr>
      <w:r>
        <w:rPr>
          <w:b/>
          <w:bCs/>
        </w:rPr>
        <w:t xml:space="preserve">SVI et USSD disponibles dès l’ouverture des paiements.</w:t>
      </w:r>
    </w:p>
    <w:p>
      <w:pPr>
        <w:pStyle w:val="Compact"/>
        <w:numPr>
          <w:ilvl w:val="0"/>
          <w:numId w:val="1034"/>
        </w:numPr>
      </w:pPr>
      <w:r>
        <w:rPr>
          <w:b/>
          <w:bCs/>
        </w:rPr>
        <w:t xml:space="preserve">Un ou deux sous-traitants en période probatoire par commune</w:t>
      </w:r>
      <w:r>
        <w:t xml:space="preserve">, sur lots réduits.</w:t>
      </w:r>
    </w:p>
    <w:p>
      <w:pPr>
        <w:pStyle w:val="Compact"/>
        <w:numPr>
          <w:ilvl w:val="0"/>
          <w:numId w:val="1034"/>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4"/>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5"/>
    <w:bookmarkEnd w:id="536"/>
    <w:bookmarkStart w:id="537"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7"/>
    <w:bookmarkStart w:id="540" w:name="X84dd8bab1c3c7d6cf4a8a22911c9ed4fae89973"/>
    <w:p>
      <w:pPr>
        <w:pStyle w:val="Heading2"/>
      </w:pPr>
      <w:r>
        <w:t xml:space="preserve">H.26 Chapitre 47 — Décisions : correspondance et décisions sectorielles différées</w:t>
      </w:r>
    </w:p>
    <w:bookmarkStart w:id="538"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8"/>
    <w:bookmarkStart w:id="539"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39"/>
    <w:bookmarkEnd w:id="540"/>
    <w:bookmarkStart w:id="567"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1"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1"/>
    <w:bookmarkStart w:id="542"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2"/>
    <w:bookmarkStart w:id="543"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3"/>
    <w:bookmarkStart w:id="544"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4"/>
    <w:bookmarkStart w:id="548"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6" name="Picture"/>
            <a:graphic>
              <a:graphicData uri="http://schemas.openxmlformats.org/drawingml/2006/picture">
                <pic:pic>
                  <pic:nvPicPr>
                    <pic:cNvPr descr="figures/mermaid/mmd-29064cdfbad6.png" id="547" name="Picture"/>
                    <pic:cNvPicPr>
                      <a:picLocks noChangeArrowheads="1" noChangeAspect="1"/>
                    </pic:cNvPicPr>
                  </pic:nvPicPr>
                  <pic:blipFill>
                    <a:blip r:embed="rId545"/>
                    <a:stretch>
                      <a:fillRect/>
                    </a:stretch>
                  </pic:blipFill>
                  <pic:spPr bwMode="auto">
                    <a:xfrm>
                      <a:off x="0" y="0"/>
                      <a:ext cx="6108700" cy="1184339"/>
                    </a:xfrm>
                    <a:prstGeom prst="rect">
                      <a:avLst/>
                    </a:prstGeom>
                    <a:noFill/>
                    <a:ln w="9525">
                      <a:noFill/>
                      <a:headEnd/>
                      <a:tailEnd/>
                    </a:ln>
                  </pic:spPr>
                </pic:pic>
              </a:graphicData>
            </a:graphic>
          </wp:inline>
        </w:drawing>
      </w:r>
    </w:p>
    <w:bookmarkEnd w:id="548"/>
    <w:bookmarkStart w:id="549"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49"/>
    <w:bookmarkStart w:id="550"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0"/>
    <w:bookmarkStart w:id="551"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1"/>
    <w:bookmarkStart w:id="552"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2"/>
    <w:bookmarkStart w:id="553"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3"/>
    <w:bookmarkStart w:id="554"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4"/>
    <w:bookmarkStart w:id="558"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6" name="Picture"/>
            <a:graphic>
              <a:graphicData uri="http://schemas.openxmlformats.org/drawingml/2006/picture">
                <pic:pic>
                  <pic:nvPicPr>
                    <pic:cNvPr descr="figures/mermaid/mmd-3b1f8f0902aa.png" id="557" name="Picture"/>
                    <pic:cNvPicPr>
                      <a:picLocks noChangeArrowheads="1" noChangeAspect="1"/>
                    </pic:cNvPicPr>
                  </pic:nvPicPr>
                  <pic:blipFill>
                    <a:blip r:embed="rId555"/>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8"/>
    <w:bookmarkStart w:id="559"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59"/>
    <w:bookmarkStart w:id="560"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0"/>
    <w:bookmarkStart w:id="561"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1"/>
    <w:bookmarkStart w:id="566"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5"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3" name="Picture"/>
            <a:graphic>
              <a:graphicData uri="http://schemas.openxmlformats.org/drawingml/2006/picture">
                <pic:pic>
                  <pic:nvPicPr>
                    <pic:cNvPr descr="figures/mermaid/mmd-ca17d5a3d091.png" id="564" name="Picture"/>
                    <pic:cNvPicPr>
                      <a:picLocks noChangeArrowheads="1" noChangeAspect="1"/>
                    </pic:cNvPicPr>
                  </pic:nvPicPr>
                  <pic:blipFill>
                    <a:blip r:embed="rId562"/>
                    <a:stretch>
                      <a:fillRect/>
                    </a:stretch>
                  </pic:blipFill>
                  <pic:spPr bwMode="auto">
                    <a:xfrm>
                      <a:off x="0" y="0"/>
                      <a:ext cx="6108700" cy="2625805"/>
                    </a:xfrm>
                    <a:prstGeom prst="rect">
                      <a:avLst/>
                    </a:prstGeom>
                    <a:noFill/>
                    <a:ln w="9525">
                      <a:noFill/>
                      <a:headEnd/>
                      <a:tailEnd/>
                    </a:ln>
                  </pic:spPr>
                </pic:pic>
              </a:graphicData>
            </a:graphic>
          </wp:inline>
        </w:drawing>
      </w:r>
    </w:p>
    <w:bookmarkEnd w:id="565"/>
    <w:bookmarkEnd w:id="566"/>
    <w:bookmarkEnd w:id="567"/>
    <w:bookmarkStart w:id="568"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239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8"/>
    <w:bookmarkStart w:id="576"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69"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69"/>
    <w:bookmarkStart w:id="570"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0"/>
    <w:bookmarkStart w:id="571"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1"/>
    <w:bookmarkStart w:id="572"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2"/>
    <w:bookmarkStart w:id="573"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3"/>
    <w:bookmarkStart w:id="574"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4"/>
    <w:bookmarkStart w:id="575"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payé / non payé</w:t>
            </w:r>
          </w:p>
        </w:tc>
        <w:tc>
          <w:tcPr/>
          <w:p>
            <w:pPr>
              <w:pStyle w:val="Compact"/>
            </w:pPr>
            <w:r>
              <w:rPr>
                <w:sz w:val="17"/>
              </w:rPr>
              <w:t xml:space="preserve">Authenticité, enregistrement, commune, quartier uniquement</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5"/>
    <w:bookmarkEnd w:id="576"/>
    <w:bookmarkStart w:id="581" w:name="h.30-matrice-de-traçabilité"/>
    <w:p>
      <w:pPr>
        <w:pStyle w:val="Heading2"/>
      </w:pPr>
      <w:r>
        <w:t xml:space="preserve">H.30 Matrice de traçabilité</w:t>
      </w:r>
    </w:p>
    <w:bookmarkStart w:id="577"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7"/>
    <w:bookmarkStart w:id="578"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8"/>
    <w:bookmarkStart w:id="579"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79"/>
    <w:bookmarkStart w:id="580"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0"/>
    <w:bookmarkEnd w:id="581"/>
    <w:bookmarkStart w:id="582" w:name="h.31-tenue-de-lannexe"/>
    <w:p>
      <w:pPr>
        <w:pStyle w:val="Heading2"/>
      </w:pPr>
      <w:r>
        <w:t xml:space="preserve">H.31 Tenue de l’annexe</w:t>
      </w:r>
    </w:p>
    <w:p>
      <w:pPr>
        <w:pStyle w:val="Compact"/>
        <w:numPr>
          <w:ilvl w:val="0"/>
          <w:numId w:val="1035"/>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5"/>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5"/>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5"/>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5"/>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2"/>
    <w:bookmarkEnd w:id="583"/>
    <w:bookmarkStart w:id="608"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239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126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4"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239</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126</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192</w:t>
            </w:r>
          </w:p>
        </w:tc>
      </w:tr>
      <w:tr>
        <w:tc>
          <w:tcPr/>
          <w:p>
            <w:pPr>
              <w:pStyle w:val="Compact"/>
            </w:pPr>
            <w:r>
              <w:rPr>
                <w:sz w:val="17"/>
              </w:rPr>
              <w:t xml:space="preserve">Événements diffusés par défaut sur « in-app »</w:t>
            </w:r>
          </w:p>
        </w:tc>
        <w:tc>
          <w:tcPr/>
          <w:p>
            <w:pPr>
              <w:pStyle w:val="Compact"/>
            </w:pPr>
            <w:r>
              <w:rPr>
                <w:sz w:val="17"/>
              </w:rPr>
              <w:t xml:space="preserve">232</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111</w:t>
            </w:r>
          </w:p>
        </w:tc>
      </w:tr>
      <w:tr>
        <w:tc>
          <w:tcPr/>
          <w:p>
            <w:pPr>
              <w:pStyle w:val="Compact"/>
            </w:pPr>
            <w:r>
              <w:rPr>
                <w:sz w:val="17"/>
              </w:rPr>
              <w:t xml:space="preserve">Événements diffusés par défaut sur « push »</w:t>
            </w:r>
          </w:p>
        </w:tc>
        <w:tc>
          <w:tcPr/>
          <w:p>
            <w:pPr>
              <w:pStyle w:val="Compact"/>
            </w:pPr>
            <w:r>
              <w:rPr>
                <w:sz w:val="17"/>
              </w:rPr>
              <w:t xml:space="preserve">42</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62</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23</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Titres, autorisations et droits d’accès</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4</w:t>
            </w:r>
          </w:p>
        </w:tc>
      </w:tr>
      <w:tr>
        <w:tc>
          <w:tcPr/>
          <w:p>
            <w:pPr>
              <w:pStyle w:val="Compact"/>
            </w:pPr>
            <w:r>
              <w:rPr>
                <w:sz w:val="17"/>
              </w:rPr>
              <w:t xml:space="preserve">Trésor, règlement et rapprochement</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11</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5</w:t>
            </w:r>
          </w:p>
        </w:tc>
      </w:tr>
      <w:tr>
        <w:tc>
          <w:tcPr/>
          <w:p>
            <w:pPr>
              <w:pStyle w:val="Compact"/>
            </w:pPr>
            <w:r>
              <w:rPr>
                <w:sz w:val="17"/>
              </w:rPr>
              <w:t xml:space="preserve">Partenaires, contrats et points de paiement</w:t>
            </w:r>
          </w:p>
        </w:tc>
        <w:tc>
          <w:tcPr/>
          <w:p>
            <w:pPr>
              <w:pStyle w:val="Compact"/>
            </w:pPr>
            <w:r>
              <w:rPr>
                <w:sz w:val="17"/>
              </w:rPr>
              <w:t xml:space="preserve">9</w:t>
            </w:r>
          </w:p>
        </w:tc>
        <w:tc>
          <w:tcPr/>
          <w:p>
            <w:pPr>
              <w:pStyle w:val="Compact"/>
            </w:pPr>
            <w:r>
              <w:rPr>
                <w:sz w:val="17"/>
              </w:rPr>
              <w:t xml:space="preserve">6</w:t>
            </w:r>
          </w:p>
        </w:tc>
      </w:tr>
    </w:tbl>
    <w:bookmarkEnd w:id="584"/>
    <w:bookmarkStart w:id="585"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5"/>
    <w:bookmarkStart w:id="586"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6"/>
    <w:bookmarkStart w:id="587"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7"/>
    <w:bookmarkStart w:id="588"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8"/>
    <w:bookmarkStart w:id="589"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89"/>
    <w:bookmarkStart w:id="590"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1"/>
    <w:bookmarkStart w:id="592"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bl>
    <w:bookmarkEnd w:id="592"/>
    <w:bookmarkStart w:id="593"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bl>
    <w:bookmarkEnd w:id="593"/>
    <w:bookmarkStart w:id="594"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bl>
    <w:bookmarkEnd w:id="594"/>
    <w:bookmarkStart w:id="595"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5"/>
    <w:bookmarkStart w:id="596"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6"/>
    <w:bookmarkStart w:id="597"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bl>
    <w:bookmarkEnd w:id="598"/>
    <w:bookmarkStart w:id="599"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9"/>
    <w:bookmarkStart w:id="600"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bl>
    <w:bookmarkEnd w:id="600"/>
    <w:bookmarkStart w:id="601"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1"/>
    <w:bookmarkStart w:id="602"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2"/>
    <w:bookmarkStart w:id="603"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3"/>
    <w:bookmarkStart w:id="604"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4"/>
    <w:bookmarkStart w:id="605"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5"/>
    <w:bookmarkStart w:id="606"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606"/>
    <w:bookmarkStart w:id="607"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bl>
    <w:bookmarkEnd w:id="607"/>
    <w:bookmarkEnd w:id="608"/>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1" Type="http://schemas.openxmlformats.org/officeDocument/2006/relationships/image" Target="media/rId261.png"/><Relationship Id="rId113" Type="http://schemas.openxmlformats.org/officeDocument/2006/relationships/image" Target="media/rId113.png"/><Relationship Id="rId116" Type="http://schemas.openxmlformats.org/officeDocument/2006/relationships/image" Target="media/rId116.png"/><Relationship Id="rId322" Type="http://schemas.openxmlformats.org/officeDocument/2006/relationships/image" Target="media/rId322.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7" Type="http://schemas.openxmlformats.org/officeDocument/2006/relationships/image" Target="media/rId347.png"/><Relationship Id="rId341" Type="http://schemas.openxmlformats.org/officeDocument/2006/relationships/image" Target="media/rId341.png"/><Relationship Id="rId265" Type="http://schemas.openxmlformats.org/officeDocument/2006/relationships/image" Target="media/rId265.png"/><Relationship Id="rId441" Type="http://schemas.openxmlformats.org/officeDocument/2006/relationships/image" Target="media/rId441.png"/><Relationship Id="rId183" Type="http://schemas.openxmlformats.org/officeDocument/2006/relationships/image" Target="media/rId183.png"/><Relationship Id="rId26" Type="http://schemas.openxmlformats.org/officeDocument/2006/relationships/image" Target="media/rId26.png"/><Relationship Id="rId545" Type="http://schemas.openxmlformats.org/officeDocument/2006/relationships/image" Target="media/rId545.png"/><Relationship Id="rId282" Type="http://schemas.openxmlformats.org/officeDocument/2006/relationships/image" Target="media/rId282.png"/><Relationship Id="rId235" Type="http://schemas.openxmlformats.org/officeDocument/2006/relationships/image" Target="media/rId235.png"/><Relationship Id="rId278" Type="http://schemas.openxmlformats.org/officeDocument/2006/relationships/image" Target="media/rId278.png"/><Relationship Id="rId555" Type="http://schemas.openxmlformats.org/officeDocument/2006/relationships/image" Target="media/rId555.png"/><Relationship Id="rId485" Type="http://schemas.openxmlformats.org/officeDocument/2006/relationships/image" Target="media/rId485.png"/><Relationship Id="rId187" Type="http://schemas.openxmlformats.org/officeDocument/2006/relationships/image" Target="media/rId187.png"/><Relationship Id="rId424" Type="http://schemas.openxmlformats.org/officeDocument/2006/relationships/image" Target="media/rId424.png"/><Relationship Id="rId55" Type="http://schemas.openxmlformats.org/officeDocument/2006/relationships/image" Target="media/rId55.png"/><Relationship Id="rId379" Type="http://schemas.openxmlformats.org/officeDocument/2006/relationships/image" Target="media/rId379.png"/><Relationship Id="rId290" Type="http://schemas.openxmlformats.org/officeDocument/2006/relationships/image" Target="media/rId290.png"/><Relationship Id="rId140" Type="http://schemas.openxmlformats.org/officeDocument/2006/relationships/image" Target="media/rId140.png"/><Relationship Id="rId109" Type="http://schemas.openxmlformats.org/officeDocument/2006/relationships/image" Target="media/rId109.png"/><Relationship Id="rId466" Type="http://schemas.openxmlformats.org/officeDocument/2006/relationships/image" Target="media/rId466.png"/><Relationship Id="rId330" Type="http://schemas.openxmlformats.org/officeDocument/2006/relationships/image" Target="media/rId330.png"/><Relationship Id="rId388" Type="http://schemas.openxmlformats.org/officeDocument/2006/relationships/image" Target="media/rId388.png"/><Relationship Id="rId294" Type="http://schemas.openxmlformats.org/officeDocument/2006/relationships/image" Target="media/rId294.png"/><Relationship Id="rId412" Type="http://schemas.openxmlformats.org/officeDocument/2006/relationships/image" Target="media/rId412.png"/><Relationship Id="rId221" Type="http://schemas.openxmlformats.org/officeDocument/2006/relationships/image" Target="media/rId221.png"/><Relationship Id="rId450" Type="http://schemas.openxmlformats.org/officeDocument/2006/relationships/image" Target="media/rId450.png"/><Relationship Id="rId158" Type="http://schemas.openxmlformats.org/officeDocument/2006/relationships/image" Target="media/rId158.png"/><Relationship Id="rId225" Type="http://schemas.openxmlformats.org/officeDocument/2006/relationships/image" Target="media/rId225.png"/><Relationship Id="rId562" Type="http://schemas.openxmlformats.org/officeDocument/2006/relationships/image" Target="media/rId562.png"/><Relationship Id="rId503" Type="http://schemas.openxmlformats.org/officeDocument/2006/relationships/image" Target="media/rId503.png"/><Relationship Id="rId286" Type="http://schemas.openxmlformats.org/officeDocument/2006/relationships/image" Target="media/rId286.png"/><Relationship Id="rId305" Type="http://schemas.openxmlformats.org/officeDocument/2006/relationships/image" Target="media/rId305.png"/><Relationship Id="rId99" Type="http://schemas.openxmlformats.org/officeDocument/2006/relationships/image" Target="media/rId99.png"/><Relationship Id="rId92" Type="http://schemas.openxmlformats.org/officeDocument/2006/relationships/image" Target="media/rId92.png"/><Relationship Id="rId298" Type="http://schemas.openxmlformats.org/officeDocument/2006/relationships/image" Target="media/rId298.png"/><Relationship Id="rId394" Type="http://schemas.openxmlformats.org/officeDocument/2006/relationships/image" Target="media/rId394.png"/><Relationship Id="rId211" Type="http://schemas.openxmlformats.org/officeDocument/2006/relationships/image" Target="media/rId211.png"/><Relationship Id="rId430" Type="http://schemas.openxmlformats.org/officeDocument/2006/relationships/image" Target="media/rId430.png"/><Relationship Id="rId204" Type="http://schemas.openxmlformats.org/officeDocument/2006/relationships/image" Target="media/rId204.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2026-09-26T15:29:39Z</dcterms:created>
  <dcterms:modified xsi:type="dcterms:W3CDTF">2026-09-26T15:29:39Z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