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p>
      <w:pPr>
        <w:pStyle w:val="BodyText"/>
      </w:pPr>
      <w:r>
        <w:rPr>
          <w:b/>
          <w:bCs/>
        </w:rPr>
        <w:t xml:space="preserve">Position du promoteur, réintégrée (décision du maître d’ouvrage du 27/09/2026 : rien de l’existant n’est omis, tout est harmonisé).</w:t>
      </w:r>
      <w:r>
        <w:t xml:space="preserve"> </w:t>
      </w:r>
      <w:r>
        <w:t xml:space="preserve">La décision demandée au Gouverneur dans la note exécutive est conservée telle quelle :</w:t>
      </w:r>
      <w:r>
        <w:t xml:space="preserve"> </w:t>
      </w:r>
      <w:r>
        <w:rPr>
          <w:i/>
          <w:iCs/>
        </w:rPr>
        <w:t xml:space="preserve">Groupe Nseya finance intégralement le système d’exploitation numérique (hors moyens physiques) ; en contrepartie, 10 % des recettes générées par le système pendant 30 ans, selon la clé de répartition du § 37A (10 % Groupe Nseya, 10 % ministères de tutelle, 10 % agents et sous-traitants, 70 % Gouvernement provincial), sous réserve de l’acte juridique qui l’autorise.</w:t>
      </w:r>
      <w:r>
        <w:t xml:space="preserve"> </w:t>
      </w:r>
      <w:r>
        <w:t xml:space="preserve">Les deux lectures coexistent : la clé du promoteur est la</w:t>
      </w:r>
      <w:r>
        <w:t xml:space="preserve"> </w:t>
      </w:r>
      <w:r>
        <w:rPr>
          <w:b/>
          <w:bCs/>
        </w:rPr>
        <w:t xml:space="preserve">position retenue par le promoteur</w:t>
      </w:r>
      <w:r>
        <w:t xml:space="preserve"> </w:t>
      </w:r>
      <w:r>
        <w:t xml:space="preserve">; l’analyse ci-dessus et le modèle du § 37.3 sont les</w:t>
      </w:r>
      <w:r>
        <w:t xml:space="preserve"> </w:t>
      </w:r>
      <w:r>
        <w:rPr>
          <w:b/>
          <w:bCs/>
        </w:rPr>
        <w:t xml:space="preserve">garde-fous proposés</w:t>
      </w:r>
      <w:r>
        <w:t xml:space="preserve"> </w:t>
      </w:r>
      <w:r>
        <w:t xml:space="preserve">à l’autorité. Dans la plateforme, la clé 10/10/10/70 est un</w:t>
      </w:r>
      <w:r>
        <w:t xml:space="preserve"> </w:t>
      </w:r>
      <w:r>
        <w:rPr>
          <w:b/>
          <w:bCs/>
        </w:rPr>
        <w:t xml:space="preserve">paramètre gouverné au statut « acte requis »</w:t>
      </w:r>
      <w:r>
        <w:t xml:space="preserve"> </w:t>
      </w:r>
      <w:r>
        <w:t xml:space="preserve">: elle produit une simulation à partir des recettes rapprochées, mais aucun décaissement n’a lieu sans acte juridique enregistré et double validation, et tout décaissement passe alors par une opération du Trésor à quatre yeux, jamais par un prélèvement automatique. La commission des agents (10 %, § I.15) est rattachée à la tranche « agents et sous-traitants » de cette clé (§ H.31).</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Rémunération du prestataire — position du promoteur (§ 37A), réintégrée le 27/09/2026</w:t>
            </w:r>
          </w:p>
        </w:tc>
        <w:tc>
          <w:tcPr>
            <w:shd w:val="clear" w:color="auto" w:fill="F5F7FB"/>
          </w:tcPr>
          <w:p>
            <w:pPr>
              <w:pStyle w:val="Compact"/>
            </w:pPr>
            <w:r>
              <w:rPr>
                <w:sz w:val="17"/>
              </w:rPr>
              <w:t xml:space="preserve">Clé 10/10/10/70 sur 30 ans, sous réserve de l’acte juridique qui l’autorise</w:t>
            </w:r>
          </w:p>
        </w:tc>
        <w:tc>
          <w:tcPr>
            <w:shd w:val="clear" w:color="auto" w:fill="F5F7FB"/>
          </w:tcPr>
          <w:p>
            <w:pPr>
              <w:pStyle w:val="Compact"/>
            </w:pPr>
            <w:r>
              <w:rPr>
                <w:b/>
                <w:bCs/>
                <w:sz w:val="17"/>
              </w:rPr>
              <w:t xml:space="preserve">Conservée</w:t>
            </w:r>
            <w:r>
              <w:rPr>
                <w:sz w:val="17"/>
              </w:rPr>
              <w:t xml:space="preserve"> </w:t>
            </w:r>
            <w:r>
              <w:rPr>
                <w:sz w:val="17"/>
              </w:rPr>
              <w:t xml:space="preserve">comme position du promoteur ; paramètre « acte requis » dans la plateforme : simulation seulement, décaissement uniquement après acte et double validation, par opération du Trésor (§ 37.2, § H.31)</w:t>
            </w:r>
          </w:p>
        </w:tc>
        <w:tc>
          <w:tcPr>
            <w:shd w:val="clear" w:color="auto" w:fill="F5F7FB"/>
          </w:tcPr>
          <w:p>
            <w:pPr>
              <w:pStyle w:val="Compact"/>
            </w:pPr>
            <w:r>
              <w:rPr>
                <w:sz w:val="17"/>
              </w:rPr>
              <w:t xml:space="preserve">Règle d’ajout du maître d’ouvrage ; certification juridique préalable</w:t>
            </w:r>
          </w:p>
        </w:tc>
      </w:tr>
      <w:tr>
        <w:tc>
          <w:tcPr/>
          <w:p>
            <w:pPr>
              <w:pStyle w:val="Compact"/>
            </w:pPr>
            <w:r>
              <w:rPr>
                <w:sz w:val="17"/>
              </w:rPr>
              <w:t xml:space="preserve">Rétrocession automatique aux ministères et aux agents</w:t>
            </w:r>
          </w:p>
        </w:tc>
        <w:tc>
          <w:tcPr/>
          <w:p>
            <w:pPr>
              <w:pStyle w:val="Compact"/>
            </w:pPr>
            <w:r>
              <w:rPr>
                <w:sz w:val="17"/>
              </w:rPr>
              <w:t xml:space="preserve">10 % + 10 %</w:t>
            </w:r>
          </w:p>
        </w:tc>
        <w:tc>
          <w:tcPr/>
          <w:p>
            <w:pPr>
              <w:pStyle w:val="Compact"/>
            </w:pPr>
            <w:r>
              <w:rPr>
                <w:sz w:val="17"/>
              </w:rPr>
              <w:t xml:space="preserve">Uniquement si un texte le prévoit, par voie budgétaire (§ 27.2)</w:t>
            </w:r>
          </w:p>
        </w:tc>
        <w:tc>
          <w:tcPr/>
          <w:p>
            <w:pPr>
              <w:pStyle w:val="Compact"/>
            </w:pPr>
            <w:r>
              <w:rPr>
                <w:sz w:val="17"/>
              </w:rPr>
              <w:t xml:space="preserve">Universalité budgétaire</w:t>
            </w:r>
          </w:p>
        </w:tc>
      </w:tr>
      <w:tr>
        <w:tc>
          <w:tcPr>
            <w:shd w:val="clear" w:color="auto" w:fill="F5F7FB"/>
          </w:tcPr>
          <w:p>
            <w:pPr>
              <w:pStyle w:val="Compact"/>
            </w:pPr>
            <w:r>
              <w:rPr>
                <w:sz w:val="17"/>
              </w:rPr>
              <w:t xml:space="preserve">Calendrier</w:t>
            </w:r>
          </w:p>
        </w:tc>
        <w:tc>
          <w:tcPr>
            <w:shd w:val="clear" w:color="auto" w:fill="F5F7FB"/>
          </w:tcPr>
          <w:p>
            <w:pPr>
              <w:pStyle w:val="Compact"/>
            </w:pPr>
            <w:r>
              <w:rPr>
                <w:sz w:val="17"/>
              </w:rPr>
              <w:t xml:space="preserve">Pilote complet à partir de février 2027</w:t>
            </w:r>
          </w:p>
        </w:tc>
        <w:tc>
          <w:tcPr>
            <w:shd w:val="clear" w:color="auto" w:fill="F5F7FB"/>
          </w:tcPr>
          <w:p>
            <w:pPr>
              <w:pStyle w:val="Compact"/>
            </w:pPr>
            <w:r>
              <w:rPr>
                <w:sz w:val="17"/>
              </w:rPr>
              <w:t xml:space="preserve">R0 recensement en déc. 2026 ; test partiel en février ; R1 en avril 2027</w:t>
            </w:r>
          </w:p>
        </w:tc>
        <w:tc>
          <w:tcPr>
            <w:shd w:val="clear" w:color="auto" w:fill="F5F7FB"/>
          </w:tcPr>
          <w:p>
            <w:pPr>
              <w:pStyle w:val="Compact"/>
            </w:pPr>
            <w:r>
              <w:rPr>
                <w:sz w:val="17"/>
              </w:rPr>
              <w:t xml:space="preserve">Réalisme</w:t>
            </w:r>
          </w:p>
        </w:tc>
      </w:tr>
      <w:tr>
        <w:tc>
          <w:tcPr/>
          <w:p>
            <w:pPr>
              <w:pStyle w:val="Compact"/>
            </w:pPr>
            <w:r>
              <w:rPr>
                <w:sz w:val="17"/>
              </w:rPr>
              <w:t xml:space="preserve">Pile technique</w:t>
            </w:r>
          </w:p>
        </w:tc>
        <w:tc>
          <w:tcPr/>
          <w:p>
            <w:pPr>
              <w:pStyle w:val="Compact"/>
            </w:pPr>
            <w:r>
              <w:rPr>
                <w:sz w:val="17"/>
              </w:rPr>
              <w:t xml:space="preserve">Java / .NET recommandés</w:t>
            </w:r>
          </w:p>
        </w:tc>
        <w:tc>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p>
            <w:pPr>
              <w:pStyle w:val="Compact"/>
            </w:pPr>
            <w:r>
              <w:rPr>
                <w:sz w:val="17"/>
              </w:rPr>
              <w:t xml:space="preserve">Cohérence du socle livré ; compétences disponibles</w:t>
            </w:r>
          </w:p>
        </w:tc>
      </w:tr>
      <w:tr>
        <w:tc>
          <w:tcPr>
            <w:shd w:val="clear" w:color="auto" w:fill="F5F7FB"/>
          </w:tcPr>
          <w:p>
            <w:pPr>
              <w:pStyle w:val="Compact"/>
            </w:pPr>
            <w:r>
              <w:rPr>
                <w:sz w:val="17"/>
              </w:rPr>
              <w:t xml:space="preserve">Communications</w:t>
            </w:r>
          </w:p>
        </w:tc>
        <w:tc>
          <w:tcPr>
            <w:shd w:val="clear" w:color="auto" w:fill="F5F7FB"/>
          </w:tcPr>
          <w:p>
            <w:pPr>
              <w:pStyle w:val="Compact"/>
            </w:pPr>
            <w:r>
              <w:rPr>
                <w:sz w:val="17"/>
              </w:rPr>
              <w:t xml:space="preserve">Module 39 générique</w:t>
            </w:r>
          </w:p>
        </w:tc>
        <w:tc>
          <w:tcPr>
            <w:shd w:val="clear" w:color="auto" w:fill="F5F7FB"/>
          </w:tcPr>
          <w:p>
            <w:pPr>
              <w:pStyle w:val="Compact"/>
            </w:pPr>
            <w:r>
              <w:rPr>
                <w:sz w:val="17"/>
              </w:rPr>
              <w:t xml:space="preserve">Architecture événementielle, 255 événements, avis obligatoires (§ 11.4)</w:t>
            </w:r>
          </w:p>
        </w:tc>
        <w:tc>
          <w:tcPr>
            <w:shd w:val="clear" w:color="auto" w:fill="F5F7FB"/>
          </w:tcPr>
          <w:p>
            <w:pPr>
              <w:pStyle w:val="Compact"/>
            </w:pPr>
            <w:r>
              <w:rPr>
                <w:sz w:val="17"/>
              </w:rPr>
              <w:t xml:space="preserve">Demande du promoteur</w:t>
            </w:r>
          </w:p>
        </w:tc>
      </w:tr>
      <w:tr>
        <w:tc>
          <w:tcPr/>
          <w:p>
            <w:pPr>
              <w:pStyle w:val="Compact"/>
            </w:pPr>
            <w:r>
              <w:rPr>
                <w:sz w:val="17"/>
              </w:rPr>
              <w:t xml:space="preserve">Devises et langues</w:t>
            </w:r>
          </w:p>
        </w:tc>
        <w:tc>
          <w:tcPr/>
          <w:p>
            <w:pPr>
              <w:pStyle w:val="Compact"/>
            </w:pPr>
            <w:r>
              <w:rPr>
                <w:sz w:val="17"/>
              </w:rPr>
              <w:t xml:space="preserve">Multidevise, multilingue</w:t>
            </w:r>
          </w:p>
        </w:tc>
        <w:tc>
          <w:tcPr/>
          <w:p>
            <w:pPr>
              <w:pStyle w:val="Compact"/>
            </w:pPr>
            <w:r>
              <w:rPr>
                <w:sz w:val="17"/>
              </w:rPr>
              <w:t xml:space="preserve">CDF principale ; drapeaux par devise ; langues par nom natif (§ 11.5–11.6)</w:t>
            </w:r>
          </w:p>
        </w:tc>
        <w:tc>
          <w:tcPr/>
          <w:p>
            <w:pPr>
              <w:pStyle w:val="Compact"/>
            </w:pPr>
            <w:r>
              <w:rPr>
                <w:sz w:val="17"/>
              </w:rPr>
              <w:t xml:space="preserve">Demande du promoteur</w:t>
            </w:r>
          </w:p>
        </w:tc>
      </w:tr>
      <w:tr>
        <w:tc>
          <w:tcPr>
            <w:shd w:val="clear" w:color="auto" w:fill="F5F7FB"/>
          </w:tcPr>
          <w:p>
            <w:pPr>
              <w:pStyle w:val="Compact"/>
            </w:pPr>
            <w:r>
              <w:rPr>
                <w:sz w:val="17"/>
              </w:rPr>
              <w:t xml:space="preserve">Couche d’intelligence</w:t>
            </w:r>
          </w:p>
        </w:tc>
        <w:tc>
          <w:tcPr>
            <w:shd w:val="clear" w:color="auto" w:fill="F5F7FB"/>
          </w:tcPr>
          <w:p>
            <w:pPr>
              <w:pStyle w:val="Compact"/>
            </w:pPr>
            <w:r>
              <w:rPr>
                <w:sz w:val="17"/>
              </w:rPr>
              <w:t xml:space="preserve">Agents IA</w:t>
            </w:r>
          </w:p>
        </w:tc>
        <w:tc>
          <w:tcPr>
            <w:shd w:val="clear" w:color="auto" w:fill="F5F7FB"/>
          </w:tcPr>
          <w:p>
            <w:pPr>
              <w:pStyle w:val="Compact"/>
            </w:pPr>
            <w:r>
              <w:rPr>
                <w:sz w:val="17"/>
              </w:rPr>
              <w:t xml:space="preserve">Système d’exploitation IA encadré, autosave, mémoire, format de sortie (§ 23.5)</w:t>
            </w:r>
          </w:p>
        </w:tc>
        <w:tc>
          <w:tcPr>
            <w:shd w:val="clear" w:color="auto" w:fill="F5F7FB"/>
          </w:tcPr>
          <w:p>
            <w:pPr>
              <w:pStyle w:val="Compact"/>
            </w:pPr>
            <w:r>
              <w:rPr>
                <w:sz w:val="17"/>
              </w:rPr>
              <w:t xml:space="preserve">Demande du promoteur</w:t>
            </w:r>
          </w:p>
        </w:tc>
      </w:tr>
      <w:tr>
        <w:tc>
          <w:tcPr/>
          <w:p>
            <w:pPr>
              <w:pStyle w:val="Compact"/>
            </w:pPr>
            <w:r>
              <w:rPr>
                <w:sz w:val="17"/>
              </w:rPr>
              <w:t xml:space="preserve">Charte graphique</w:t>
            </w:r>
          </w:p>
        </w:tc>
        <w:tc>
          <w:tcPr/>
          <w:p>
            <w:pPr>
              <w:pStyle w:val="Compact"/>
            </w:pPr>
            <w:r>
              <w:rPr>
                <w:sz w:val="17"/>
              </w:rPr>
              <w:t xml:space="preserve">Teal Groupe Nseya</w:t>
            </w:r>
          </w:p>
        </w:tc>
        <w:tc>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p>
            <w:pPr>
              <w:pStyle w:val="Compact"/>
            </w:pPr>
            <w:r>
              <w:rPr>
                <w:sz w:val="17"/>
              </w:rPr>
              <w:t xml:space="preserve">Demande du promoteur</w:t>
            </w:r>
          </w:p>
        </w:tc>
      </w:tr>
      <w:tr>
        <w:tc>
          <w:tcPr>
            <w:shd w:val="clear" w:color="auto" w:fill="F5F7FB"/>
          </w:tcPr>
          <w:p>
            <w:pPr>
              <w:pStyle w:val="Compact"/>
            </w:pPr>
            <w:r>
              <w:rPr>
                <w:sz w:val="17"/>
              </w:rPr>
              <w:t xml:space="preserve">Direction artistique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Interface sobre et éditoriale de console financière publique ; page d’accueil cinématographique ; aucun artifice « généré par IA »</w:t>
            </w:r>
          </w:p>
        </w:tc>
        <w:tc>
          <w:tcPr>
            <w:shd w:val="clear" w:color="auto" w:fill="F5F7FB"/>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5"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r>
              <w:rPr>
                <w:sz w:val="17"/>
              </w:rPr>
              <w:t xml:space="preserve"> </w:t>
            </w:r>
            <w:r>
              <w:rPr>
                <w:b/>
                <w:bCs/>
                <w:sz w:val="17"/>
              </w:rPr>
              <w:t xml:space="preserve">Depuis le 27/09/2026</w:t>
            </w:r>
            <w:r>
              <w:rPr>
                <w:sz w:val="17"/>
              </w:rPr>
              <w:t xml:space="preserve"> </w:t>
            </w:r>
            <w:r>
              <w:rPr>
                <w:sz w:val="17"/>
              </w:rPr>
              <w:t xml:space="preserve">(règle d’ajout du maître d’ouvrage : rien n’est omis), ces positions sont réintégrées comme</w:t>
            </w:r>
            <w:r>
              <w:rPr>
                <w:sz w:val="17"/>
              </w:rPr>
              <w:t xml:space="preserve"> </w:t>
            </w:r>
            <w:r>
              <w:rPr>
                <w:b/>
                <w:bCs/>
                <w:sz w:val="17"/>
              </w:rPr>
              <w:t xml:space="preserve">positions du promoteur</w:t>
            </w:r>
            <w:r>
              <w:rPr>
                <w:sz w:val="17"/>
              </w:rPr>
              <w:t xml:space="preserve"> </w:t>
            </w:r>
            <w:r>
              <w:rPr>
                <w:sz w:val="17"/>
              </w:rPr>
              <w:t xml:space="preserve">à côté de l’analyse v3.0 (§ H.31)</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r>
              <w:rPr>
                <w:sz w:val="17"/>
              </w:rPr>
              <w:t xml:space="preserve"> </w:t>
            </w:r>
            <w:r>
              <w:rPr>
                <w:b/>
                <w:bCs/>
                <w:sz w:val="17"/>
              </w:rPr>
              <w:t xml:space="preserve">Complément du 27/09/2026</w:t>
            </w:r>
            <w:r>
              <w:rPr>
                <w:sz w:val="17"/>
              </w:rPr>
              <w:t xml:space="preserve"> </w:t>
            </w:r>
            <w:r>
              <w:rPr>
                <w:sz w:val="17"/>
              </w:rPr>
              <w:t xml:space="preserve">: la clé 10/10/10/70 du promoteur est conservée comme paramètre gouverné au statut « acte requis » (simulation seulement, décaissement après acte et double validation — § H.31)</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50 % de la validité,</w:t>
      </w:r>
      <w:r>
        <w:t xml:space="preserve"> </w:t>
      </w:r>
      <w:r>
        <w:rPr>
          <w:b/>
          <w:bCs/>
        </w:rPr>
        <w:t xml:space="preserve">ambre</w:t>
      </w:r>
      <w:r>
        <w:t xml:space="preserve"> </w:t>
      </w:r>
      <w:r>
        <w:t xml:space="preserve">de 1 % à moins de 50 %, et</w:t>
      </w:r>
      <w:r>
        <w:t xml:space="preserve"> </w:t>
      </w:r>
      <w:r>
        <w:rPr>
          <w:b/>
          <w:bCs/>
        </w:rPr>
        <w:t xml:space="preserve">rouge</w:t>
      </w:r>
      <w:r>
        <w:t xml:space="preserve"> </w:t>
      </w:r>
      <w:r>
        <w:t xml:space="preserve">sous 1 %. Sous 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conservé dans l’Annexe H, complété d’un renvoi vers le chapitre qui le reprend (règle d’ajout du 27/09/2026 : rien n’est retiré).</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Start w:id="584" w:name="Xd9ca95ee75a14a00be7a09d33242076b973cd29"/>
    <w:p>
      <w:pPr>
        <w:pStyle w:val="Heading2"/>
      </w:pPr>
      <w:r>
        <w:t xml:space="preserve">H.31 Règle d’ajout et positions du promoteur réintégrées (27/09/2026)</w:t>
      </w:r>
    </w:p>
    <w:p>
      <w:pPr>
        <w:pStyle w:val="FirstParagraph"/>
      </w:pPr>
      <w:r>
        <w:rPr>
          <w:b/>
          <w:bCs/>
        </w:rPr>
        <w:t xml:space="preserve">Décision du maître d’ouvrage.</w:t>
      </w:r>
      <w:r>
        <w:t xml:space="preserve"> </w:t>
      </w:r>
      <w:r>
        <w:t xml:space="preserve">Les spécifications nouvelles s’ajoutent à l’existant : rien n’est supprimé, retiré ni omis ; tout ajout est construit par-dessus l’existant, fusionné, combiné et harmonisé. Les contradictions sont signalées pour arbitrage, et l’existant reste en place jusqu’à décision. La relecture du Cahier des exigences v2.9 transmise le même jour (note de consolidation, tableau d’harmonisation, historique des versions 2.1 à 2.9, note exécutive, sept piliers, résumé exécutif, huit résultats attendus, décisions demandées) confirme que ces textes sont ceux déjà intégrés (§ H.1, matrice H.30). Les positions que la version 3.0 avait écartées sont</w:t>
      </w:r>
      <w:r>
        <w:t xml:space="preserve"> </w:t>
      </w:r>
      <w:r>
        <w:rPr>
          <w:b/>
          <w:bCs/>
        </w:rPr>
        <w:t xml:space="preserve">réintégrées comme positions du promoteur</w:t>
      </w:r>
      <w:r>
        <w:t xml:space="preserve">, à côté de l’analyse v3.0, et portées dans la plateforme sous forme</w:t>
      </w:r>
      <w:r>
        <w:t xml:space="preserve"> </w:t>
      </w:r>
      <w:r>
        <w:rPr>
          <w:b/>
          <w:bCs/>
        </w:rPr>
        <w:t xml:space="preserve">gouvernée et non active</w:t>
      </w:r>
      <w:r>
        <w:t xml:space="preserve"> </w:t>
      </w:r>
      <w:r>
        <w:t xml:space="preserve">tant que l’acte juridique n’est pas certifié (statut du Cahier : « aucune règle, aucun taux et aucune projection ne peuvent être mis en production avant certification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Position du Cahier v2.9</w:t>
            </w:r>
          </w:p>
        </w:tc>
        <w:tc>
          <w:tcPr>
            <w:shd w:val="clear" w:color="auto" w:fill="232C6B"/>
          </w:tcPr>
          <w:p>
            <w:pPr>
              <w:pStyle w:val="Compact"/>
            </w:pPr>
            <w:r>
              <w:rPr>
                <w:b/>
                <w:color w:val="FFFFFF"/>
                <w:sz w:val="17"/>
              </w:rPr>
              <w:t xml:space="preserve">Lecture v3.0 (conservée)</w:t>
            </w:r>
          </w:p>
        </w:tc>
        <w:tc>
          <w:tcPr>
            <w:shd w:val="clear" w:color="auto" w:fill="232C6B"/>
          </w:tcPr>
          <w:p>
            <w:pPr>
              <w:pStyle w:val="Compact"/>
            </w:pPr>
            <w:r>
              <w:rPr>
                <w:b/>
                <w:color w:val="FFFFFF"/>
                <w:sz w:val="17"/>
              </w:rPr>
              <w:t xml:space="preserve">Harmonisation retenue</w:t>
            </w:r>
          </w:p>
        </w:tc>
      </w:tr>
      <w:tr>
        <w:tc>
          <w:tcPr/>
          <w:p>
            <w:pPr>
              <w:pStyle w:val="Compact"/>
            </w:pPr>
            <w:r>
              <w:rPr>
                <w:sz w:val="17"/>
              </w:rPr>
              <w:t xml:space="preserve">Clé 10/10/10/70 sur 30 ans (§ 37A) ; financement intégral du système d’exploitation numérique par Groupe Nseya, hors moyens physiques</w:t>
            </w:r>
          </w:p>
        </w:tc>
        <w:tc>
          <w:tcPr/>
          <w:p>
            <w:pPr>
              <w:pStyle w:val="Compact"/>
            </w:pPr>
            <w:r>
              <w:rPr>
                <w:sz w:val="17"/>
              </w:rPr>
              <w:t xml:space="preserve">Déconseillée ; modèle hybride plafonné (§ 37.2, § 37.3)</w:t>
            </w:r>
          </w:p>
        </w:tc>
        <w:tc>
          <w:tcPr/>
          <w:p>
            <w:pPr>
              <w:pStyle w:val="Compact"/>
            </w:pPr>
            <w:r>
              <w:rPr>
                <w:sz w:val="17"/>
              </w:rPr>
              <w:t xml:space="preserve">Paramètre « acte requis » : simulation sur recettes rapprochées ; activation par acte enregistré et double validation ; décaissements proposés en opérations du Trésor à quatre yeux ; commission des agents (10 %) rattachée à la tranche « agents et sous-traitants »</w:t>
            </w:r>
          </w:p>
        </w:tc>
      </w:tr>
      <w:tr>
        <w:tc>
          <w:tcPr>
            <w:shd w:val="clear" w:color="auto" w:fill="F5F7FB"/>
          </w:tcPr>
          <w:p>
            <w:pPr>
              <w:pStyle w:val="Compact"/>
            </w:pPr>
            <w:r>
              <w:rPr>
                <w:sz w:val="17"/>
              </w:rPr>
              <w:t xml:space="preserve">IRL = 22 % des loyers encaissés, dont 20 % de retenue de premier rang</w:t>
            </w:r>
          </w:p>
        </w:tc>
        <w:tc>
          <w:tcPr>
            <w:shd w:val="clear" w:color="auto" w:fill="F5F7FB"/>
          </w:tcPr>
          <w:p>
            <w:pPr>
              <w:pStyle w:val="Compact"/>
            </w:pPr>
            <w:r>
              <w:rPr>
                <w:sz w:val="17"/>
              </w:rPr>
              <w:t xml:space="preserve">Pas de taux unique codé</w:t>
            </w:r>
          </w:p>
        </w:tc>
        <w:tc>
          <w:tcPr>
            <w:shd w:val="clear" w:color="auto" w:fill="F5F7FB"/>
          </w:tcPr>
          <w:p>
            <w:pPr>
              <w:pStyle w:val="Compact"/>
            </w:pPr>
            <w:r>
              <w:rPr>
                <w:sz w:val="17"/>
              </w:rPr>
              <w:t xml:space="preserve">Versions de règle au statut « à vérifier », jamais actives ; la lecture certifiée de l’OL 18/004 et de l’arrêté des taux prévaut (J3)</w:t>
            </w:r>
          </w:p>
        </w:tc>
      </w:tr>
      <w:tr>
        <w:tc>
          <w:tcPr/>
          <w:p>
            <w:pPr>
              <w:pStyle w:val="Compact"/>
            </w:pPr>
            <w:r>
              <w:rPr>
                <w:sz w:val="17"/>
              </w:rPr>
              <w:t xml:space="preserve">Pénalités et blocages automatiques (AVIA, ParkSmart)</w:t>
            </w:r>
          </w:p>
        </w:tc>
        <w:tc>
          <w:tcPr/>
          <w:p>
            <w:pPr>
              <w:pStyle w:val="Compact"/>
            </w:pPr>
            <w:r>
              <w:rPr>
                <w:sz w:val="17"/>
              </w:rPr>
              <w:t xml:space="preserve">Le système constate et calcule, l’autorité décide (RW1)</w:t>
            </w:r>
          </w:p>
        </w:tc>
        <w:tc>
          <w:tcPr/>
          <w:p>
            <w:pPr>
              <w:pStyle w:val="Compact"/>
            </w:pPr>
            <w:r>
              <w:rPr>
                <w:sz w:val="17"/>
              </w:rPr>
              <w:t xml:space="preserve">Identique à l’arbitrage du Cahier lui-même : aucune divergence</w:t>
            </w:r>
          </w:p>
        </w:tc>
      </w:tr>
      <w:tr>
        <w:tc>
          <w:tcPr>
            <w:shd w:val="clear" w:color="auto" w:fill="F5F7FB"/>
          </w:tcPr>
          <w:p>
            <w:pPr>
              <w:pStyle w:val="Compact"/>
            </w:pPr>
            <w:r>
              <w:rPr>
                <w:sz w:val="17"/>
              </w:rPr>
              <w:t xml:space="preserve">Pilote complet dès février 2027</w:t>
            </w:r>
          </w:p>
        </w:tc>
        <w:tc>
          <w:tcPr>
            <w:shd w:val="clear" w:color="auto" w:fill="F5F7FB"/>
          </w:tcPr>
          <w:p>
            <w:pPr>
              <w:pStyle w:val="Compact"/>
            </w:pPr>
            <w:r>
              <w:rPr>
                <w:sz w:val="17"/>
              </w:rPr>
              <w:t xml:space="preserve">Recensement R0 en déc. 2026, test en février, R1 en avril 2027</w:t>
            </w:r>
          </w:p>
        </w:tc>
        <w:tc>
          <w:tcPr>
            <w:shd w:val="clear" w:color="auto" w:fill="F5F7FB"/>
          </w:tcPr>
          <w:p>
            <w:pPr>
              <w:pStyle w:val="Compact"/>
            </w:pPr>
            <w:r>
              <w:rPr>
                <w:sz w:val="17"/>
              </w:rPr>
              <w:t xml:space="preserve">Les deux calendriers sont présentés ; la campagne de février 2027 reste le premier test réel (décision demandée n° 4)</w:t>
            </w:r>
          </w:p>
        </w:tc>
      </w:tr>
      <w:tr>
        <w:tc>
          <w:tcPr/>
          <w:p>
            <w:pPr>
              <w:pStyle w:val="Compact"/>
            </w:pPr>
            <w:r>
              <w:rPr>
                <w:sz w:val="17"/>
              </w:rPr>
              <w:t xml:space="preserve">Prestataires techniques nommés</w:t>
            </w:r>
          </w:p>
        </w:tc>
        <w:tc>
          <w:tcPr/>
          <w:p>
            <w:pPr>
              <w:pStyle w:val="Compact"/>
            </w:pPr>
            <w:r>
              <w:rPr>
                <w:sz w:val="17"/>
              </w:rPr>
              <w:t xml:space="preserve">Mise en concurrence</w:t>
            </w:r>
          </w:p>
        </w:tc>
        <w:tc>
          <w:tcPr/>
          <w:p>
            <w:pPr>
              <w:pStyle w:val="Compact"/>
            </w:pPr>
            <w:r>
              <w:rPr>
                <w:sz w:val="17"/>
              </w:rPr>
              <w:t xml:space="preserve">Prestataires nommés conservés comme propositions du promoteur, soumises aux règles des marchés publics</w:t>
            </w:r>
          </w:p>
        </w:tc>
      </w:tr>
      <w:tr>
        <w:tc>
          <w:tcPr>
            <w:shd w:val="clear" w:color="auto" w:fill="F5F7FB"/>
          </w:tcPr>
          <w:p>
            <w:pPr>
              <w:pStyle w:val="Compact"/>
            </w:pPr>
            <w:r>
              <w:rPr>
                <w:sz w:val="17"/>
              </w:rPr>
              <w:t xml:space="preserve">Pile technique imposée (Java/.NET ou Next.js/NestJS)</w:t>
            </w:r>
          </w:p>
        </w:tc>
        <w:tc>
          <w:tcPr>
            <w:shd w:val="clear" w:color="auto" w:fill="F5F7FB"/>
          </w:tcPr>
          <w:p>
            <w:pPr>
              <w:pStyle w:val="Compact"/>
            </w:pPr>
            <w:r>
              <w:rPr>
                <w:sz w:val="17"/>
              </w:rPr>
              <w:t xml:space="preserve">Pile ouverte (Annexe E)</w:t>
            </w:r>
          </w:p>
        </w:tc>
        <w:tc>
          <w:tcPr>
            <w:shd w:val="clear" w:color="auto" w:fill="F5F7FB"/>
          </w:tcPr>
          <w:p>
            <w:pPr>
              <w:pStyle w:val="Compact"/>
            </w:pPr>
            <w:r>
              <w:rPr>
                <w:sz w:val="17"/>
              </w:rPr>
              <w:t xml:space="preserve">Pile construite conservée ; la pile du Cahier reste une option documentée</w:t>
            </w:r>
          </w:p>
        </w:tc>
      </w:tr>
      <w:tr>
        <w:tc>
          <w:tcPr/>
          <w:p>
            <w:pPr>
              <w:pStyle w:val="Compact"/>
            </w:pPr>
            <w:r>
              <w:rPr>
                <w:sz w:val="17"/>
              </w:rPr>
              <w:t xml:space="preserve">Chiffres de contexte : budget ≈ 1,2 milliard $, moins de 70 $ par habitant</w:t>
            </w:r>
          </w:p>
        </w:tc>
        <w:tc>
          <w:tcPr/>
          <w:p>
            <w:pPr>
              <w:pStyle w:val="Compact"/>
            </w:pPr>
            <w:r>
              <w:rPr>
                <w:sz w:val="17"/>
              </w:rPr>
              <w:t xml:space="preserve">≈ 1,1 milliard $ [À VÉRIFIER], 55 à 65 $ par habitant</w:t>
            </w:r>
          </w:p>
        </w:tc>
        <w:tc>
          <w:tcPr/>
          <w:p>
            <w:pPr>
              <w:pStyle w:val="Compact"/>
            </w:pPr>
            <w:r>
              <w:rPr>
                <w:sz w:val="17"/>
              </w:rPr>
              <w:t xml:space="preserve">Les deux estimations sont citées ; seul l’édit budgétaire promulgué fait foi</w:t>
            </w:r>
          </w:p>
        </w:tc>
      </w:tr>
    </w:tbl>
    <w:bookmarkEnd w:id="584"/>
    <w:bookmarkEnd w:id="585"/>
    <w:bookmarkStart w:id="610"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6"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6"/>
    <w:bookmarkStart w:id="587"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7"/>
    <w:bookmarkStart w:id="588"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8"/>
    <w:bookmarkStart w:id="589"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9"/>
    <w:bookmarkStart w:id="590"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0"/>
    <w:bookmarkStart w:id="591"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2"/>
    <w:bookmarkStart w:id="593"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3"/>
    <w:bookmarkStart w:id="594"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4"/>
    <w:bookmarkStart w:id="595"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5"/>
    <w:bookmarkStart w:id="596"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6"/>
    <w:bookmarkStart w:id="597"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7"/>
    <w:bookmarkStart w:id="598"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9"/>
    <w:bookmarkStart w:id="600"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600"/>
    <w:bookmarkStart w:id="601"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1"/>
    <w:bookmarkStart w:id="602"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2"/>
    <w:bookmarkStart w:id="603"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3"/>
    <w:bookmarkStart w:id="604"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4"/>
    <w:bookmarkStart w:id="605"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5"/>
    <w:bookmarkStart w:id="606"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6"/>
    <w:bookmarkStart w:id="607"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7"/>
    <w:bookmarkStart w:id="608"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8"/>
    <w:bookmarkStart w:id="609"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9"/>
    <w:bookmarkEnd w:id="610"/>
    <w:bookmarkStart w:id="638"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1"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(27/09/2026) :</w:t>
      </w:r>
      <w:r>
        <w:t xml:space="preserve"> </w:t>
      </w:r>
      <w:r>
        <w:rPr>
          <w:b/>
          <w:bCs/>
        </w:rPr>
        <w:t xml:space="preserve">631 routes</w:t>
      </w:r>
      <w:r>
        <w:t xml:space="preserve"> </w:t>
      </w:r>
      <w:r>
        <w:t xml:space="preserve">(catalogue généré et vérifié en intégration continue :</w:t>
      </w:r>
      <w:r>
        <w:t xml:space="preserve"> </w:t>
      </w:r>
      <w:r>
        <w:rPr>
          <w:rStyle w:val="VerbatimChar"/>
        </w:rPr>
        <w:t xml:space="preserve">specs/routes-api.md</w:t>
      </w:r>
      <w:r>
        <w:t xml:space="preserve">), 73 écrans de modules (80 routes d’écran) en plus des écrans du socle,</w:t>
      </w:r>
      <w:r>
        <w:t xml:space="preserve"> </w:t>
      </w:r>
      <w:r>
        <w:rPr>
          <w:b/>
          <w:bCs/>
        </w:rPr>
        <w:t xml:space="preserve">548 tests backend</w:t>
      </w:r>
      <w:r>
        <w:t xml:space="preserve">, 101 tests d’interface et 32 tests du paquet partagé, tous au vert, et une analyse statique (ESLint) bloquante en intégration continue ; l’application complète (socle et 17 modules d’extension) est couverte par un test d’intégration et par la persistance sur un vrai PostgreSQL en intégration continue.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1"/>
    <w:bookmarkStart w:id="612"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n’est accepté que si</w:t>
      </w:r>
      <w:r>
        <w:t xml:space="preserve"> </w:t>
      </w:r>
      <w:r>
        <w:rPr>
          <w:rStyle w:val="VerbatimChar"/>
        </w:rPr>
        <w:t xml:space="preserve">MOSOLO_DEMO_MODE</w:t>
      </w:r>
      <w:r>
        <w:t xml:space="preserve"> </w:t>
      </w:r>
      <w:r>
        <w:t xml:space="preserve">vaut explicitement</w:t>
      </w:r>
      <w:r>
        <w:t xml:space="preserve"> </w:t>
      </w:r>
      <w:r>
        <w:rPr>
          <w:rStyle w:val="VerbatimChar"/>
        </w:rPr>
        <w:t xml:space="preserve">true</w:t>
      </w:r>
      <w:r>
        <w:t xml:space="preserve">, et jamais lorsque</w:t>
      </w:r>
      <w:r>
        <w:t xml:space="preserve"> </w:t>
      </w:r>
      <w:r>
        <w:rPr>
          <w:rStyle w:val="VerbatimChar"/>
        </w:rPr>
        <w:t xml:space="preserve">NODE_ENV=production</w:t>
      </w:r>
      <w:r>
        <w:t xml:space="preserve"> </w:t>
      </w:r>
      <w:r>
        <w:t xml:space="preserve">(démarrage refusé). Le développement local (</w:t>
      </w:r>
      <w:r>
        <w:rPr>
          <w:rStyle w:val="VerbatimChar"/>
        </w:rPr>
        <w:t xml:space="preserve">npm run dev</w:t>
      </w:r>
      <w:r>
        <w:t xml:space="preserve">), les tests et l’intégration continue l’activent explicitement ; hors démonstration, le serveur exige les secrets réels des prestataires.</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MOSOLO_DEMO_MODE=true</w:t>
            </w:r>
            <w:r>
              <w:rPr>
                <w:sz w:val="17"/>
              </w:rPr>
              <w:t xml:space="preserve"> </w:t>
            </w:r>
            <w:r>
              <w:rPr>
                <w:sz w:val="17"/>
              </w:rPr>
              <w:t xml:space="preserve">(défaut désactivé ; refusé en production)</w:t>
            </w:r>
          </w:p>
        </w:tc>
        <w:tc>
          <w:tcPr>
            <w:shd w:val="clear" w:color="auto" w:fill="F5F7FB"/>
          </w:tcPr>
          <w:p>
            <w:pPr>
              <w:pStyle w:val="Compact"/>
            </w:pPr>
            <w:r>
              <w:rPr>
                <w:sz w:val="17"/>
              </w:rPr>
              <w:t xml:space="preserve">Désactivé par défaut</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2"/>
    <w:bookmarkStart w:id="614" w:name="Xf2cfa537119b7d826edd9fc3e28c1419b920455"/>
    <w:p>
      <w:pPr>
        <w:pStyle w:val="Heading2"/>
      </w:pPr>
      <w:r>
        <w:t xml:space="preserve">I.2 Accès, entités, invitations, mandats et identité</w:t>
      </w:r>
    </w:p>
    <w:bookmarkStart w:id="613"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3"/>
    <w:bookmarkEnd w:id="614"/>
    <w:bookmarkStart w:id="615"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5"/>
    <w:bookmarkStart w:id="616"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6"/>
    <w:bookmarkStart w:id="618" w:name="X433facfeae44327db6802119a06dbf129f5fc9d"/>
    <w:p>
      <w:pPr>
        <w:pStyle w:val="Heading2"/>
      </w:pPr>
      <w:r>
        <w:t xml:space="preserve">I.5 Registre juridique complet, avis et recouvrement</w:t>
      </w:r>
    </w:p>
    <w:bookmarkStart w:id="617"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7"/>
    <w:bookmarkEnd w:id="618"/>
    <w:bookmarkStart w:id="619"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9"/>
    <w:bookmarkStart w:id="620"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20"/>
    <w:bookmarkStart w:id="622" w:name="X064443d34252857be3bef46324e42e0d93ff70a"/>
    <w:p>
      <w:pPr>
        <w:pStyle w:val="Heading2"/>
      </w:pPr>
      <w:r>
        <w:t xml:space="preserve">I.8 Verticales branchées sur l’API, AVIA, NFIU, CALCU</w:t>
      </w:r>
    </w:p>
    <w:bookmarkStart w:id="621"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1"/>
    <w:bookmarkEnd w:id="622"/>
    <w:bookmarkStart w:id="623"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3"/>
    <w:bookmarkStart w:id="625" w:name="Xac110094a0c8890c33862138a455ffe5a261fba"/>
    <w:p>
      <w:pPr>
        <w:pStyle w:val="Heading2"/>
      </w:pPr>
      <w:r>
        <w:t xml:space="preserve">I.10 Opérations de terrain, sous-traitance et badges</w:t>
      </w:r>
    </w:p>
    <w:bookmarkStart w:id="624"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4"/>
    <w:bookmarkEnd w:id="625"/>
    <w:bookmarkStart w:id="627" w:name="Xa23f468f7109a21fd4c67c56b7728fd0eb41888"/>
    <w:p>
      <w:pPr>
        <w:pStyle w:val="Heading2"/>
      </w:pPr>
      <w:r>
        <w:t xml:space="preserve">I.11 Intégrité : signalement, enquêtes, incidents, données personnelles</w:t>
      </w:r>
    </w:p>
    <w:bookmarkStart w:id="626"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6"/>
    <w:bookmarkEnd w:id="627"/>
    <w:bookmarkStart w:id="628"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8"/>
    <w:bookmarkStart w:id="630" w:name="i.13-système-dexploitation-de-lia-ai-os"/>
    <w:p>
      <w:pPr>
        <w:pStyle w:val="Heading2"/>
      </w:pPr>
      <w:r>
        <w:t xml:space="preserve">I.13 Système d’exploitation de l’IA (AI OS)</w:t>
      </w:r>
    </w:p>
    <w:bookmarkStart w:id="629"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9"/>
    <w:bookmarkEnd w:id="630"/>
    <w:bookmarkStart w:id="631" w:name="X5015b7541219a278150b945d0feeaf51ae3aade"/>
    <w:p>
      <w:pPr>
        <w:pStyle w:val="Heading2"/>
      </w:pPr>
      <w:r>
        <w:t xml:space="preserve">I.14 Preuves sur tous les canaux : compte à rebours 50 % / 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50 %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1 % à moins de 50 %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50 % et 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rPr>
          <w:b/>
          <w:bCs/>
        </w:rPr>
        <w:t xml:space="preserve">Vérifier en scannant le QR code.</w:t>
      </w:r>
      <w:r>
        <w:t xml:space="preserve"> </w:t>
      </w:r>
      <w:r>
        <w:t xml:space="preserve">Sur la page « Vérifier une preuve », au guichet de quittance et sur l’écran de contrôle des agents, le bouton « Scanner un QR code » ouvre la caméra arrière. Il fonctionne sur (presque) tous les téléphones :</w:t>
      </w:r>
    </w:p>
    <w:p>
      <w:pPr>
        <w:pStyle w:val="Compact"/>
        <w:numPr>
          <w:ilvl w:val="0"/>
          <w:numId w:val="1038"/>
        </w:numPr>
      </w:pPr>
      <w:r>
        <w:rPr>
          <w:b/>
          <w:bCs/>
        </w:rPr>
        <w:t xml:space="preserve">Détecteur natif</w:t>
      </w:r>
      <w:r>
        <w:t xml:space="preserve"> </w:t>
      </w:r>
      <w:r>
        <w:t xml:space="preserve">du navigateur quand il existe (Chrome sur Android).</w:t>
      </w:r>
    </w:p>
    <w:p>
      <w:pPr>
        <w:pStyle w:val="Compact"/>
        <w:numPr>
          <w:ilvl w:val="0"/>
          <w:numId w:val="1038"/>
        </w:numPr>
      </w:pPr>
      <w:r>
        <w:rPr>
          <w:b/>
          <w:bCs/>
        </w:rPr>
        <w:t xml:space="preserve">Sinon, décodage en JavaScript</w:t>
      </w:r>
      <w:r>
        <w:t xml:space="preserve"> </w:t>
      </w:r>
      <w:r>
        <w:t xml:space="preserve">(jsQR, 47 Ko compressés, chargé seulement à l’ouverture du lecteur) : iPhone et Safari, Firefox, anciens Android.</w:t>
      </w:r>
    </w:p>
    <w:p>
      <w:pPr>
        <w:pStyle w:val="Compact"/>
        <w:numPr>
          <w:ilvl w:val="0"/>
          <w:numId w:val="1038"/>
        </w:numPr>
      </w:pPr>
      <w:r>
        <w:rPr>
          <w:b/>
          <w:bCs/>
        </w:rPr>
        <w:t xml:space="preserve">Secours universel « Prendre une photo du QR »</w:t>
      </w:r>
      <w:r>
        <w:t xml:space="preserve"> </w:t>
      </w:r>
      <w:r>
        <w:t xml:space="preserve">: l’appareil photo du téléphone prend l’image, décodée sur place. Utile quand la caméra en direct est refusée ou indisponible (page hors HTTPS).</w:t>
      </w:r>
    </w:p>
    <w:p>
      <w:pPr>
        <w:pStyle w:val="Compact"/>
        <w:numPr>
          <w:ilvl w:val="0"/>
          <w:numId w:val="1038"/>
        </w:numPr>
      </w:pPr>
      <w:r>
        <w:rPr>
          <w:b/>
          <w:bCs/>
        </w:rPr>
        <w:t xml:space="preserve">Aucune image n’est envoyée au serveur</w:t>
      </w:r>
      <w:r>
        <w:t xml:space="preserve"> </w:t>
      </w:r>
      <w:r>
        <w:t xml:space="preserve">: seul le texte lu du QR l’est.</w:t>
      </w:r>
    </w:p>
    <w:p>
      <w:pPr>
        <w:pStyle w:val="FirstParagraph"/>
      </w:pPr>
      <w:r>
        <w:t xml:space="preserve">Le contenu lu est interprété de la même façon partout (</w:t>
      </w:r>
      <w:r>
        <w:rPr>
          <w:rStyle w:val="VerbatimChar"/>
        </w:rPr>
        <w:t xml:space="preserve">shared/proofs.ts</w:t>
      </w:r>
      <w:r>
        <w:t xml:space="preserve">) :</w:t>
      </w:r>
    </w:p>
    <w:p>
      <w:pPr>
        <w:pStyle w:val="Compact"/>
        <w:numPr>
          <w:ilvl w:val="0"/>
          <w:numId w:val="1039"/>
        </w:numPr>
      </w:pPr>
      <w:r>
        <w:t xml:space="preserve">lien de vérification de la preuve, quel que soit le domaine imprimé ;</w:t>
      </w:r>
    </w:p>
    <w:p>
      <w:pPr>
        <w:pStyle w:val="Compact"/>
        <w:numPr>
          <w:ilvl w:val="0"/>
          <w:numId w:val="1039"/>
        </w:numPr>
      </w:pPr>
      <w:r>
        <w:t xml:space="preserve">charge signée d’une quittance, duplicata compris ;</w:t>
      </w:r>
    </w:p>
    <w:p>
      <w:pPr>
        <w:pStyle w:val="Compact"/>
        <w:numPr>
          <w:ilvl w:val="0"/>
          <w:numId w:val="1039"/>
        </w:numPr>
      </w:pPr>
      <w:r>
        <w:t xml:space="preserve">jeton signé d’un titre ou d’un gilet ;</w:t>
      </w:r>
    </w:p>
    <w:p>
      <w:pPr>
        <w:pStyle w:val="Compact"/>
        <w:numPr>
          <w:ilvl w:val="0"/>
          <w:numId w:val="1039"/>
        </w:numPr>
      </w:pPr>
      <w:r>
        <w:t xml:space="preserve">code nu.</w:t>
      </w:r>
    </w:p>
    <w:p>
      <w:pPr>
        <w:pStyle w:val="FirstParagraph"/>
      </w:pPr>
      <w:r>
        <w:t xml:space="preserve">Un lien collé dans un SMS, WhatsApp ou la version légère est aussi accepté. Un QR de plaque, de quitus, d’agent, de support publicitaire ou de carte ouvre directement sa page de vérification, signature comprise.</w:t>
      </w:r>
    </w:p>
    <w:p>
      <w:pPr>
        <w:pStyle w:val="BodyText"/>
      </w:pPr>
      <w:r>
        <w:t xml:space="preserve">Essai réel dans Chromium sans détecteur natif (donc avec jsQR) :</w:t>
      </w:r>
    </w:p>
    <w:p>
      <w:pPr>
        <w:pStyle w:val="Compact"/>
        <w:numPr>
          <w:ilvl w:val="0"/>
          <w:numId w:val="1040"/>
        </w:numPr>
      </w:pPr>
      <w:r>
        <w:rPr>
          <w:b/>
          <w:bCs/>
        </w:rPr>
        <w:t xml:space="preserve">caméra simulée</w:t>
      </w:r>
      <w:r>
        <w:t xml:space="preserve"> </w:t>
      </w:r>
      <w:r>
        <w:t xml:space="preserve">filmant la preuve imprimée : ticket reconnu environ 0,2 s après l’apparition du QR ;</w:t>
      </w:r>
    </w:p>
    <w:p>
      <w:pPr>
        <w:pStyle w:val="Compact"/>
        <w:numPr>
          <w:ilvl w:val="0"/>
          <w:numId w:val="1040"/>
        </w:numPr>
      </w:pPr>
      <w:r>
        <w:rPr>
          <w:b/>
          <w:bCs/>
        </w:rPr>
        <w:t xml:space="preserve">photo</w:t>
      </w:r>
      <w:r>
        <w:t xml:space="preserve"> </w:t>
      </w:r>
      <w:r>
        <w:t xml:space="preserve">de la preuve A6, inclinée et floue : ticket reconnu.</w:t>
      </w:r>
    </w:p>
    <w:p>
      <w:pPr>
        <w:pStyle w:val="FirstParagraph"/>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1"/>
    <w:bookmarkStart w:id="632" w:name="Xf2fa7fb563952f79d1eacc6b762dabdd2bec26b"/>
    <w:p>
      <w:pPr>
        <w:pStyle w:val="Heading2"/>
      </w:pPr>
      <w:r>
        <w:t xml:space="preserve">I.15 Terrain : lecture de plaque, caméra de preuve des abords, pénalités visibles avec leur montant, commission de tous les agents</w:t>
      </w:r>
    </w:p>
    <w:p>
      <w:pPr>
        <w:pStyle w:val="FirstParagraph"/>
      </w:pPr>
      <w:r>
        <w:t xml:space="preserve">Décisions du maître d’ouvrage du 27/09/2026, puis précisions du même jour, construites et testées :</w:t>
      </w:r>
      <w:r>
        <w:t xml:space="preserve"> </w:t>
      </w:r>
      <w:r>
        <w:t xml:space="preserve">- le montant est montré à tous les agents ;</w:t>
      </w:r>
      <w:r>
        <w:t xml:space="preserve"> </w:t>
      </w:r>
      <w:r>
        <w:t xml:space="preserve">- la commission de 10 % vaut pour les agents de tous les modules ;</w:t>
      </w:r>
      <w:r>
        <w:t xml:space="preserve"> </w:t>
      </w:r>
      <w:r>
        <w:t xml:space="preserve">- les photos de preuve portent sur les abords du véhicule, pas sur la plaque.</w:t>
      </w:r>
    </w:p>
    <w:p>
      <w:pPr>
        <w:pStyle w:val="BodyText"/>
      </w:pPr>
      <w:r>
        <w:rPr>
          <w:b/>
          <w:bCs/>
        </w:rPr>
        <w:t xml:space="preserve">1. Lecture de la plaque à la caméra.</w:t>
      </w:r>
      <w:r>
        <w:t xml:space="preserve"> </w:t>
      </w:r>
      <w:r>
        <w:t xml:space="preserve">Sur le terminal de contrôle, « Scanner la plaque (caméra) » ouvre la caméra arrière avec un cadre de visée au format plaque. La reconnaissance de caractères (Tesseract) est</w:t>
      </w:r>
      <w:r>
        <w:t xml:space="preserve"> </w:t>
      </w:r>
      <w:r>
        <w:rPr>
          <w:b/>
          <w:bCs/>
        </w:rPr>
        <w:t xml:space="preserve">servie par MOSOLO lui-même</w:t>
      </w:r>
      <w:r>
        <w:t xml:space="preserve"> </w:t>
      </w:r>
      <w:r>
        <w:t xml:space="preserve">(</w:t>
      </w:r>
      <w:r>
        <w:rPr>
          <w:rStyle w:val="VerbatimChar"/>
        </w:rPr>
        <w:t xml:space="preserve">/ocr/</w:t>
      </w:r>
      <w:r>
        <w:t xml:space="preserve">, environ 7 Mo) : aucun service externe, et elle fonctionne hors réseau après la première utilisation. Elle n’est pas dans le pré-cache d’installation de l’application.</w:t>
      </w:r>
    </w:p>
    <w:p>
      <w:pPr>
        <w:pStyle w:val="BodyText"/>
      </w:pPr>
      <w:r>
        <w:rPr>
          <w:b/>
          <w:bCs/>
        </w:rPr>
        <w:t xml:space="preserve">La machine propose, l’agent décide</w:t>
      </w:r>
      <w:r>
        <w:t xml:space="preserve"> </w:t>
      </w:r>
      <w:r>
        <w:t xml:space="preserve">: le texte lu (normalisé au format KN-0000-XX) s’affiche avec sa confiance. L’agent le corrige si besoin, puis « Confirmer et contrôler ». Un secours par photo existe.</w:t>
      </w:r>
    </w:p>
    <w:p>
      <w:pPr>
        <w:pStyle w:val="BodyText"/>
      </w:pPr>
      <w:r>
        <w:t xml:space="preserve">Essai réel dans Chromium, caméra simulée filmant l’arrière d’un véhicule : KN-0777-DM lu correctement en moins de 0,3 s une fois le moteur chargé.</w:t>
      </w:r>
    </w:p>
    <w:p>
      <w:pPr>
        <w:pStyle w:val="BodyText"/>
      </w:pPr>
      <w:r>
        <w:rPr>
          <w:b/>
          <w:bCs/>
        </w:rPr>
        <w:t xml:space="preserve">2. Caméra de preuve géolocalisée : les abords du véhicule (plaque ROUGE).</w:t>
      </w:r>
      <w:r>
        <w:t xml:space="preserve"> </w:t>
      </w:r>
      <w:r>
        <w:t xml:space="preserve">Quand le contrôle est rouge, la caméra de preuve s’ouvre d’elle-même.</w:t>
      </w:r>
    </w:p>
    <w:p>
      <w:pPr>
        <w:pStyle w:val="Compact"/>
        <w:numPr>
          <w:ilvl w:val="0"/>
          <w:numId w:val="1041"/>
        </w:numPr>
      </w:pPr>
      <w:r>
        <w:rPr>
          <w:b/>
          <w:bCs/>
        </w:rPr>
        <w:t xml:space="preserve">Vues</w:t>
      </w:r>
      <w:r>
        <w:t xml:space="preserve"> </w:t>
      </w:r>
      <w:r>
        <w:t xml:space="preserve">: l’agent prend</w:t>
      </w:r>
      <w:r>
        <w:t xml:space="preserve"> </w:t>
      </w:r>
      <w:r>
        <w:rPr>
          <w:b/>
          <w:bCs/>
        </w:rPr>
        <w:t xml:space="preserve">jusqu’à 5 photos des abords du véhicule</w:t>
      </w:r>
      <w:r>
        <w:t xml:space="preserve"> </w:t>
      </w:r>
      <w:r>
        <w:t xml:space="preserve">: devant, derrière, côté droit, côté gauche, plus une autre vue (panneau d’interdiction, marquage au sol, horaire affiché).</w:t>
      </w:r>
    </w:p>
    <w:p>
      <w:pPr>
        <w:pStyle w:val="Compact"/>
        <w:numPr>
          <w:ilvl w:val="0"/>
          <w:numId w:val="1041"/>
        </w:numPr>
      </w:pPr>
      <w:r>
        <w:rPr>
          <w:b/>
          <w:bCs/>
        </w:rPr>
        <w:t xml:space="preserve">Objet de la preuve</w:t>
      </w:r>
      <w:r>
        <w:t xml:space="preserve"> </w:t>
      </w:r>
      <w:r>
        <w:t xml:space="preserve">: le</w:t>
      </w:r>
      <w:r>
        <w:t xml:space="preserve"> </w:t>
      </w:r>
      <w:r>
        <w:rPr>
          <w:b/>
          <w:bCs/>
        </w:rPr>
        <w:t xml:space="preserve">lieu et les circonstances</w:t>
      </w:r>
      <w:r>
        <w:t xml:space="preserve"> </w:t>
      </w:r>
      <w:r>
        <w:t xml:space="preserve">du stationnement (passage piéton, trottoir, voie, signalisation).</w:t>
      </w:r>
      <w:r>
        <w:t xml:space="preserve"> </w:t>
      </w:r>
      <w:r>
        <w:rPr>
          <w:b/>
          <w:bCs/>
        </w:rPr>
        <w:t xml:space="preserve">Ce n’est pas un gros plan de la plaque</w:t>
      </w:r>
      <w:r>
        <w:t xml:space="preserve"> </w:t>
      </w:r>
      <w:r>
        <w:t xml:space="preserve">: la plaque est déjà lue au contrôle et figure en texte sur chaque photo.</w:t>
      </w:r>
    </w:p>
    <w:p>
      <w:pPr>
        <w:pStyle w:val="Compact"/>
        <w:numPr>
          <w:ilvl w:val="0"/>
          <w:numId w:val="1041"/>
        </w:numPr>
      </w:pPr>
      <w:r>
        <w:rPr>
          <w:b/>
          <w:bCs/>
        </w:rPr>
        <w:t xml:space="preserve">Mentions incrustées dans l’image</w:t>
      </w:r>
      <w:r>
        <w:t xml:space="preserve">, dans un bandeau et en filigrane :</w:t>
      </w:r>
    </w:p>
    <w:p>
      <w:pPr>
        <w:pStyle w:val="Compact"/>
        <w:numPr>
          <w:ilvl w:val="1"/>
          <w:numId w:val="1042"/>
        </w:numPr>
      </w:pPr>
      <w:r>
        <w:t xml:space="preserve">date et heure (horloge du</w:t>
      </w:r>
      <w:r>
        <w:t xml:space="preserve"> </w:t>
      </w:r>
      <w:r>
        <w:rPr>
          <w:b/>
          <w:bCs/>
        </w:rPr>
        <w:t xml:space="preserve">serveur</w:t>
      </w:r>
      <w:r>
        <w:t xml:space="preserve">, Kinshasa) ;</w:t>
      </w:r>
    </w:p>
    <w:p>
      <w:pPr>
        <w:pStyle w:val="Compact"/>
        <w:numPr>
          <w:ilvl w:val="1"/>
          <w:numId w:val="1042"/>
        </w:numPr>
      </w:pPr>
      <w:r>
        <w:t xml:space="preserve">nom et identifiant de l’agent, numéro du contrôle ;</w:t>
      </w:r>
    </w:p>
    <w:p>
      <w:pPr>
        <w:pStyle w:val="Compact"/>
        <w:numPr>
          <w:ilvl w:val="1"/>
          <w:numId w:val="1042"/>
        </w:numPr>
      </w:pPr>
      <w:r>
        <w:t xml:space="preserve">coordonnées GPS avec leur précision ;</w:t>
      </w:r>
    </w:p>
    <w:p>
      <w:pPr>
        <w:pStyle w:val="Compact"/>
        <w:numPr>
          <w:ilvl w:val="1"/>
          <w:numId w:val="1042"/>
        </w:numPr>
      </w:pPr>
      <w:r>
        <w:rPr>
          <w:b/>
          <w:bCs/>
        </w:rPr>
        <w:t xml:space="preserve">lieu saisi par l’agent</w:t>
      </w:r>
      <w:r>
        <w:t xml:space="preserve"> </w:t>
      </w:r>
      <w:r>
        <w:t xml:space="preserve">(obligatoire) ;</w:t>
      </w:r>
    </w:p>
    <w:p>
      <w:pPr>
        <w:pStyle w:val="Compact"/>
        <w:numPr>
          <w:ilvl w:val="1"/>
          <w:numId w:val="1042"/>
        </w:numPr>
      </w:pPr>
      <w:r>
        <w:t xml:space="preserve">plaque et vue.</w:t>
      </w:r>
    </w:p>
    <w:p>
      <w:pPr>
        <w:pStyle w:val="Compact"/>
        <w:numPr>
          <w:ilvl w:val="0"/>
          <w:numId w:val="1041"/>
        </w:numPr>
      </w:pPr>
      <w:r>
        <w:rPr>
          <w:b/>
          <w:bCs/>
        </w:rPr>
        <w:t xml:space="preserve">Empreinte et versement</w:t>
      </w:r>
      <w:r>
        <w:t xml:space="preserve"> </w:t>
      </w:r>
      <w:r>
        <w:t xml:space="preserve">: l’empreinte SHA-256 de l’image est calculée sur l’appareil. Le serveur</w:t>
      </w:r>
      <w:r>
        <w:t xml:space="preserve"> </w:t>
      </w:r>
      <w:r>
        <w:rPr>
          <w:b/>
          <w:bCs/>
        </w:rPr>
        <w:t xml:space="preserve">vérifie l’empreinte</w:t>
      </w:r>
      <w:r>
        <w:t xml:space="preserve">, n’accepte que du JPEG (900 Ko au plus), dans les 30 minutes du contrôle rouge et par l’agent qui l’a fait. Il</w:t>
      </w:r>
      <w:r>
        <w:t xml:space="preserve"> </w:t>
      </w:r>
      <w:r>
        <w:rPr>
          <w:b/>
          <w:bCs/>
        </w:rPr>
        <w:t xml:space="preserve">conserve l’image telle que reçue</w:t>
      </w:r>
      <w:r>
        <w:t xml:space="preserve"> </w:t>
      </w:r>
      <w:r>
        <w:t xml:space="preserve">et signale un écart d’horloge de plus de 5 minutes.</w:t>
      </w:r>
    </w:p>
    <w:p>
      <w:pPr>
        <w:pStyle w:val="Compact"/>
        <w:numPr>
          <w:ilvl w:val="0"/>
          <w:numId w:val="1041"/>
        </w:numPr>
      </w:pPr>
      <w:r>
        <w:rPr>
          <w:b/>
          <w:bCs/>
        </w:rPr>
        <w:t xml:space="preserve">Protection des photos</w:t>
      </w:r>
      <w:r>
        <w:t xml:space="preserve"> </w:t>
      </w:r>
      <w:r>
        <w:t xml:space="preserve">:</w:t>
      </w:r>
    </w:p>
    <w:p>
      <w:pPr>
        <w:pStyle w:val="Compact"/>
        <w:numPr>
          <w:ilvl w:val="1"/>
          <w:numId w:val="1043"/>
        </w:numPr>
      </w:pPr>
      <w:r>
        <w:t xml:space="preserve">une même image ne peut servir deux fois ;</w:t>
      </w:r>
    </w:p>
    <w:p>
      <w:pPr>
        <w:pStyle w:val="Compact"/>
        <w:numPr>
          <w:ilvl w:val="1"/>
          <w:numId w:val="1043"/>
        </w:numPr>
      </w:pPr>
      <w:r>
        <w:t xml:space="preserve">une reprise conserve l’ancienne photo ;</w:t>
      </w:r>
    </w:p>
    <w:p>
      <w:pPr>
        <w:pStyle w:val="Compact"/>
        <w:numPr>
          <w:ilvl w:val="1"/>
          <w:numId w:val="1043"/>
        </w:numPr>
      </w:pPr>
      <w:r>
        <w:t xml:space="preserve">une photo jointe à un constat ne peut plus être remplacée.</w:t>
      </w:r>
    </w:p>
    <w:p>
      <w:pPr>
        <w:pStyle w:val="Compact"/>
        <w:numPr>
          <w:ilvl w:val="0"/>
          <w:numId w:val="1041"/>
        </w:numPr>
      </w:pPr>
      <w:r>
        <w:rPr>
          <w:b/>
          <w:bCs/>
        </w:rPr>
        <w:t xml:space="preserve">Sans GPS</w:t>
      </w:r>
      <w:r>
        <w:t xml:space="preserve"> </w:t>
      </w:r>
      <w:r>
        <w:t xml:space="preserve">: l’agent peut utiliser la position de la zone, signalée au vérificateur.</w:t>
      </w:r>
    </w:p>
    <w:p>
      <w:pPr>
        <w:pStyle w:val="Compact"/>
        <w:numPr>
          <w:ilvl w:val="0"/>
          <w:numId w:val="1041"/>
        </w:numPr>
      </w:pPr>
      <w:r>
        <w:rPr>
          <w:b/>
          <w:bCs/>
        </w:rPr>
        <w:t xml:space="preserve">Lecture des photos</w:t>
      </w:r>
      <w:r>
        <w:t xml:space="preserve"> </w:t>
      </w:r>
      <w:r>
        <w:t xml:space="preserve">: le superviseur, la régie et le titulaire de la plaque les voient (droit de contester) ; toute consultation est journalisée.</w:t>
      </w:r>
    </w:p>
    <w:p>
      <w:pPr>
        <w:pStyle w:val="FirstParagraph"/>
      </w:pPr>
      <w:r>
        <w:t xml:space="preserve">Le circuit RW1 est inchangé : le</w:t>
      </w:r>
      <w:r>
        <w:t xml:space="preserve"> </w:t>
      </w:r>
      <w:r>
        <w:rPr>
          <w:b/>
          <w:bCs/>
        </w:rPr>
        <w:t xml:space="preserve">constat ne sanctionne pas</w:t>
      </w:r>
      <w:r>
        <w:t xml:space="preserve">.</w:t>
      </w:r>
    </w:p>
    <w:p>
      <w:pPr>
        <w:pStyle w:val="BodyText"/>
      </w:pPr>
      <w:r>
        <w:rPr>
          <w:b/>
          <w:bCs/>
        </w:rPr>
        <w:t xml:space="preserve">3. Pénalités visibles, avec leur montant.</w:t>
      </w:r>
    </w:p>
    <w:p>
      <w:pPr>
        <w:pStyle w:val="BodyText"/>
      </w:pPr>
      <w:r>
        <w:t xml:space="preserve">Règle retenue par le maître d’ouvrage :</w:t>
      </w:r>
      <w:r>
        <w:t xml:space="preserve"> </w:t>
      </w:r>
      <w:r>
        <w:rPr>
          <w:b/>
          <w:bCs/>
        </w:rPr>
        <w:t xml:space="preserve">dans les 30 jours, seulement les agents du module ; au-delà de 30 jours, tous les agents</w:t>
      </w:r>
      <w:r>
        <w:t xml:space="preserve">.</w:t>
      </w:r>
    </w:p>
    <w:p>
      <w:pPr>
        <w:pStyle w:val="Compact"/>
        <w:numPr>
          <w:ilvl w:val="0"/>
          <w:numId w:val="1044"/>
        </w:numPr>
      </w:pPr>
      <w:r>
        <w:rPr>
          <w:b/>
          <w:bCs/>
        </w:rPr>
        <w:t xml:space="preserve">Agents du même module, à tout âge</w:t>
      </w:r>
      <w:r>
        <w:t xml:space="preserve"> </w:t>
      </w:r>
      <w:r>
        <w:t xml:space="preserve">: après un contrôle, l’agent voit les pénalités impayées de l’usager</w:t>
      </w:r>
      <w:r>
        <w:t xml:space="preserve"> </w:t>
      </w:r>
      <w:r>
        <w:rPr>
          <w:b/>
          <w:bCs/>
        </w:rPr>
        <w:t xml:space="preserve">relevant de son module</w:t>
      </w:r>
      <w:r>
        <w:t xml:space="preserve">, dès leur décision, avec leur montant (marquées « votre module »). Correspondance : contrôle de stationnement → pénalités du stationnement ; contrôle de titres ou de pass wewa → pénalités des titres ; inspection publicitaire → publicité ; scan de plaque d’objet → verticales.</w:t>
      </w:r>
    </w:p>
    <w:p>
      <w:pPr>
        <w:pStyle w:val="Compact"/>
        <w:numPr>
          <w:ilvl w:val="0"/>
          <w:numId w:val="1044"/>
        </w:numPr>
      </w:pPr>
      <w:r>
        <w:rPr>
          <w:b/>
          <w:bCs/>
        </w:rPr>
        <w:t xml:space="preserve">Agents de tous les modules, après 30 jours d’impayé</w:t>
      </w:r>
      <w:r>
        <w:t xml:space="preserve"> </w:t>
      </w:r>
      <w:r>
        <w:t xml:space="preserve">: une pénalité non payée 30 jours après sa décision devient visible,</w:t>
      </w:r>
      <w:r>
        <w:t xml:space="preserve"> </w:t>
      </w:r>
      <w:r>
        <w:rPr>
          <w:b/>
          <w:bCs/>
        </w:rPr>
        <w:t xml:space="preserve">avec son montant</w:t>
      </w:r>
      <w:r>
        <w:t xml:space="preserve">, de</w:t>
      </w:r>
      <w:r>
        <w:t xml:space="preserve"> </w:t>
      </w:r>
      <w:r>
        <w:rPr>
          <w:b/>
          <w:bCs/>
        </w:rPr>
        <w:t xml:space="preserve">tout agent de tout module, à l’occasion d’un contrôle</w:t>
      </w:r>
      <w:r>
        <w:t xml:space="preserve">. Contrôles concernés :</w:t>
      </w:r>
    </w:p>
    <w:p>
      <w:pPr>
        <w:pStyle w:val="Compact"/>
        <w:numPr>
          <w:ilvl w:val="1"/>
          <w:numId w:val="1045"/>
        </w:numPr>
      </w:pPr>
      <w:r>
        <w:t xml:space="preserve">stationnement ;</w:t>
      </w:r>
    </w:p>
    <w:p>
      <w:pPr>
        <w:pStyle w:val="Compact"/>
        <w:numPr>
          <w:ilvl w:val="1"/>
          <w:numId w:val="1045"/>
        </w:numPr>
      </w:pPr>
      <w:r>
        <w:t xml:space="preserve">titres et tickets ;</w:t>
      </w:r>
    </w:p>
    <w:p>
      <w:pPr>
        <w:pStyle w:val="Compact"/>
        <w:numPr>
          <w:ilvl w:val="1"/>
          <w:numId w:val="1045"/>
        </w:numPr>
      </w:pPr>
      <w:r>
        <w:t xml:space="preserve">pass wewa (même pour une plaque qui n’est pas celle d’une moto enregistrée) ;</w:t>
      </w:r>
    </w:p>
    <w:p>
      <w:pPr>
        <w:pStyle w:val="Compact"/>
        <w:numPr>
          <w:ilvl w:val="1"/>
          <w:numId w:val="1045"/>
        </w:numPr>
      </w:pPr>
      <w:r>
        <w:t xml:space="preserve">scan d’une plaque d’étal, de chantier ou de site ;</w:t>
      </w:r>
    </w:p>
    <w:p>
      <w:pPr>
        <w:pStyle w:val="Compact"/>
        <w:numPr>
          <w:ilvl w:val="1"/>
          <w:numId w:val="1045"/>
        </w:numPr>
      </w:pPr>
      <w:r>
        <w:t xml:space="preserve">inspection publicitaire.</w:t>
      </w:r>
    </w:p>
    <w:p>
      <w:pPr>
        <w:pStyle w:val="Compact"/>
        <w:numPr>
          <w:ilvl w:val="0"/>
          <w:numId w:val="1044"/>
        </w:numPr>
      </w:pPr>
      <w:r>
        <w:t xml:space="preserve">Le bandeau de l’écran de contrôle s’intitule selon le cas « Pénalités impayées de votre module », « … depuis plus de 30 jours » ou les deux.</w:t>
      </w:r>
    </w:p>
    <w:p>
      <w:pPr>
        <w:pStyle w:val="Compact"/>
        <w:numPr>
          <w:ilvl w:val="0"/>
          <w:numId w:val="1044"/>
        </w:numPr>
      </w:pPr>
      <w:r>
        <w:rPr>
          <w:b/>
          <w:bCs/>
        </w:rPr>
        <w:t xml:space="preserve">Garde-fous</w:t>
      </w:r>
      <w:r>
        <w:t xml:space="preserve"> </w:t>
      </w:r>
      <w:r>
        <w:t xml:space="preserve">:</w:t>
      </w:r>
    </w:p>
    <w:p>
      <w:pPr>
        <w:pStyle w:val="Compact"/>
        <w:numPr>
          <w:ilvl w:val="1"/>
          <w:numId w:val="1046"/>
        </w:numPr>
      </w:pPr>
      <w:r>
        <w:t xml:space="preserve">visible seulement</w:t>
      </w:r>
      <w:r>
        <w:t xml:space="preserve"> </w:t>
      </w:r>
      <w:r>
        <w:rPr>
          <w:b/>
          <w:bCs/>
        </w:rPr>
        <w:t xml:space="preserve">après un contrôle réel</w:t>
      </w:r>
      <w:r>
        <w:t xml:space="preserve"> </w:t>
      </w:r>
      <w:r>
        <w:t xml:space="preserve">(divulgation journalisée avec la référence du contrôle) ;</w:t>
      </w:r>
    </w:p>
    <w:p>
      <w:pPr>
        <w:pStyle w:val="Compact"/>
        <w:numPr>
          <w:ilvl w:val="1"/>
          <w:numId w:val="1046"/>
        </w:numPr>
      </w:pPr>
      <w:r>
        <w:t xml:space="preserve">jamais pour un usager ;</w:t>
      </w:r>
    </w:p>
    <w:p>
      <w:pPr>
        <w:pStyle w:val="Compact"/>
        <w:numPr>
          <w:ilvl w:val="1"/>
          <w:numId w:val="1046"/>
        </w:numPr>
      </w:pPr>
      <w:r>
        <w:t xml:space="preserve">le montant est celui</w:t>
      </w:r>
      <w:r>
        <w:t xml:space="preserve"> </w:t>
      </w:r>
      <w:r>
        <w:rPr>
          <w:b/>
          <w:bCs/>
        </w:rPr>
        <w:t xml:space="preserve">fixé par la décision : il ne se négocie pas</w:t>
      </w:r>
      <w:r>
        <w:t xml:space="preserve"> </w:t>
      </w:r>
      <w:r>
        <w:t xml:space="preserve">;</w:t>
      </w:r>
    </w:p>
    <w:p>
      <w:pPr>
        <w:pStyle w:val="Compact"/>
        <w:numPr>
          <w:ilvl w:val="1"/>
          <w:numId w:val="1046"/>
        </w:numPr>
      </w:pPr>
      <w:r>
        <w:t xml:space="preserve">l’agent invite l’usager à payer par les canaux officiels avec sa référence, et</w:t>
      </w:r>
      <w:r>
        <w:t xml:space="preserve"> </w:t>
      </w:r>
      <w:r>
        <w:rPr>
          <w:b/>
          <w:bCs/>
        </w:rPr>
        <w:t xml:space="preserve">n’encaisse rien</w:t>
      </w:r>
      <w:r>
        <w:t xml:space="preserve"> </w:t>
      </w:r>
      <w:r>
        <w:t xml:space="preserve">;</w:t>
      </w:r>
    </w:p>
    <w:p>
      <w:pPr>
        <w:pStyle w:val="Compact"/>
        <w:numPr>
          <w:ilvl w:val="1"/>
          <w:numId w:val="1046"/>
        </w:numPr>
      </w:pPr>
      <w:r>
        <w:t xml:space="preserve">aucune mesure sur place ;</w:t>
      </w:r>
    </w:p>
    <w:p>
      <w:pPr>
        <w:pStyle w:val="Compact"/>
        <w:numPr>
          <w:ilvl w:val="1"/>
          <w:numId w:val="1046"/>
        </w:numPr>
      </w:pPr>
      <w:r>
        <w:t xml:space="preserve">une pénalité contestée, payée ou annulée sort du registre.</w:t>
      </w:r>
    </w:p>
    <w:p>
      <w:pPr>
        <w:pStyle w:val="FirstParagraph"/>
      </w:pPr>
      <w:r>
        <w:t xml:space="preserve">Le montant visible de tous les agents augmente le risque de sollicitation d’espèces. Les parades à maintenir :</w:t>
      </w:r>
      <w:r>
        <w:t xml:space="preserve"> </w:t>
      </w:r>
      <w:r>
        <w:t xml:space="preserve">- la règle « zéro espèces » affichée partout ;</w:t>
      </w:r>
      <w:r>
        <w:t xml:space="preserve"> </w:t>
      </w:r>
      <w:r>
        <w:t xml:space="preserve">- le signalement anonyme (SMS, WhatsApp, version légère) ;</w:t>
      </w:r>
      <w:r>
        <w:t xml:space="preserve"> </w:t>
      </w:r>
      <w:r>
        <w:t xml:space="preserve">- les contrôles mystère (§ 15A) ;</w:t>
      </w:r>
      <w:r>
        <w:t xml:space="preserve"> </w:t>
      </w:r>
      <w:r>
        <w:t xml:space="preserve">- le suivi des divulgations par agent.</w:t>
      </w:r>
    </w:p>
    <w:p>
      <w:pPr>
        <w:pStyle w:val="BodyText"/>
      </w:pPr>
      <w:r>
        <w:rPr>
          <w:b/>
          <w:bCs/>
        </w:rPr>
        <w:t xml:space="preserve">4. Commission de 10 % pour tous les agents, quel que soit leur module.</w:t>
      </w:r>
      <w:r>
        <w:t xml:space="preserve"> </w:t>
      </w:r>
      <w:r>
        <w:t xml:space="preserve">Deux recettes seulement comptent.</w:t>
      </w:r>
    </w:p>
    <w:p>
      <w:pPr>
        <w:pStyle w:val="Compact"/>
        <w:numPr>
          <w:ilvl w:val="0"/>
          <w:numId w:val="1047"/>
        </w:numPr>
      </w:pPr>
      <w:r>
        <w:rPr>
          <w:b/>
          <w:bCs/>
        </w:rPr>
        <w:t xml:space="preserve">Pénalités issues du constat de l’agent</w:t>
      </w:r>
      <w:r>
        <w:t xml:space="preserve">, vérifiées et décidées par d’autres personnes :</w:t>
      </w:r>
    </w:p>
    <w:p>
      <w:pPr>
        <w:pStyle w:val="Compact"/>
        <w:numPr>
          <w:ilvl w:val="1"/>
          <w:numId w:val="1048"/>
        </w:numPr>
      </w:pPr>
      <w:r>
        <w:t xml:space="preserve">stationnement : constat ;</w:t>
      </w:r>
    </w:p>
    <w:p>
      <w:pPr>
        <w:pStyle w:val="Compact"/>
        <w:numPr>
          <w:ilvl w:val="1"/>
          <w:numId w:val="1048"/>
        </w:numPr>
      </w:pPr>
      <w:r>
        <w:t xml:space="preserve">publicité : inspection non conforme retenue.</w:t>
      </w:r>
    </w:p>
    <w:p>
      <w:pPr>
        <w:pStyle w:val="Compact"/>
        <w:numPr>
          <w:ilvl w:val="0"/>
          <w:numId w:val="1047"/>
        </w:numPr>
      </w:pPr>
      <w:r>
        <w:rPr>
          <w:b/>
          <w:bCs/>
        </w:rPr>
        <w:t xml:space="preserve">Paiements provoqués par un contrôle de l’agent qui a révélé un défaut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Paiement attribué à l’agent</w:t>
            </w:r>
          </w:p>
        </w:tc>
        <w:tc>
          <w:tcPr>
            <w:shd w:val="clear" w:color="auto" w:fill="232C6B"/>
          </w:tcPr>
          <w:p>
            <w:pPr>
              <w:pStyle w:val="Compact"/>
            </w:pPr>
            <w:r>
              <w:rPr>
                <w:b/>
                <w:color w:val="FFFFFF"/>
                <w:sz w:val="17"/>
              </w:rPr>
              <w:t xml:space="preserve">Délai</w:t>
            </w:r>
          </w:p>
        </w:tc>
      </w:tr>
      <w:tr>
        <w:tc>
          <w:tcPr/>
          <w:p>
            <w:pPr>
              <w:pStyle w:val="Compact"/>
            </w:pPr>
            <w:r>
              <w:rPr>
                <w:sz w:val="17"/>
              </w:rPr>
              <w:t xml:space="preserve">Stationnement</w:t>
            </w:r>
          </w:p>
        </w:tc>
        <w:tc>
          <w:tcPr/>
          <w:p>
            <w:pPr>
              <w:pStyle w:val="Compact"/>
            </w:pPr>
            <w:r>
              <w:rPr>
                <w:sz w:val="17"/>
              </w:rPr>
              <w:t xml:space="preserve">Session ouverte pour la plaque après un contrôle rouge</w:t>
            </w:r>
          </w:p>
        </w:tc>
        <w:tc>
          <w:tcPr/>
          <w:p>
            <w:pPr>
              <w:pStyle w:val="Compact"/>
            </w:pPr>
            <w:r>
              <w:rPr>
                <w:sz w:val="17"/>
              </w:rPr>
              <w:t xml:space="preserve">1 h</w:t>
            </w:r>
          </w:p>
        </w:tc>
      </w:tr>
      <w:tr>
        <w:tc>
          <w:tcPr>
            <w:shd w:val="clear" w:color="auto" w:fill="F5F7FB"/>
          </w:tcPr>
          <w:p>
            <w:pPr>
              <w:pStyle w:val="Compact"/>
            </w:pPr>
            <w:r>
              <w:rPr>
                <w:sz w:val="17"/>
              </w:rPr>
              <w:t xml:space="preserve">Titres et pass wewa (RakaPay)</w:t>
            </w:r>
          </w:p>
        </w:tc>
        <w:tc>
          <w:tcPr>
            <w:shd w:val="clear" w:color="auto" w:fill="F5F7FB"/>
          </w:tcPr>
          <w:p>
            <w:pPr>
              <w:pStyle w:val="Compact"/>
            </w:pPr>
            <w:r>
              <w:rPr>
                <w:sz w:val="17"/>
              </w:rPr>
              <w:t xml:space="preserve">Titre acheté pour la plaque ou le titulaire après un contrôle non valide</w:t>
            </w:r>
          </w:p>
        </w:tc>
        <w:tc>
          <w:tcPr>
            <w:shd w:val="clear" w:color="auto" w:fill="F5F7FB"/>
          </w:tcPr>
          <w:p>
            <w:pPr>
              <w:pStyle w:val="Compact"/>
            </w:pPr>
            <w:r>
              <w:rPr>
                <w:sz w:val="17"/>
              </w:rPr>
              <w:t xml:space="preserve">1 h</w:t>
            </w:r>
          </w:p>
        </w:tc>
      </w:tr>
      <w:tr>
        <w:tc>
          <w:tcPr/>
          <w:p>
            <w:pPr>
              <w:pStyle w:val="Compact"/>
            </w:pPr>
            <w:r>
              <w:rPr>
                <w:sz w:val="17"/>
              </w:rPr>
              <w:t xml:space="preserve">Verticales</w:t>
            </w:r>
          </w:p>
        </w:tc>
        <w:tc>
          <w:tcPr/>
          <w:p>
            <w:pPr>
              <w:pStyle w:val="Compact"/>
            </w:pPr>
            <w:r>
              <w:rPr>
                <w:sz w:val="17"/>
              </w:rPr>
              <w:t xml:space="preserve">Dette de l’objet (étal, chantier, site…) payée après le scan de sa plaque</w:t>
            </w:r>
          </w:p>
        </w:tc>
        <w:tc>
          <w:tcPr/>
          <w:p>
            <w:pPr>
              <w:pStyle w:val="Compact"/>
            </w:pPr>
            <w:r>
              <w:rPr>
                <w:sz w:val="17"/>
              </w:rPr>
              <w:t xml:space="preserve">72 h</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Dette du support payée après une inspection non conforme</w:t>
            </w:r>
          </w:p>
        </w:tc>
        <w:tc>
          <w:tcPr>
            <w:shd w:val="clear" w:color="auto" w:fill="F5F7FB"/>
          </w:tcPr>
          <w:p>
            <w:pPr>
              <w:pStyle w:val="Compact"/>
            </w:pPr>
            <w:r>
              <w:rPr>
                <w:sz w:val="17"/>
              </w:rPr>
              <w:t xml:space="preserve">72 h</w:t>
            </w:r>
          </w:p>
        </w:tc>
      </w:tr>
      <w:tr>
        <w:tc>
          <w:tcPr/>
          <w:p>
            <w:pPr>
              <w:pStyle w:val="Compact"/>
            </w:pPr>
            <w:r>
              <w:rPr>
                <w:sz w:val="17"/>
              </w:rPr>
              <w:t xml:space="preserve">Terrain (missions)</w:t>
            </w:r>
          </w:p>
        </w:tc>
        <w:tc>
          <w:tcPr/>
          <w:p>
            <w:pPr>
              <w:pStyle w:val="Compact"/>
            </w:pPr>
            <w:r>
              <w:rPr>
                <w:sz w:val="17"/>
              </w:rPr>
              <w:t xml:space="preserve">Dette de l’objet payée après le constat de l’agent</w:t>
            </w:r>
          </w:p>
        </w:tc>
        <w:tc>
          <w:tcPr/>
          <w:p>
            <w:pPr>
              <w:pStyle w:val="Compact"/>
            </w:pPr>
            <w:r>
              <w:rPr>
                <w:sz w:val="17"/>
              </w:rPr>
              <w:t xml:space="preserve">72 h</w:t>
            </w:r>
          </w:p>
        </w:tc>
      </w:tr>
    </w:tbl>
    <w:p>
      <w:pPr>
        <w:pStyle w:val="BodyText"/>
      </w:pPr>
      <w:r>
        <w:rPr>
          <w:b/>
          <w:bCs/>
        </w:rPr>
        <w:t xml:space="preserve">Attribution unique</w:t>
      </w:r>
      <w:r>
        <w:t xml:space="preserve"> </w:t>
      </w:r>
      <w:r>
        <w:t xml:space="preserve">: une pénalité revient à l’auteur du constat. Un paiement ne compte qu’une fois, pour le</w:t>
      </w:r>
      <w:r>
        <w:t xml:space="preserve"> </w:t>
      </w:r>
      <w:r>
        <w:rPr>
          <w:b/>
          <w:bCs/>
        </w:rPr>
        <w:t xml:space="preserve">premier</w:t>
      </w:r>
      <w:r>
        <w:t xml:space="preserve"> </w:t>
      </w:r>
      <w:r>
        <w:t xml:space="preserve">contrôle qui l’a précédé, tous modules confondus.</w:t>
      </w:r>
    </w:p>
    <w:p>
      <w:pPr>
        <w:pStyle w:val="BodyText"/>
      </w:pPr>
      <w:r>
        <w:t xml:space="preserve">Chaque ligne passe par des états :</w:t>
      </w:r>
    </w:p>
    <w:p>
      <w:pPr>
        <w:pStyle w:val="Compact"/>
        <w:numPr>
          <w:ilvl w:val="0"/>
          <w:numId w:val="1049"/>
        </w:numPr>
      </w:pPr>
      <w:r>
        <w:rPr>
          <w:b/>
          <w:bCs/>
        </w:rPr>
        <w:t xml:space="preserve">en attente</w:t>
      </w:r>
      <w:r>
        <w:t xml:space="preserve"> </w:t>
      </w:r>
      <w:r>
        <w:t xml:space="preserve">(l’usager n’a pas payé) ;</w:t>
      </w:r>
    </w:p>
    <w:p>
      <w:pPr>
        <w:pStyle w:val="Compact"/>
        <w:numPr>
          <w:ilvl w:val="0"/>
          <w:numId w:val="1049"/>
        </w:numPr>
      </w:pPr>
      <w:r>
        <w:rPr>
          <w:b/>
          <w:bCs/>
        </w:rPr>
        <w:t xml:space="preserve">payée, rapprochement en cours</w:t>
      </w:r>
      <w:r>
        <w:t xml:space="preserve"> </w:t>
      </w:r>
      <w:r>
        <w:t xml:space="preserve">;</w:t>
      </w:r>
    </w:p>
    <w:p>
      <w:pPr>
        <w:pStyle w:val="Compact"/>
        <w:numPr>
          <w:ilvl w:val="0"/>
          <w:numId w:val="1049"/>
        </w:numPr>
      </w:pPr>
      <w:r>
        <w:rPr>
          <w:b/>
          <w:bCs/>
        </w:rPr>
        <w:t xml:space="preserve">acquise</w:t>
      </w:r>
      <w:r>
        <w:t xml:space="preserve"> </w:t>
      </w:r>
      <w:r>
        <w:t xml:space="preserve">(rapprochée au compte public, à verser) ;</w:t>
      </w:r>
    </w:p>
    <w:p>
      <w:pPr>
        <w:pStyle w:val="Compact"/>
        <w:numPr>
          <w:ilvl w:val="0"/>
          <w:numId w:val="1049"/>
        </w:numPr>
      </w:pPr>
      <w:r>
        <w:rPr>
          <w:b/>
          <w:bCs/>
        </w:rPr>
        <w:t xml:space="preserve">annulée</w:t>
      </w:r>
      <w:r>
        <w:t xml:space="preserve"> </w:t>
      </w:r>
      <w:r>
        <w:t xml:space="preserve">(pénalité annulée sur recours).</w:t>
      </w:r>
    </w:p>
    <w:p>
      <w:pPr>
        <w:pStyle w:val="FirstParagraph"/>
      </w:pPr>
      <w:r>
        <w:rPr>
          <w:b/>
          <w:bCs/>
        </w:rPr>
        <w:t xml:space="preserve">Garde-fous</w:t>
      </w:r>
      <w:r>
        <w:t xml:space="preserve"> </w:t>
      </w:r>
      <w:r>
        <w:t xml:space="preserve">:</w:t>
      </w:r>
      <w:r>
        <w:t xml:space="preserve"> </w:t>
      </w:r>
      <w:r>
        <w:t xml:space="preserve">- La commission est calculée sur des recettes</w:t>
      </w:r>
      <w:r>
        <w:t xml:space="preserve"> </w:t>
      </w:r>
      <w:r>
        <w:rPr>
          <w:b/>
          <w:bCs/>
        </w:rPr>
        <w:t xml:space="preserve">arrivées au compte public</w:t>
      </w:r>
      <w:r>
        <w:t xml:space="preserve"> </w:t>
      </w:r>
      <w:r>
        <w:t xml:space="preserve">et</w:t>
      </w:r>
      <w:r>
        <w:t xml:space="preserve"> </w:t>
      </w:r>
      <w:r>
        <w:rPr>
          <w:b/>
          <w:bCs/>
        </w:rPr>
        <w:t xml:space="preserve">versée par le Trésor (paie)</w:t>
      </w:r>
      <w:r>
        <w:t xml:space="preserve">.</w:t>
      </w:r>
      <w:r>
        <w:t xml:space="preserve"> </w:t>
      </w:r>
      <w:r>
        <w:rPr>
          <w:b/>
          <w:bCs/>
        </w:rPr>
        <w:t xml:space="preserve">Un agent ne reçoit jamais d’argent de l’usager.</w:t>
      </w:r>
      <w:r>
        <w:t xml:space="preserve"> </w:t>
      </w:r>
      <w:r>
        <w:t xml:space="preserve">- Les personnes qui vérifient ou décident ne perçoivent rien sur leurs décisions.</w:t>
      </w:r>
      <w:r>
        <w:t xml:space="preserve"> </w:t>
      </w:r>
      <w:r>
        <w:t xml:space="preserve">- Sommes par devise, sans addition de devises.</w:t>
      </w:r>
    </w:p>
    <w:p>
      <w:pPr>
        <w:pStyle w:val="BodyText"/>
      </w:pPr>
      <w:r>
        <w:t xml:space="preserve">Tableaux de bord :</w:t>
      </w:r>
      <w:r>
        <w:t xml:space="preserve"> </w:t>
      </w:r>
      <w:r>
        <w:t xml:space="preserve">-</w:t>
      </w:r>
      <w:r>
        <w:t xml:space="preserve"> </w:t>
      </w:r>
      <w:r>
        <w:rPr>
          <w:b/>
          <w:bCs/>
        </w:rPr>
        <w:t xml:space="preserve">chaque agent</w:t>
      </w:r>
      <w:r>
        <w:t xml:space="preserve"> </w:t>
      </w:r>
      <w:r>
        <w:t xml:space="preserve">: « Mes gains (10 %) », sur</w:t>
      </w:r>
      <w:r>
        <w:t xml:space="preserve"> </w:t>
      </w:r>
      <w:r>
        <w:rPr>
          <w:rStyle w:val="VerbatimChar"/>
        </w:rPr>
        <w:t xml:space="preserve">/mes-gains</w:t>
      </w:r>
      <w:r>
        <w:t xml:space="preserve">, avec la ventilation par module ;</w:t>
      </w:r>
      <w:r>
        <w:t xml:space="preserve"> </w:t>
      </w:r>
      <w:r>
        <w:t xml:space="preserve">-</w:t>
      </w:r>
      <w:r>
        <w:t xml:space="preserve"> </w:t>
      </w:r>
      <w:r>
        <w:rPr>
          <w:b/>
          <w:bCs/>
        </w:rPr>
        <w:t xml:space="preserve">le pilotage, les régies, le Trésor et l’audit</w:t>
      </w:r>
      <w:r>
        <w:t xml:space="preserve"> </w:t>
      </w:r>
      <w:r>
        <w:t xml:space="preserve">: « Commissions des agents », tous modules.</w:t>
      </w:r>
    </w:p>
    <w:p>
      <w:pPr>
        <w:pStyle w:val="BodyText"/>
      </w:pPr>
      <w:r>
        <w:rPr>
          <w:b/>
          <w:bCs/>
        </w:rPr>
        <w:t xml:space="preserve">Le taux est une décision du maître d’ouvrage : un arrêté est requis avant tout versement réel.</w:t>
      </w:r>
    </w:p>
    <w:p>
      <w:pPr>
        <w:pStyle w:val="BodyText"/>
      </w:pPr>
      <w:r>
        <w:t xml:space="preserve">Risque de conflit d’intérêts à surveiller (indicateurs par agent, contrôles mystère, § 15A) : les garde-fous ci-dessus (preuve vérifiée, décision par un tiers, recours, annulation de la commission) doivent rester actifs.</w:t>
      </w:r>
    </w:p>
    <w:p>
      <w:pPr>
        <w:pStyle w:val="BodyText"/>
      </w:pPr>
      <w:r>
        <w:rPr>
          <w:b/>
          <w:bCs/>
        </w:rPr>
        <w:t xml:space="preserve">5. Surveillance des constats par agent (recommandation retenue).</w:t>
      </w:r>
      <w:r>
        <w:t xml:space="preserve"> </w:t>
      </w:r>
      <w:r>
        <w:t xml:space="preserve">La commission sur les pénalités crée une incitation à multiplier les constats ; l’écran « Surveillance des constats » (</w:t>
      </w:r>
      <w:r>
        <w:rPr>
          <w:rStyle w:val="VerbatimChar"/>
        </w:rPr>
        <w:t xml:space="preserve">/agents/surveillance</w:t>
      </w:r>
      <w:r>
        <w:t xml:space="preserve">) la rend visible.</w:t>
      </w:r>
    </w:p>
    <w:p>
      <w:pPr>
        <w:pStyle w:val="Compact"/>
        <w:numPr>
          <w:ilvl w:val="0"/>
          <w:numId w:val="1050"/>
        </w:numPr>
      </w:pPr>
      <w:r>
        <w:rPr>
          <w:b/>
          <w:bCs/>
        </w:rPr>
        <w:t xml:space="preserve">Compteurs par agent et par module</w:t>
      </w:r>
      <w:r>
        <w:t xml:space="preserve"> </w:t>
      </w:r>
      <w:r>
        <w:t xml:space="preserve">: contrôles, défauts relevés, constats, constats écartés à la vérification, retenus, classés sans suite, contestés, annulés, photos ou positions faibles (GPS absent, ajusté à la main ou au-delà de 50 m, horloge décalée) ; part des pénalités dans sa commission.</w:t>
      </w:r>
    </w:p>
    <w:p>
      <w:pPr>
        <w:pStyle w:val="Compact"/>
        <w:numPr>
          <w:ilvl w:val="0"/>
          <w:numId w:val="1050"/>
        </w:numPr>
      </w:pPr>
      <w:r>
        <w:rPr>
          <w:b/>
          <w:bCs/>
        </w:rPr>
        <w:t xml:space="preserve">Signaux « à examiner »</w:t>
      </w:r>
      <w:r>
        <w:t xml:space="preserve">, comparés à la</w:t>
      </w:r>
      <w:r>
        <w:t xml:space="preserve"> </w:t>
      </w:r>
      <w:r>
        <w:rPr>
          <w:b/>
          <w:bCs/>
        </w:rPr>
        <w:t xml:space="preserve">médiane des autres agents du même module</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Condition (seuils à valider par l’inspection des services)</w:t>
            </w:r>
          </w:p>
        </w:tc>
      </w:tr>
      <w:tr>
        <w:tc>
          <w:tcPr/>
          <w:p>
            <w:pPr>
              <w:pStyle w:val="Compact"/>
            </w:pPr>
            <w:r>
              <w:rPr>
                <w:sz w:val="17"/>
              </w:rPr>
              <w:t xml:space="preserve">Taux de constats élevé</w:t>
            </w:r>
          </w:p>
        </w:tc>
        <w:tc>
          <w:tcPr/>
          <w:p>
            <w:pPr>
              <w:pStyle w:val="Compact"/>
            </w:pPr>
            <w:r>
              <w:rPr>
                <w:sz w:val="17"/>
              </w:rPr>
              <w:t xml:space="preserve">Plus du double de la médiane des pairs (au moins 5 contrôles et 3 constats)</w:t>
            </w:r>
          </w:p>
        </w:tc>
      </w:tr>
      <w:tr>
        <w:tc>
          <w:tcPr>
            <w:shd w:val="clear" w:color="auto" w:fill="F5F7FB"/>
          </w:tcPr>
          <w:p>
            <w:pPr>
              <w:pStyle w:val="Compact"/>
            </w:pPr>
            <w:r>
              <w:rPr>
                <w:sz w:val="17"/>
              </w:rPr>
              <w:t xml:space="preserve">Preuves écartées</w:t>
            </w:r>
          </w:p>
        </w:tc>
        <w:tc>
          <w:tcPr>
            <w:shd w:val="clear" w:color="auto" w:fill="F5F7FB"/>
          </w:tcPr>
          <w:p>
            <w:pPr>
              <w:pStyle w:val="Compact"/>
            </w:pPr>
            <w:r>
              <w:rPr>
                <w:sz w:val="17"/>
              </w:rPr>
              <w:t xml:space="preserve">30 % ou plus des constats vérifiés écartés</w:t>
            </w:r>
          </w:p>
        </w:tc>
      </w:tr>
      <w:tr>
        <w:tc>
          <w:tcPr/>
          <w:p>
            <w:pPr>
              <w:pStyle w:val="Compact"/>
            </w:pPr>
            <w:r>
              <w:rPr>
                <w:sz w:val="17"/>
              </w:rPr>
              <w:t xml:space="preserve">Constats classés</w:t>
            </w:r>
          </w:p>
        </w:tc>
        <w:tc>
          <w:tcPr/>
          <w:p>
            <w:pPr>
              <w:pStyle w:val="Compact"/>
            </w:pPr>
            <w:r>
              <w:rPr>
                <w:sz w:val="17"/>
              </w:rPr>
              <w:t xml:space="preserve">40 % ou plus des constats décidés classés sans suite</w:t>
            </w:r>
          </w:p>
        </w:tc>
      </w:tr>
      <w:tr>
        <w:tc>
          <w:tcPr>
            <w:shd w:val="clear" w:color="auto" w:fill="F5F7FB"/>
          </w:tcPr>
          <w:p>
            <w:pPr>
              <w:pStyle w:val="Compact"/>
            </w:pPr>
            <w:r>
              <w:rPr>
                <w:sz w:val="17"/>
              </w:rPr>
              <w:t xml:space="preserve">Contestations</w:t>
            </w:r>
          </w:p>
        </w:tc>
        <w:tc>
          <w:tcPr>
            <w:shd w:val="clear" w:color="auto" w:fill="F5F7FB"/>
          </w:tcPr>
          <w:p>
            <w:pPr>
              <w:pStyle w:val="Compact"/>
            </w:pPr>
            <w:r>
              <w:rPr>
                <w:sz w:val="17"/>
              </w:rPr>
              <w:t xml:space="preserve">30 % ou plus des pénalités retenues contestées ou annulées</w:t>
            </w:r>
          </w:p>
        </w:tc>
      </w:tr>
      <w:tr>
        <w:tc>
          <w:tcPr/>
          <w:p>
            <w:pPr>
              <w:pStyle w:val="Compact"/>
            </w:pPr>
            <w:r>
              <w:rPr>
                <w:sz w:val="17"/>
              </w:rPr>
              <w:t xml:space="preserve">Preuves faibles</w:t>
            </w:r>
          </w:p>
        </w:tc>
        <w:tc>
          <w:tcPr/>
          <w:p>
            <w:pPr>
              <w:pStyle w:val="Compact"/>
            </w:pPr>
            <w:r>
              <w:rPr>
                <w:sz w:val="17"/>
              </w:rPr>
              <w:t xml:space="preserve">30 % ou plus de photos ou positions imprécises</w:t>
            </w:r>
          </w:p>
        </w:tc>
      </w:tr>
      <w:tr>
        <w:tc>
          <w:tcPr>
            <w:shd w:val="clear" w:color="auto" w:fill="F5F7FB"/>
          </w:tcPr>
          <w:p>
            <w:pPr>
              <w:pStyle w:val="Compact"/>
            </w:pPr>
            <w:r>
              <w:rPr>
                <w:sz w:val="17"/>
              </w:rPr>
              <w:t xml:space="preserve">Commission issue de pénalités</w:t>
            </w:r>
          </w:p>
        </w:tc>
        <w:tc>
          <w:tcPr>
            <w:shd w:val="clear" w:color="auto" w:fill="F5F7FB"/>
          </w:tcPr>
          <w:p>
            <w:pPr>
              <w:pStyle w:val="Compact"/>
            </w:pPr>
            <w:r>
              <w:rPr>
                <w:sz w:val="17"/>
              </w:rPr>
              <w:t xml:space="preserve">70 % ou plus (information seulement)</w:t>
            </w:r>
          </w:p>
        </w:tc>
      </w:tr>
    </w:tbl>
    <w:p>
      <w:pPr>
        <w:pStyle w:val="Compact"/>
        <w:numPr>
          <w:ilvl w:val="0"/>
          <w:numId w:val="1051"/>
        </w:numPr>
      </w:pPr>
      <w:r>
        <w:rPr>
          <w:b/>
          <w:bCs/>
        </w:rPr>
        <w:t xml:space="preserve">Un signal n’entraîne aucune mesure automatique</w:t>
      </w:r>
      <w:r>
        <w:t xml:space="preserve"> </w:t>
      </w:r>
      <w:r>
        <w:t xml:space="preserve">: il ouvre un examen humain (superviseur, contrôle mystère § 15A). Accès : Gouverneur et cabinet, direction et régies (DGIPK, DGRK), supervision de terrain, inspection, audit.</w:t>
      </w:r>
    </w:p>
    <w:p>
      <w:pPr>
        <w:pStyle w:val="FirstParagraph"/>
      </w:pPr>
      <w:r>
        <w:t xml:space="preserve">Routes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POST /v1/parking/evidence-photos</w:t>
            </w:r>
          </w:p>
        </w:tc>
        <w:tc>
          <w:tcPr/>
          <w:p>
            <w:pPr>
              <w:pStyle w:val="Compact"/>
            </w:pPr>
            <w:r>
              <w:rPr>
                <w:sz w:val="17"/>
              </w:rPr>
              <w:t xml:space="preserve">Verser une photo de preuve</w:t>
            </w:r>
          </w:p>
        </w:tc>
      </w:tr>
      <w:tr>
        <w:tc>
          <w:tcPr>
            <w:shd w:val="clear" w:color="auto" w:fill="F5F7FB"/>
          </w:tcPr>
          <w:p>
            <w:pPr>
              <w:pStyle w:val="Compact"/>
            </w:pPr>
            <w:r>
              <w:rPr>
                <w:rStyle w:val="VerbatimChar"/>
                <w:sz w:val="17"/>
              </w:rPr>
              <w:t xml:space="preserve">GET /v1/parking/evidence-photos/:id</w:t>
            </w:r>
          </w:p>
        </w:tc>
        <w:tc>
          <w:tcPr>
            <w:shd w:val="clear" w:color="auto" w:fill="F5F7FB"/>
          </w:tcPr>
          <w:p>
            <w:pPr>
              <w:pStyle w:val="Compact"/>
            </w:pPr>
            <w:r>
              <w:rPr>
                <w:sz w:val="17"/>
              </w:rPr>
              <w:t xml:space="preserve">Lire une photo de preuve</w:t>
            </w:r>
          </w:p>
        </w:tc>
      </w:tr>
      <w:tr>
        <w:tc>
          <w:tcPr/>
          <w:p>
            <w:pPr>
              <w:pStyle w:val="Compact"/>
            </w:pPr>
            <w:r>
              <w:rPr>
                <w:rStyle w:val="VerbatimChar"/>
                <w:sz w:val="17"/>
              </w:rPr>
              <w:t xml:space="preserve">GET /v1/parking/penalties?plate=</w:t>
            </w:r>
          </w:p>
        </w:tc>
        <w:tc>
          <w:tcPr/>
          <w:p>
            <w:pPr>
              <w:pStyle w:val="Compact"/>
            </w:pPr>
            <w:r>
              <w:rPr>
                <w:sz w:val="17"/>
              </w:rPr>
              <w:t xml:space="preserve">Pénalités d’un usager (agents du module)</w:t>
            </w:r>
          </w:p>
        </w:tc>
      </w:tr>
      <w:tr>
        <w:tc>
          <w:tcPr>
            <w:shd w:val="clear" w:color="auto" w:fill="F5F7FB"/>
          </w:tcPr>
          <w:p>
            <w:pPr>
              <w:pStyle w:val="Compact"/>
            </w:pPr>
            <w:r>
              <w:rPr>
                <w:rStyle w:val="VerbatimChar"/>
                <w:sz w:val="17"/>
              </w:rPr>
              <w:t xml:space="preserve">GET /v1/agents/me/earnings</w:t>
            </w:r>
          </w:p>
        </w:tc>
        <w:tc>
          <w:tcPr>
            <w:shd w:val="clear" w:color="auto" w:fill="F5F7FB"/>
          </w:tcPr>
          <w:p>
            <w:pPr>
              <w:pStyle w:val="Compact"/>
            </w:pPr>
            <w:r>
              <w:rPr>
                <w:sz w:val="17"/>
              </w:rPr>
              <w:t xml:space="preserve">Gains de l’agent, tous modules</w:t>
            </w:r>
          </w:p>
        </w:tc>
      </w:tr>
      <w:tr>
        <w:tc>
          <w:tcPr/>
          <w:p>
            <w:pPr>
              <w:pStyle w:val="Compact"/>
            </w:pPr>
            <w:r>
              <w:rPr>
                <w:rStyle w:val="VerbatimChar"/>
                <w:sz w:val="17"/>
              </w:rPr>
              <w:t xml:space="preserve">GET /v1/agents/earnings</w:t>
            </w:r>
          </w:p>
        </w:tc>
        <w:tc>
          <w:tcPr/>
          <w:p>
            <w:pPr>
              <w:pStyle w:val="Compact"/>
            </w:pPr>
            <w:r>
              <w:rPr>
                <w:sz w:val="17"/>
              </w:rPr>
              <w:t xml:space="preserve">Commissions de tous les agents (pilotage, régies, Trésor, audit)</w:t>
            </w:r>
          </w:p>
        </w:tc>
      </w:tr>
      <w:tr>
        <w:tc>
          <w:tcPr>
            <w:shd w:val="clear" w:color="auto" w:fill="F5F7FB"/>
          </w:tcPr>
          <w:p>
            <w:pPr>
              <w:pStyle w:val="Compact"/>
            </w:pPr>
            <w:r>
              <w:rPr>
                <w:rStyle w:val="VerbatimChar"/>
                <w:sz w:val="17"/>
              </w:rPr>
              <w:t xml:space="preserve">GET /v1/agents/monitoring</w:t>
            </w:r>
          </w:p>
        </w:tc>
        <w:tc>
          <w:tcPr>
            <w:shd w:val="clear" w:color="auto" w:fill="F5F7FB"/>
          </w:tcPr>
          <w:p>
            <w:pPr>
              <w:pStyle w:val="Compact"/>
            </w:pPr>
            <w:r>
              <w:rPr>
                <w:sz w:val="17"/>
              </w:rPr>
              <w:t xml:space="preserve">Surveillance des constats par agent (pilotage, régies, supervision, inspection, audit)</w:t>
            </w:r>
          </w:p>
        </w:tc>
      </w:tr>
      <w:tr>
        <w:tc>
          <w:tcPr/>
          <w:p>
            <w:pPr>
              <w:pStyle w:val="Compact"/>
            </w:pPr>
            <w:r>
              <w:rPr>
                <w:rStyle w:val="VerbatimChar"/>
                <w:sz w:val="17"/>
              </w:rPr>
              <w:t xml:space="preserve">GET /v1/parking/agents/me/earnings</w:t>
            </w:r>
          </w:p>
        </w:tc>
        <w:tc>
          <w:tcPr/>
          <w:p>
            <w:pPr>
              <w:pStyle w:val="Compact"/>
            </w:pPr>
            <w:r>
              <w:rPr>
                <w:sz w:val="17"/>
              </w:rPr>
              <w:t xml:space="preserve">Gains de l’agent (même contenu, pour les écrans du stationnement)</w:t>
            </w:r>
          </w:p>
        </w:tc>
      </w:tr>
      <w:tr>
        <w:tc>
          <w:tcPr>
            <w:shd w:val="clear" w:color="auto" w:fill="F5F7FB"/>
          </w:tcPr>
          <w:p>
            <w:pPr>
              <w:pStyle w:val="Compact"/>
            </w:pPr>
            <w:r>
              <w:rPr>
                <w:sz w:val="17"/>
              </w:rPr>
              <w:t xml:space="preserve">Champ</w:t>
            </w:r>
            <w:r>
              <w:rPr>
                <w:sz w:val="17"/>
              </w:rPr>
              <w:t xml:space="preserve"> </w:t>
            </w:r>
            <w:r>
              <w:rPr>
                <w:rStyle w:val="VerbatimChar"/>
                <w:sz w:val="17"/>
              </w:rPr>
              <w:t xml:space="preserve">penalitesImpayees</w:t>
            </w:r>
          </w:p>
        </w:tc>
        <w:tc>
          <w:tcPr>
            <w:shd w:val="clear" w:color="auto" w:fill="F5F7FB"/>
          </w:tcPr>
          <w:p>
            <w:pPr>
              <w:pStyle w:val="Compact"/>
            </w:pPr>
            <w:r>
              <w:rPr>
                <w:sz w:val="17"/>
              </w:rPr>
              <w:t xml:space="preserve">Ajouté aux réponses des contrôles des autres modules</w:t>
            </w:r>
          </w:p>
        </w:tc>
      </w:tr>
    </w:tbl>
    <w:p>
      <w:pPr>
        <w:pStyle w:val="BodyText"/>
      </w:pPr>
      <w:r>
        <w:t xml:space="preserve">Tests (</w:t>
      </w:r>
      <w:r>
        <w:rPr>
          <w:rStyle w:val="VerbatimChar"/>
        </w:rPr>
        <w:t xml:space="preserve">backend/test/parking-field.test.ts</w:t>
      </w:r>
      <w:r>
        <w:t xml:space="preserve">) :</w:t>
      </w:r>
      <w:r>
        <w:t xml:space="preserve"> </w:t>
      </w:r>
      <w:r>
        <w:t xml:space="preserve">- empreintes, formats, délais et verrouillage des photos ;</w:t>
      </w:r>
      <w:r>
        <w:t xml:space="preserve"> </w:t>
      </w:r>
      <w:r>
        <w:t xml:space="preserve">- constat lié à ses photos, droits de lecture ;</w:t>
      </w:r>
      <w:r>
        <w:t xml:space="preserve"> </w:t>
      </w:r>
      <w:r>
        <w:t xml:space="preserve">- visibilité : même module à tout âge, tous modules après 30 jours, jamais pour l’usager ;</w:t>
      </w:r>
      <w:r>
        <w:t xml:space="preserve"> </w:t>
      </w:r>
      <w:r>
        <w:t xml:space="preserve">- états de la commission, attribution des paiements, droits d’accès ;</w:t>
      </w:r>
      <w:r>
        <w:t xml:space="preserve"> </w:t>
      </w:r>
      <w:r>
        <w:t xml:space="preserve">- commission d’un contrôleur de titres (titre racheté après un contrôle non valide) et d’un agent des verticales (dette payée après le scan) ;</w:t>
      </w:r>
      <w:r>
        <w:t xml:space="preserve"> </w:t>
      </w:r>
      <w:r>
        <w:t xml:space="preserve">- montant visible dans les autres modules ;</w:t>
      </w:r>
      <w:r>
        <w:t xml:space="preserve"> </w:t>
      </w:r>
      <w:r>
        <w:t xml:space="preserve">- surveillance des constats (signal d’un agent qui multiplie les constats, droits d’accès) ;</w:t>
      </w:r>
      <w:r>
        <w:t xml:space="preserve"> </w:t>
      </w:r>
      <w:r>
        <w:t xml:space="preserve">- point ajusté à la main (source MANUEL) signalé comme position imprécise.</w:t>
      </w:r>
    </w:p>
    <w:bookmarkEnd w:id="632"/>
    <w:bookmarkStart w:id="633" w:name="X71ecabb285c682683858349c7a9d755ab50cc98"/>
    <w:p>
      <w:pPr>
        <w:pStyle w:val="Heading2"/>
      </w:pPr>
      <w:r>
        <w:t xml:space="preserve">I.16 Cartographie OpenStreetMap auto-hébergée et géolocalisation précise</w:t>
      </w:r>
    </w:p>
    <w:p>
      <w:pPr>
        <w:pStyle w:val="FirstParagraph"/>
      </w:pPr>
      <w:r>
        <w:rPr>
          <w:b/>
          <w:bCs/>
        </w:rPr>
        <w:t xml:space="preserve">Choix du maître d’ouvrage : OpenStreetMap, auto-hébergée</w:t>
      </w:r>
      <w:r>
        <w:t xml:space="preserve"> </w:t>
      </w:r>
      <w:r>
        <w:t xml:space="preserve">(plutôt que Google Maps).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Google Maps</w:t>
            </w:r>
          </w:p>
        </w:tc>
        <w:tc>
          <w:tcPr>
            <w:shd w:val="clear" w:color="auto" w:fill="232C6B"/>
          </w:tcPr>
          <w:p>
            <w:pPr>
              <w:pStyle w:val="Compact"/>
            </w:pPr>
            <w:r>
              <w:rPr>
                <w:b/>
                <w:color w:val="FFFFFF"/>
                <w:sz w:val="17"/>
              </w:rPr>
              <w:t xml:space="preserve">OpenStreetMap auto-hébergée (retenue)</w:t>
            </w:r>
          </w:p>
        </w:tc>
      </w:tr>
      <w:tr>
        <w:tc>
          <w:tcPr/>
          <w:p>
            <w:pPr>
              <w:pStyle w:val="Compact"/>
            </w:pPr>
            <w:r>
              <w:rPr>
                <w:sz w:val="17"/>
              </w:rPr>
              <w:t xml:space="preserve">Coût</w:t>
            </w:r>
          </w:p>
        </w:tc>
        <w:tc>
          <w:tcPr/>
          <w:p>
            <w:pPr>
              <w:pStyle w:val="Compact"/>
            </w:pPr>
            <w:r>
              <w:rPr>
                <w:sz w:val="17"/>
              </w:rPr>
              <w:t xml:space="preserve">Facturé à l’usage au-delà d’un quota ; montant variable avec le nombre d’agents et d’usagers</w:t>
            </w:r>
          </w:p>
        </w:tc>
        <w:tc>
          <w:tcPr/>
          <w:p>
            <w:pPr>
              <w:pStyle w:val="Compact"/>
            </w:pPr>
            <w:r>
              <w:rPr>
                <w:sz w:val="17"/>
              </w:rPr>
              <w:t xml:space="preserve">Aucune redevance ; seul l’hébergement (quelques centaines de Mo)</w:t>
            </w:r>
          </w:p>
        </w:tc>
      </w:tr>
      <w:tr>
        <w:tc>
          <w:tcPr>
            <w:shd w:val="clear" w:color="auto" w:fill="F5F7FB"/>
          </w:tcPr>
          <w:p>
            <w:pPr>
              <w:pStyle w:val="Compact"/>
            </w:pPr>
            <w:r>
              <w:rPr>
                <w:sz w:val="17"/>
              </w:rPr>
              <w:t xml:space="preserve">Souveraineté des données</w:t>
            </w:r>
          </w:p>
        </w:tc>
        <w:tc>
          <w:tcPr>
            <w:shd w:val="clear" w:color="auto" w:fill="F5F7FB"/>
          </w:tcPr>
          <w:p>
            <w:pPr>
              <w:pStyle w:val="Compact"/>
            </w:pPr>
            <w:r>
              <w:rPr>
                <w:sz w:val="17"/>
              </w:rPr>
              <w:t xml:space="preserve">Chaque affichage passe par les serveurs de Google (positions des agents, lieux contrôlés)</w:t>
            </w:r>
          </w:p>
        </w:tc>
        <w:tc>
          <w:tcPr>
            <w:shd w:val="clear" w:color="auto" w:fill="F5F7FB"/>
          </w:tcPr>
          <w:p>
            <w:pPr>
              <w:pStyle w:val="Compact"/>
            </w:pPr>
            <w:r>
              <w:rPr>
                <w:sz w:val="17"/>
              </w:rPr>
              <w:t xml:space="preserve">Tout est servi par MOSOLO : aucune position ne sort de l’infrastructure de la Ville</w:t>
            </w:r>
          </w:p>
        </w:tc>
      </w:tr>
      <w:tr>
        <w:tc>
          <w:tcPr/>
          <w:p>
            <w:pPr>
              <w:pStyle w:val="Compact"/>
            </w:pPr>
            <w:r>
              <w:rPr>
                <w:sz w:val="17"/>
              </w:rPr>
              <w:t xml:space="preserve">Hors réseau</w:t>
            </w:r>
          </w:p>
        </w:tc>
        <w:tc>
          <w:tcPr/>
          <w:p>
            <w:pPr>
              <w:pStyle w:val="Compact"/>
            </w:pPr>
            <w:r>
              <w:rPr>
                <w:sz w:val="17"/>
              </w:rPr>
              <w:t xml:space="preserve">Limité, conditions d’utilisation restrictives</w:t>
            </w:r>
          </w:p>
        </w:tc>
        <w:tc>
          <w:tcPr/>
          <w:p>
            <w:pPr>
              <w:pStyle w:val="Compact"/>
            </w:pPr>
            <w:r>
              <w:rPr>
                <w:sz w:val="17"/>
              </w:rPr>
              <w:t xml:space="preserve">Fonctionne sans réseau une fois l’application et la carte chargées</w:t>
            </w:r>
          </w:p>
        </w:tc>
      </w:tr>
      <w:tr>
        <w:tc>
          <w:tcPr>
            <w:shd w:val="clear" w:color="auto" w:fill="F5F7FB"/>
          </w:tcPr>
          <w:p>
            <w:pPr>
              <w:pStyle w:val="Compact"/>
            </w:pPr>
            <w:r>
              <w:rPr>
                <w:sz w:val="17"/>
              </w:rPr>
              <w:t xml:space="preserve">Qualité à Kinshasa</w:t>
            </w:r>
          </w:p>
        </w:tc>
        <w:tc>
          <w:tcPr>
            <w:shd w:val="clear" w:color="auto" w:fill="F5F7FB"/>
          </w:tcPr>
          <w:p>
            <w:pPr>
              <w:pStyle w:val="Compact"/>
            </w:pPr>
            <w:r>
              <w:rPr>
                <w:sz w:val="17"/>
              </w:rPr>
              <w:t xml:space="preserve">Bonne sur les grands axes</w:t>
            </w:r>
          </w:p>
        </w:tc>
        <w:tc>
          <w:tcPr>
            <w:shd w:val="clear" w:color="auto" w:fill="F5F7FB"/>
          </w:tcPr>
          <w:p>
            <w:pPr>
              <w:pStyle w:val="Compact"/>
            </w:pPr>
            <w:r>
              <w:rPr>
                <w:sz w:val="17"/>
              </w:rPr>
              <w:t xml:space="preserve">Bonne sur les axes ; les quartiers peuvent être complétés par la Ville (données ouvertes, licence ODbL)</w:t>
            </w:r>
          </w:p>
        </w:tc>
      </w:tr>
      <w:tr>
        <w:tc>
          <w:tcPr/>
          <w:p>
            <w:pPr>
              <w:pStyle w:val="Compact"/>
            </w:pPr>
            <w:r>
              <w:rPr>
                <w:sz w:val="17"/>
              </w:rPr>
              <w:t xml:space="preserve">Licence</w:t>
            </w:r>
          </w:p>
        </w:tc>
        <w:tc>
          <w:tcPr/>
          <w:p>
            <w:pPr>
              <w:pStyle w:val="Compact"/>
            </w:pPr>
            <w:r>
              <w:rPr>
                <w:sz w:val="17"/>
              </w:rPr>
              <w:t xml:space="preserve">Contrat commercial, restrictions de stockage</w:t>
            </w:r>
          </w:p>
        </w:tc>
        <w:tc>
          <w:tcPr/>
          <w:p>
            <w:pPr>
              <w:pStyle w:val="Compact"/>
            </w:pPr>
            <w:r>
              <w:rPr>
                <w:sz w:val="17"/>
              </w:rPr>
              <w:t xml:space="preserve">ODbL : mention « © contributeurs OpenStreetMap » obligatoire (affichée sur chaque carte)</w:t>
            </w:r>
          </w:p>
        </w:tc>
      </w:tr>
    </w:tbl>
    <w:p>
      <w:pPr>
        <w:pStyle w:val="BodyText"/>
      </w:pPr>
      <w:r>
        <w:rPr>
          <w:b/>
          <w:bCs/>
        </w:rPr>
        <w:t xml:space="preserve">Construction.</w:t>
      </w:r>
    </w:p>
    <w:p>
      <w:pPr>
        <w:pStyle w:val="Compact"/>
        <w:numPr>
          <w:ilvl w:val="0"/>
          <w:numId w:val="1052"/>
        </w:numPr>
      </w:pPr>
      <w:r>
        <w:rPr>
          <w:b/>
          <w:bCs/>
        </w:rPr>
        <w:t xml:space="preserve">Moteur</w:t>
      </w:r>
      <w:r>
        <w:t xml:space="preserve"> </w:t>
      </w:r>
      <w:r>
        <w:t xml:space="preserve">: MapLibre GL (libre), chargé seulement par les écrans qui affichent une carte.</w:t>
      </w:r>
    </w:p>
    <w:p>
      <w:pPr>
        <w:pStyle w:val="Compact"/>
        <w:numPr>
          <w:ilvl w:val="0"/>
          <w:numId w:val="1052"/>
        </w:numPr>
      </w:pPr>
      <w:r>
        <w:rPr>
          <w:b/>
          <w:bCs/>
        </w:rPr>
        <w:t xml:space="preserve">Fond de carte</w:t>
      </w:r>
      <w:r>
        <w:t xml:space="preserve"> </w:t>
      </w:r>
      <w:r>
        <w:t xml:space="preserve">: tuiles vectorielles de Kinshasa au format PMTiles, fichier unique</w:t>
      </w:r>
      <w:r>
        <w:t xml:space="preserve"> </w:t>
      </w:r>
      <w:r>
        <w:rPr>
          <w:rStyle w:val="VerbatimChar"/>
        </w:rPr>
        <w:t xml:space="preserve">/tiles/kinshasa.pmtiles</w:t>
      </w:r>
      <w:r>
        <w:t xml:space="preserve"> </w:t>
      </w:r>
      <w:r>
        <w:t xml:space="preserve">servi par MOSOLO, fabriqué par</w:t>
      </w:r>
      <w:r>
        <w:t xml:space="preserve"> </w:t>
      </w:r>
      <w:r>
        <w:rPr>
          <w:rStyle w:val="VerbatimChar"/>
        </w:rPr>
        <w:t xml:space="preserve">tools/maps/construire-tuiles-kinshasa.sh</w:t>
      </w:r>
      <w:r>
        <w:t xml:space="preserve"> </w:t>
      </w:r>
      <w:r>
        <w:t xml:space="preserve">(extrait Protomaps ou Geofabrik + Planetiler ; emprise 15,05–15,70 E, 4,15–4,75 S ; zoom 16). Le fichier n’est pas dans le dépôt : il se fabrique sur le serveur de la Ville. Tant qu’il manque, les cartes affichent les couches MOSOLO (points, zones, cercle de précision) sur un fond neutre, avec une note.</w:t>
      </w:r>
    </w:p>
    <w:p>
      <w:pPr>
        <w:pStyle w:val="Compact"/>
        <w:numPr>
          <w:ilvl w:val="0"/>
          <w:numId w:val="1052"/>
        </w:numPr>
      </w:pPr>
      <w:r>
        <w:rPr>
          <w:b/>
          <w:bCs/>
        </w:rPr>
        <w:t xml:space="preserve">Polices et icônes de carte</w:t>
      </w:r>
      <w:r>
        <w:t xml:space="preserve"> </w:t>
      </w:r>
      <w:r>
        <w:t xml:space="preserve">: servies par MOSOLO (</w:t>
      </w:r>
      <w:r>
        <w:rPr>
          <w:rStyle w:val="VerbatimChar"/>
        </w:rPr>
        <w:t xml:space="preserve">/map/</w:t>
      </w:r>
      <w:r>
        <w:t xml:space="preserve">), licences dans</w:t>
      </w:r>
      <w:r>
        <w:t xml:space="preserve"> </w:t>
      </w:r>
      <w:r>
        <w:rPr>
          <w:rStyle w:val="VerbatimChar"/>
        </w:rPr>
        <w:t xml:space="preserve">frontend/public/map/LICENCES.md</w:t>
      </w:r>
      <w:r>
        <w:t xml:space="preserve">.</w:t>
      </w:r>
    </w:p>
    <w:p>
      <w:pPr>
        <w:pStyle w:val="Compact"/>
        <w:numPr>
          <w:ilvl w:val="0"/>
          <w:numId w:val="1052"/>
        </w:numPr>
      </w:pPr>
      <w:r>
        <w:rPr>
          <w:b/>
          <w:bCs/>
        </w:rPr>
        <w:t xml:space="preserve">Anciens téléphones sans WebGL</w:t>
      </w:r>
      <w:r>
        <w:t xml:space="preserve"> </w:t>
      </w:r>
      <w:r>
        <w:t xml:space="preserve">: les écrans gardent leur plan schématique ; les coordonnées restent affichées et enregistrées.</w:t>
      </w:r>
    </w:p>
    <w:p>
      <w:pPr>
        <w:pStyle w:val="Compact"/>
        <w:numPr>
          <w:ilvl w:val="0"/>
          <w:numId w:val="1052"/>
        </w:numPr>
      </w:pPr>
      <w:r>
        <w:rPr>
          <w:b/>
          <w:bCs/>
        </w:rPr>
        <w:t xml:space="preserve">Application installée (PWA)</w:t>
      </w:r>
      <w:r>
        <w:t xml:space="preserve"> </w:t>
      </w:r>
      <w:r>
        <w:t xml:space="preserve">: le moteur de carte est pré-chargé ; polices et icônes sont mises en cache à la première carte ; les tuiles (lues par plages d’octets) ne passent pas par le service worker.</w:t>
      </w:r>
    </w:p>
    <w:p>
      <w:pPr>
        <w:pStyle w:val="FirstParagraph"/>
      </w:pPr>
      <w:r>
        <w:rPr>
          <w:b/>
          <w:bCs/>
        </w:rPr>
        <w:t xml:space="preserve">Géolocalisation précise, partout où elle sert.</w:t>
      </w:r>
    </w:p>
    <w:p>
      <w:pPr>
        <w:pStyle w:val="Compact"/>
        <w:numPr>
          <w:ilvl w:val="0"/>
          <w:numId w:val="1053"/>
        </w:numPr>
      </w:pPr>
      <w:r>
        <w:rPr>
          <w:b/>
          <w:bCs/>
        </w:rPr>
        <w:t xml:space="preserve">Méthode</w:t>
      </w:r>
      <w:r>
        <w:t xml:space="preserve"> </w:t>
      </w:r>
      <w:r>
        <w:t xml:space="preserve">: GPS haute précision, jamais de position en cache ; plusieurs relevés ; la position retenue est la</w:t>
      </w:r>
      <w:r>
        <w:t xml:space="preserve"> </w:t>
      </w:r>
      <w:r>
        <w:rPr>
          <w:b/>
          <w:bCs/>
        </w:rPr>
        <w:t xml:space="preserve">moyenne pondérée des meilleurs relevés récents</w:t>
      </w:r>
      <w:r>
        <w:t xml:space="preserve"> </w:t>
      </w:r>
      <w:r>
        <w:t xml:space="preserve">(précision au plus 1,5 fois la meilleure, 25 secondes au plus). La recherche s’arrête à la précision cible (10 m pour les preuves, l’enrôlement et les missions ; 15 m pour le contrôle des titres, qui ne doit pas attendre) ou au bout de 30 secondes, en gardant le meilleur résultat.</w:t>
      </w:r>
    </w:p>
    <w:p>
      <w:pPr>
        <w:pStyle w:val="Compact"/>
        <w:numPr>
          <w:ilvl w:val="0"/>
          <w:numId w:val="1053"/>
        </w:numPr>
      </w:pPr>
      <w:r>
        <w:rPr>
          <w:b/>
          <w:bCs/>
        </w:rPr>
        <w:t xml:space="preserve">Qualité affichée et transmise</w:t>
      </w:r>
      <w:r>
        <w:t xml:space="preserve"> </w:t>
      </w:r>
      <w:r>
        <w:t xml:space="preserve">: excellente (≤ 5 m), bonne (≤ 15 m), moyenne (≤ 50 m), faible au-delà ; nombre de relevés ; barre de progression.</w:t>
      </w:r>
    </w:p>
    <w:p>
      <w:pPr>
        <w:pStyle w:val="Compact"/>
        <w:numPr>
          <w:ilvl w:val="0"/>
          <w:numId w:val="1053"/>
        </w:numPr>
      </w:pPr>
      <w:r>
        <w:rPr>
          <w:b/>
          <w:bCs/>
        </w:rPr>
        <w:t xml:space="preserve">Carte de vérification</w:t>
      </w:r>
      <w:r>
        <w:t xml:space="preserve"> </w:t>
      </w:r>
      <w:r>
        <w:t xml:space="preserve">: le point et son cercle de précision sur la carte OSM. L’agent peut</w:t>
      </w:r>
      <w:r>
        <w:t xml:space="preserve"> </w:t>
      </w:r>
      <w:r>
        <w:rPr>
          <w:b/>
          <w:bCs/>
        </w:rPr>
        <w:t xml:space="preserve">ajuster le point à la main</w:t>
      </w:r>
      <w:r>
        <w:t xml:space="preserve"> </w:t>
      </w:r>
      <w:r>
        <w:t xml:space="preserve">: la position est alors marquée « MANUEL » et signalée au vérificateur ; sans GPS, la position de la zone peut être utilisée, marquée « ZONE ».</w:t>
      </w:r>
    </w:p>
    <w:p>
      <w:pPr>
        <w:pStyle w:val="Compact"/>
        <w:numPr>
          <w:ilvl w:val="0"/>
          <w:numId w:val="1053"/>
        </w:numPr>
      </w:pPr>
      <w:r>
        <w:rPr>
          <w:b/>
          <w:bCs/>
        </w:rPr>
        <w:t xml:space="preserve">Écrans concernés</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Usage de la position</w:t>
            </w:r>
          </w:p>
        </w:tc>
      </w:tr>
      <w:tr>
        <w:tc>
          <w:tcPr/>
          <w:p>
            <w:pPr>
              <w:pStyle w:val="Compact"/>
            </w:pPr>
            <w:r>
              <w:rPr>
                <w:sz w:val="17"/>
              </w:rPr>
              <w:t xml:space="preserve">Caméra de preuve (stationnement)</w:t>
            </w:r>
          </w:p>
        </w:tc>
        <w:tc>
          <w:tcPr/>
          <w:p>
            <w:pPr>
              <w:pStyle w:val="Compact"/>
            </w:pPr>
            <w:r>
              <w:rPr>
                <w:sz w:val="17"/>
              </w:rPr>
              <w:t xml:space="preserve">Incrustée dans chaque photo, avec sa précision et sa source</w:t>
            </w:r>
          </w:p>
        </w:tc>
      </w:tr>
      <w:tr>
        <w:tc>
          <w:tcPr>
            <w:shd w:val="clear" w:color="auto" w:fill="F5F7FB"/>
          </w:tcPr>
          <w:p>
            <w:pPr>
              <w:pStyle w:val="Compact"/>
            </w:pPr>
            <w:r>
              <w:rPr>
                <w:sz w:val="17"/>
              </w:rPr>
              <w:t xml:space="preserve">Constat de stationnement, inspection publicitaire, espace annonceur</w:t>
            </w:r>
          </w:p>
        </w:tc>
        <w:tc>
          <w:tcPr>
            <w:shd w:val="clear" w:color="auto" w:fill="F5F7FB"/>
          </w:tcPr>
          <w:p>
            <w:pPr>
              <w:pStyle w:val="Compact"/>
            </w:pPr>
            <w:r>
              <w:rPr>
                <w:sz w:val="17"/>
              </w:rPr>
              <w:t xml:space="preserve">Position du véhicule ou du support</w:t>
            </w:r>
          </w:p>
        </w:tc>
      </w:tr>
      <w:tr>
        <w:tc>
          <w:tcPr/>
          <w:p>
            <w:pPr>
              <w:pStyle w:val="Compact"/>
            </w:pPr>
            <w:r>
              <w:rPr>
                <w:sz w:val="17"/>
              </w:rPr>
              <w:t xml:space="preserve">Contrôle des titres et du pass wewa</w:t>
            </w:r>
          </w:p>
        </w:tc>
        <w:tc>
          <w:tcPr/>
          <w:p>
            <w:pPr>
              <w:pStyle w:val="Compact"/>
            </w:pPr>
            <w:r>
              <w:rPr>
                <w:sz w:val="17"/>
              </w:rPr>
              <w:t xml:space="preserve">Lieu du contrôle</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sz w:val="17"/>
              </w:rPr>
              <w:t xml:space="preserve">Domicile ou site de la personne enrôlée</w:t>
            </w:r>
          </w:p>
        </w:tc>
      </w:tr>
      <w:tr>
        <w:tc>
          <w:tcPr/>
          <w:p>
            <w:pPr>
              <w:pStyle w:val="Compact"/>
            </w:pPr>
            <w:r>
              <w:rPr>
                <w:sz w:val="17"/>
              </w:rPr>
              <w:t xml:space="preserve">Missions de terrain et contre-visites</w:t>
            </w:r>
          </w:p>
        </w:tc>
        <w:tc>
          <w:tcPr/>
          <w:p>
            <w:pPr>
              <w:pStyle w:val="Compact"/>
            </w:pPr>
            <w:r>
              <w:rPr>
                <w:sz w:val="17"/>
              </w:rPr>
              <w:t xml:space="preserve">Position du constat, comparée au point enregistré</w:t>
            </w:r>
          </w:p>
        </w:tc>
      </w:tr>
      <w:tr>
        <w:tc>
          <w:tcPr>
            <w:shd w:val="clear" w:color="auto" w:fill="F5F7FB"/>
          </w:tcPr>
          <w:p>
            <w:pPr>
              <w:pStyle w:val="Compact"/>
            </w:pPr>
            <w:r>
              <w:rPr>
                <w:sz w:val="17"/>
              </w:rPr>
              <w:t xml:space="preserve">Autour de moi (agents des biens et activités)</w:t>
            </w:r>
          </w:p>
        </w:tc>
        <w:tc>
          <w:tcPr>
            <w:shd w:val="clear" w:color="auto" w:fill="F5F7FB"/>
          </w:tcPr>
          <w:p>
            <w:pPr>
              <w:pStyle w:val="Compact"/>
            </w:pPr>
            <w:r>
              <w:rPr>
                <w:sz w:val="17"/>
              </w:rPr>
              <w:t xml:space="preserve">Biens et commerces proches colorés vert, ambre, rouge, dans le secteur de l’agent</w:t>
            </w:r>
          </w:p>
        </w:tc>
      </w:tr>
      <w:tr>
        <w:tc>
          <w:tcPr/>
          <w:p>
            <w:pPr>
              <w:pStyle w:val="Compact"/>
            </w:pPr>
            <w:r>
              <w:rPr>
                <w:sz w:val="17"/>
              </w:rPr>
              <w:t xml:space="preserve">Carte des zones (usager, régie), carte des supports, points de paiement</w:t>
            </w:r>
          </w:p>
        </w:tc>
        <w:tc>
          <w:tcPr/>
          <w:p>
            <w:pPr>
              <w:pStyle w:val="Compact"/>
            </w:pPr>
            <w:r>
              <w:rPr>
                <w:sz w:val="17"/>
              </w:rPr>
              <w:t xml:space="preserve">Fond OSM au lieu du plan schématique</w:t>
            </w:r>
          </w:p>
        </w:tc>
      </w:tr>
    </w:tbl>
    <w:p>
      <w:pPr>
        <w:pStyle w:val="Compact"/>
        <w:numPr>
          <w:ilvl w:val="0"/>
          <w:numId w:val="1054"/>
        </w:numPr>
      </w:pPr>
      <w:r>
        <w:rPr>
          <w:b/>
          <w:bCs/>
        </w:rPr>
        <w:t xml:space="preserve">Contrôle côté serveur</w:t>
      </w:r>
      <w:r>
        <w:t xml:space="preserve"> </w:t>
      </w:r>
      <w:r>
        <w:t xml:space="preserve">: chaque photo de preuve porte sa distance au centre de la zone ; elle est signalée si la précision dépasse 30 m, si la source n’est pas le GPS, ou si elle est à plus de 600 m de la zone. Ces signaux alimentent la surveillance des constats (§ I.15, 5).</w:t>
      </w:r>
    </w:p>
    <w:p>
      <w:pPr>
        <w:pStyle w:val="FirstParagraph"/>
      </w:pPr>
      <w:r>
        <w:rPr>
          <w:b/>
          <w:bCs/>
        </w:rPr>
        <w:t xml:space="preserve">« Autour de moi » : biens et commerces proches en vert, ambre ou rouge</w:t>
      </w:r>
      <w:r>
        <w:t xml:space="preserve"> </w:t>
      </w:r>
      <w:r>
        <w:t xml:space="preserve">(demande du maître d’ouvrage du 27/09/2026). Les agents des modules liés aux biens et aux activités physiques (propriété, locatif, entreprises, marchés, chantiers, sites, publicité) disposent de l’écran « Autour de moi » (</w:t>
      </w:r>
      <w:r>
        <w:rPr>
          <w:rStyle w:val="VerbatimChar"/>
        </w:rPr>
        <w:t xml:space="preserve">/autour-de-moi</w:t>
      </w:r>
      <w:r>
        <w:t xml:space="preserve">, route</w:t>
      </w:r>
      <w:r>
        <w:t xml:space="preserve"> </w:t>
      </w:r>
      <w:r>
        <w:rPr>
          <w:rStyle w:val="VerbatimChar"/>
        </w:rPr>
        <w:t xml:space="preserve">GET /v1/fiscal/nearby</w:t>
      </w:r>
      <w:r>
        <w:t xml:space="preserve">). Une fois sur place, ils voient les biens et commerces proches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Sens</w:t>
            </w:r>
          </w:p>
        </w:tc>
      </w:tr>
      <w:tr>
        <w:tc>
          <w:tcPr/>
          <w:p>
            <w:pPr>
              <w:pStyle w:val="Compact"/>
            </w:pPr>
            <w:r>
              <w:rPr>
                <w:sz w:val="17"/>
              </w:rPr>
              <w:t xml:space="preserve">Vert</w:t>
            </w:r>
          </w:p>
        </w:tc>
        <w:tc>
          <w:tcPr/>
          <w:p>
            <w:pPr>
              <w:pStyle w:val="Compact"/>
            </w:pPr>
            <w:r>
              <w:rPr>
                <w:sz w:val="17"/>
              </w:rPr>
              <w:t xml:space="preserve">À jour : aucune obligation exigible impayée</w:t>
            </w:r>
          </w:p>
        </w:tc>
      </w:tr>
      <w:tr>
        <w:tc>
          <w:tcPr>
            <w:shd w:val="clear" w:color="auto" w:fill="F5F7FB"/>
          </w:tcPr>
          <w:p>
            <w:pPr>
              <w:pStyle w:val="Compact"/>
            </w:pPr>
            <w:r>
              <w:rPr>
                <w:sz w:val="17"/>
              </w:rPr>
              <w:t xml:space="preserve">Ambre</w:t>
            </w:r>
          </w:p>
        </w:tc>
        <w:tc>
          <w:tcPr>
            <w:shd w:val="clear" w:color="auto" w:fill="F5F7FB"/>
          </w:tcPr>
          <w:p>
            <w:pPr>
              <w:pStyle w:val="Compact"/>
            </w:pPr>
            <w:r>
              <w:rPr>
                <w:sz w:val="17"/>
              </w:rPr>
              <w:t xml:space="preserve">Paiement partiel, échéance dans les 30 jours, paiement en rapprochement ou objet non encore validé</w:t>
            </w:r>
          </w:p>
        </w:tc>
      </w:tr>
      <w:tr>
        <w:tc>
          <w:tcPr/>
          <w:p>
            <w:pPr>
              <w:pStyle w:val="Compact"/>
            </w:pPr>
            <w:r>
              <w:rPr>
                <w:sz w:val="17"/>
              </w:rPr>
              <w:t xml:space="preserve">Rouge</w:t>
            </w:r>
          </w:p>
        </w:tc>
        <w:tc>
          <w:tcPr/>
          <w:p>
            <w:pPr>
              <w:pStyle w:val="Compact"/>
            </w:pPr>
            <w:r>
              <w:rPr>
                <w:sz w:val="17"/>
              </w:rPr>
              <w:t xml:space="preserve">En retard, sur un objet vérifié</w:t>
            </w:r>
          </w:p>
        </w:tc>
      </w:tr>
      <w:tr>
        <w:tc>
          <w:tcPr>
            <w:shd w:val="clear" w:color="auto" w:fill="F5F7FB"/>
          </w:tcPr>
          <w:p>
            <w:pPr>
              <w:pStyle w:val="Compact"/>
            </w:pPr>
            <w:r>
              <w:rPr>
                <w:sz w:val="17"/>
              </w:rPr>
              <w:t xml:space="preserve">Gris</w:t>
            </w:r>
          </w:p>
        </w:tc>
        <w:tc>
          <w:tcPr>
            <w:shd w:val="clear" w:color="auto" w:fill="F5F7FB"/>
          </w:tcPr>
          <w:p>
            <w:pPr>
              <w:pStyle w:val="Compact"/>
            </w:pPr>
            <w:r>
              <w:rPr>
                <w:sz w:val="17"/>
              </w:rPr>
              <w:t xml:space="preserve">Recensé, non encore liquidé</w:t>
            </w:r>
          </w:p>
        </w:tc>
      </w:tr>
      <w:tr>
        <w:tc>
          <w:tcPr/>
          <w:p>
            <w:pPr>
              <w:pStyle w:val="Compact"/>
            </w:pPr>
            <w:r>
              <w:rPr>
                <w:sz w:val="17"/>
              </w:rPr>
              <w:t xml:space="preserve">Bleu</w:t>
            </w:r>
          </w:p>
        </w:tc>
        <w:tc>
          <w:tcPr/>
          <w:p>
            <w:pPr>
              <w:pStyle w:val="Compact"/>
            </w:pPr>
            <w:r>
              <w:rPr>
                <w:sz w:val="17"/>
              </w:rPr>
              <w:t xml:space="preserve">En litige ou en revue</w:t>
            </w:r>
          </w:p>
        </w:tc>
      </w:tr>
    </w:tbl>
    <w:p>
      <w:pPr>
        <w:pStyle w:val="Compact"/>
        <w:numPr>
          <w:ilvl w:val="0"/>
          <w:numId w:val="1055"/>
        </w:numPr>
      </w:pPr>
      <w:r>
        <w:rPr>
          <w:b/>
          <w:bCs/>
        </w:rPr>
        <w:t xml:space="preserve">Une fois dans la zone</w:t>
      </w:r>
      <w:r>
        <w:t xml:space="preserve"> </w:t>
      </w:r>
      <w:r>
        <w:t xml:space="preserve">: la liste ne s’affiche que si la position, mesurée par le GPS (100 m de précision au plus, jamais une position saisie à la main), se trouve dans une commune du</w:t>
      </w:r>
      <w:r>
        <w:t xml:space="preserve"> </w:t>
      </w:r>
      <w:r>
        <w:rPr>
          <w:b/>
          <w:bCs/>
        </w:rPr>
        <w:t xml:space="preserve">secteur de l’agent</w:t>
      </w:r>
      <w:r>
        <w:t xml:space="preserve">. Hors secteur, rien n’est montré.</w:t>
      </w:r>
    </w:p>
    <w:p>
      <w:pPr>
        <w:pStyle w:val="Compact"/>
        <w:numPr>
          <w:ilvl w:val="0"/>
          <w:numId w:val="1055"/>
        </w:numPr>
      </w:pPr>
      <w:r>
        <w:rPr>
          <w:b/>
          <w:bCs/>
        </w:rPr>
        <w:t xml:space="preserve">Carte et liste</w:t>
      </w:r>
      <w:r>
        <w:t xml:space="preserve"> </w:t>
      </w:r>
      <w:r>
        <w:t xml:space="preserve">: la position de l’agent, le rayon choisi (100 m à 1 km) et les biens colorés sur la carte OSM ; la liste va du plus proche au plus éloigné (référence IGF, plaque posée, quartier, motif de la couleur) ; filtre par couleur ; mise à jour automatique quand l’agent se déplace de 40 m.</w:t>
      </w:r>
    </w:p>
    <w:p>
      <w:pPr>
        <w:pStyle w:val="Compact"/>
        <w:numPr>
          <w:ilvl w:val="0"/>
          <w:numId w:val="1055"/>
        </w:numPr>
      </w:pPr>
      <w:r>
        <w:rPr>
          <w:b/>
          <w:bCs/>
        </w:rPr>
        <w:t xml:space="preserve">Aucun montant ni nom de contribuable</w:t>
      </w:r>
      <w:r>
        <w:t xml:space="preserve"> </w:t>
      </w:r>
      <w:r>
        <w:t xml:space="preserve">dans la liste : la couleur oriente la visite, elle ne vaut ni constat ni sanction (circuit RW1 inchangé). L’agent ne reçoit jamais d’espèces ; il peut faire payer un bien ambre ou rouge par canal numérique (§ I.17).</w:t>
      </w:r>
    </w:p>
    <w:p>
      <w:pPr>
        <w:pStyle w:val="Compact"/>
        <w:numPr>
          <w:ilvl w:val="0"/>
          <w:numId w:val="1055"/>
        </w:numPr>
      </w:pPr>
      <w:r>
        <w:rPr>
          <w:b/>
          <w:bCs/>
        </w:rPr>
        <w:t xml:space="preserve">Journalisation</w:t>
      </w:r>
      <w:r>
        <w:t xml:space="preserve"> </w:t>
      </w:r>
      <w:r>
        <w:t xml:space="preserve">: chaque consultation est tracée (position, précision, rayon, commune, nombre de biens et de rouges montrés), ce qui alimente la surveillance des agents.</w:t>
      </w:r>
    </w:p>
    <w:p>
      <w:pPr>
        <w:pStyle w:val="Compact"/>
        <w:numPr>
          <w:ilvl w:val="0"/>
          <w:numId w:val="1055"/>
        </w:numPr>
      </w:pPr>
      <w:r>
        <w:rPr>
          <w:b/>
          <w:bCs/>
        </w:rPr>
        <w:t xml:space="preserve">Rôles</w:t>
      </w:r>
      <w:r>
        <w:t xml:space="preserve"> </w:t>
      </w:r>
      <w:r>
        <w:t xml:space="preserve">: agent de terrain, superviseur, contrôleur et sous-traitant de terrain dans leur secteur ; direction, chef de service, audit et anti-fraude partout. Les véhicules (objets mobiles) sont exclus.</w:t>
      </w:r>
    </w:p>
    <w:p>
      <w:pPr>
        <w:pStyle w:val="Compact"/>
        <w:numPr>
          <w:ilvl w:val="0"/>
          <w:numId w:val="1055"/>
        </w:numPr>
      </w:pPr>
      <w:r>
        <w:t xml:space="preserve">Tests :</w:t>
      </w:r>
      <w:r>
        <w:t xml:space="preserve"> </w:t>
      </w:r>
      <w:r>
        <w:rPr>
          <w:rStyle w:val="VerbatimChar"/>
        </w:rPr>
        <w:t xml:space="preserve">backend/test/fiscal-nearby.test.ts</w:t>
      </w:r>
      <w:r>
        <w:t xml:space="preserve"> </w:t>
      </w:r>
      <w:r>
        <w:t xml:space="preserve">(dans le secteur, hors secteur, précision insuffisante, rayon plafonné, rôles refusés).</w:t>
      </w:r>
    </w:p>
    <w:bookmarkEnd w:id="633"/>
    <w:bookmarkStart w:id="634" w:name="Xec906ea87a199ca790f21f57c16b14628218f25"/>
    <w:p>
      <w:pPr>
        <w:pStyle w:val="Heading2"/>
      </w:pPr>
      <w:r>
        <w:t xml:space="preserve">I.17 Paiement numérique assisté par l’agent : jamais d’espèces</w:t>
      </w:r>
    </w:p>
    <w:p>
      <w:pPr>
        <w:pStyle w:val="FirstParagraph"/>
      </w:pPr>
      <w:r>
        <w:t xml:space="preserve">Décision du maître d’ouvrage du 27/09/2026 :</w:t>
      </w:r>
      <w:r>
        <w:t xml:space="preserve"> </w:t>
      </w:r>
      <w:r>
        <w:rPr>
          <w:b/>
          <w:bCs/>
        </w:rPr>
        <w:t xml:space="preserve">un agent de terrain ne reçoit jamais d’espèces</w:t>
      </w:r>
      <w:r>
        <w:t xml:space="preserve">. Les espèces se paient uniquement dans les lieux prévus (point de paiement agréé, guichet bancaire MOSOLO). En revanche, l’agent peut</w:t>
      </w:r>
      <w:r>
        <w:t xml:space="preserve"> </w:t>
      </w:r>
      <w:r>
        <w:rPr>
          <w:b/>
          <w:bCs/>
        </w:rPr>
        <w:t xml:space="preserve">faire payer sur place par les canaux numériques</w:t>
      </w:r>
      <w:r>
        <w:t xml:space="preserve">, comme partout dans le système.</w:t>
      </w:r>
    </w:p>
    <w:p>
      <w:pPr>
        <w:pStyle w:val="BodyText"/>
      </w:pPr>
      <w:r>
        <w:rPr>
          <w:b/>
          <w:bCs/>
        </w:rPr>
        <w:t xml:space="preserve">Aucun circuit parallèle.</w:t>
      </w:r>
      <w:r>
        <w:t xml:space="preserve"> </w:t>
      </w:r>
      <w:r>
        <w:t xml:space="preserve">L’agent émet (ou ré-affiche) la</w:t>
      </w:r>
      <w:r>
        <w:t xml:space="preserve"> </w:t>
      </w:r>
      <w:r>
        <w:rPr>
          <w:b/>
          <w:bCs/>
        </w:rPr>
        <w:t xml:space="preserve">référence officielle du circuit commun, au nom du seul titulaire</w:t>
      </w:r>
      <w:r>
        <w:t xml:space="preserve"> </w:t>
      </w:r>
      <w:r>
        <w:t xml:space="preserve">; c’est le même ordre de paiement que dans l’application, l’USSD ou au guichet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Canal proposé par l’agent</w:t>
            </w:r>
          </w:p>
        </w:tc>
        <w:tc>
          <w:tcPr>
            <w:shd w:val="clear" w:color="auto" w:fill="232C6B"/>
          </w:tcPr>
          <w:p>
            <w:pPr>
              <w:pStyle w:val="Compact"/>
            </w:pPr>
            <w:r>
              <w:rPr>
                <w:b/>
                <w:color w:val="FFFFFF"/>
                <w:sz w:val="17"/>
              </w:rPr>
              <w:t xml:space="preserve">Ce que fait l’usager</w:t>
            </w:r>
          </w:p>
        </w:tc>
      </w:tr>
      <w:tr>
        <w:tc>
          <w:tcPr/>
          <w:p>
            <w:pPr>
              <w:pStyle w:val="Compact"/>
            </w:pPr>
            <w:r>
              <w:rPr>
                <w:sz w:val="17"/>
              </w:rPr>
              <w:t xml:space="preserve">Monnaie mobile</w:t>
            </w:r>
          </w:p>
        </w:tc>
        <w:tc>
          <w:tcPr/>
          <w:p>
            <w:pPr>
              <w:pStyle w:val="Compact"/>
            </w:pPr>
            <w:r>
              <w:rPr>
                <w:sz w:val="17"/>
              </w:rPr>
              <w:t xml:space="preserve">Paie depuis</w:t>
            </w:r>
            <w:r>
              <w:rPr>
                <w:sz w:val="17"/>
              </w:rPr>
              <w:t xml:space="preserve"> </w:t>
            </w:r>
            <w:r>
              <w:rPr>
                <w:b/>
                <w:bCs/>
                <w:sz w:val="17"/>
              </w:rPr>
              <w:t xml:space="preserve">son</w:t>
            </w:r>
            <w:r>
              <w:rPr>
                <w:sz w:val="17"/>
              </w:rPr>
              <w:t xml:space="preserve"> </w:t>
            </w:r>
            <w:r>
              <w:rPr>
                <w:sz w:val="17"/>
              </w:rPr>
              <w:t xml:space="preserve">téléphone vers le compte public, avec la référence</w:t>
            </w:r>
          </w:p>
        </w:tc>
      </w:tr>
      <w:tr>
        <w:tc>
          <w:tcPr>
            <w:shd w:val="clear" w:color="auto" w:fill="F5F7FB"/>
          </w:tcPr>
          <w:p>
            <w:pPr>
              <w:pStyle w:val="Compact"/>
            </w:pPr>
            <w:r>
              <w:rPr>
                <w:sz w:val="17"/>
              </w:rPr>
              <w:t xml:space="preserve">USSD</w:t>
            </w:r>
          </w:p>
        </w:tc>
        <w:tc>
          <w:tcPr>
            <w:shd w:val="clear" w:color="auto" w:fill="F5F7FB"/>
          </w:tcPr>
          <w:p>
            <w:pPr>
              <w:pStyle w:val="Compact"/>
            </w:pPr>
            <w:r>
              <w:rPr>
                <w:sz w:val="17"/>
              </w:rPr>
              <w:t xml:space="preserve">Compose le code USSD officiel sur</w:t>
            </w:r>
            <w:r>
              <w:rPr>
                <w:sz w:val="17"/>
              </w:rPr>
              <w:t xml:space="preserve"> </w:t>
            </w:r>
            <w:r>
              <w:rPr>
                <w:b/>
                <w:bCs/>
                <w:sz w:val="17"/>
              </w:rPr>
              <w:t xml:space="preserve">son</w:t>
            </w:r>
            <w:r>
              <w:rPr>
                <w:sz w:val="17"/>
              </w:rPr>
              <w:t xml:space="preserve"> </w:t>
            </w:r>
            <w:r>
              <w:rPr>
                <w:sz w:val="17"/>
              </w:rPr>
              <w:t xml:space="preserve">téléphone et saisit la référence (tout téléphone, sans internet)</w:t>
            </w:r>
          </w:p>
        </w:tc>
      </w:tr>
      <w:tr>
        <w:tc>
          <w:tcPr/>
          <w:p>
            <w:pPr>
              <w:pStyle w:val="Compact"/>
            </w:pPr>
            <w:r>
              <w:rPr>
                <w:sz w:val="17"/>
              </w:rPr>
              <w:t xml:space="preserve">QR</w:t>
            </w:r>
          </w:p>
        </w:tc>
        <w:tc>
          <w:tcPr/>
          <w:p>
            <w:pPr>
              <w:pStyle w:val="Compact"/>
            </w:pPr>
            <w:r>
              <w:rPr>
                <w:sz w:val="17"/>
              </w:rPr>
              <w:t xml:space="preserve">Scanne le QR du prestataire connecté avec</w:t>
            </w:r>
            <w:r>
              <w:rPr>
                <w:sz w:val="17"/>
              </w:rPr>
              <w:t xml:space="preserve"> </w:t>
            </w:r>
            <w:r>
              <w:rPr>
                <w:b/>
                <w:bCs/>
                <w:sz w:val="17"/>
              </w:rPr>
              <w:t xml:space="preserve">son</w:t>
            </w:r>
            <w:r>
              <w:rPr>
                <w:sz w:val="17"/>
              </w:rPr>
              <w:t xml:space="preserve"> </w:t>
            </w:r>
            <w:r>
              <w:rPr>
                <w:sz w:val="17"/>
              </w:rPr>
              <w:t xml:space="preserve">application ; montant et compte public déjà renseignés</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Paie par</w:t>
            </w:r>
            <w:r>
              <w:rPr>
                <w:sz w:val="17"/>
              </w:rPr>
              <w:t xml:space="preserve"> </w:t>
            </w:r>
            <w:r>
              <w:rPr>
                <w:b/>
                <w:bCs/>
                <w:sz w:val="17"/>
              </w:rPr>
              <w:t xml:space="preserve">sa</w:t>
            </w:r>
            <w:r>
              <w:rPr>
                <w:sz w:val="17"/>
              </w:rPr>
              <w:t xml:space="preserve"> </w:t>
            </w:r>
            <w:r>
              <w:rPr>
                <w:sz w:val="17"/>
              </w:rPr>
              <w:t xml:space="preserve">carte sur un terminal agréé ou dans l’application</w:t>
            </w:r>
          </w:p>
        </w:tc>
      </w:tr>
      <w:tr>
        <w:tc>
          <w:tcPr/>
          <w:p>
            <w:pPr>
              <w:pStyle w:val="Compact"/>
            </w:pPr>
            <w:r>
              <w:rPr>
                <w:sz w:val="17"/>
              </w:rPr>
              <w:t xml:space="preserve">Espèces</w:t>
            </w:r>
          </w:p>
        </w:tc>
        <w:tc>
          <w:tcPr/>
          <w:p>
            <w:pPr>
              <w:pStyle w:val="Compact"/>
            </w:pPr>
            <w:r>
              <w:rPr>
                <w:b/>
                <w:bCs/>
                <w:sz w:val="17"/>
              </w:rPr>
              <w:t xml:space="preserve">Refusées à l’agent</w:t>
            </w:r>
            <w:r>
              <w:rPr>
                <w:sz w:val="17"/>
              </w:rPr>
              <w:t xml:space="preserve"> </w:t>
            </w:r>
            <w:r>
              <w:rPr>
                <w:sz w:val="17"/>
              </w:rPr>
              <w:t xml:space="preserve">(</w:t>
            </w:r>
            <w:r>
              <w:rPr>
                <w:rStyle w:val="VerbatimChar"/>
                <w:sz w:val="17"/>
              </w:rPr>
              <w:t xml:space="preserve">CASH_NOT_ALLOWED_FOR_AGENT</w:t>
            </w:r>
            <w:r>
              <w:rPr>
                <w:sz w:val="17"/>
              </w:rPr>
              <w:t xml:space="preserve">) : l’usager va dans un point agréé ou au guichet bancaire, avec la même référence</w:t>
            </w:r>
          </w:p>
        </w:tc>
      </w:tr>
    </w:tbl>
    <w:p>
      <w:pPr>
        <w:pStyle w:val="BodyText"/>
      </w:pPr>
      <w:r>
        <w:rPr>
          <w:b/>
          <w:bCs/>
        </w:rPr>
        <w:t xml:space="preserve">Garde-fous.</w:t>
      </w:r>
    </w:p>
    <w:p>
      <w:pPr>
        <w:pStyle w:val="Compact"/>
        <w:numPr>
          <w:ilvl w:val="0"/>
          <w:numId w:val="1056"/>
        </w:numPr>
      </w:pPr>
      <w:r>
        <w:t xml:space="preserve">Le montant est le</w:t>
      </w:r>
      <w:r>
        <w:t xml:space="preserve"> </w:t>
      </w:r>
      <w:r>
        <w:rPr>
          <w:b/>
          <w:bCs/>
        </w:rPr>
        <w:t xml:space="preserve">solde de l’obligation</w:t>
      </w:r>
      <w:r>
        <w:t xml:space="preserve"> </w:t>
      </w:r>
      <w:r>
        <w:t xml:space="preserve">: il ne se saisit pas et ne se négocie pas.</w:t>
      </w:r>
    </w:p>
    <w:p>
      <w:pPr>
        <w:pStyle w:val="Compact"/>
        <w:numPr>
          <w:ilvl w:val="0"/>
          <w:numId w:val="1056"/>
        </w:numPr>
      </w:pPr>
      <w:r>
        <w:t xml:space="preserve">L’agent ne touche ni argent, ni téléphone, ni carte, ni code secret de l’usager ; l’ordre appartient au titulaire ; le bénéficiaire est le compte public.</w:t>
      </w:r>
    </w:p>
    <w:p>
      <w:pPr>
        <w:pStyle w:val="Compact"/>
        <w:numPr>
          <w:ilvl w:val="0"/>
          <w:numId w:val="1056"/>
        </w:numPr>
      </w:pPr>
      <w:r>
        <w:rPr>
          <w:b/>
          <w:bCs/>
        </w:rPr>
        <w:t xml:space="preserve">Sur place</w:t>
      </w:r>
      <w:r>
        <w:t xml:space="preserve"> </w:t>
      </w:r>
      <w:r>
        <w:t xml:space="preserve">: position GPS précise (100 m au plus) ; pour un bien fixe, 300 m au plus du bien ;</w:t>
      </w:r>
      <w:r>
        <w:t xml:space="preserve"> </w:t>
      </w:r>
      <w:r>
        <w:rPr>
          <w:b/>
          <w:bCs/>
        </w:rPr>
        <w:t xml:space="preserve">dans le secteur</w:t>
      </w:r>
      <w:r>
        <w:t xml:space="preserve"> </w:t>
      </w:r>
      <w:r>
        <w:t xml:space="preserve">de l’agent.</w:t>
      </w:r>
    </w:p>
    <w:p>
      <w:pPr>
        <w:pStyle w:val="Compact"/>
        <w:numPr>
          <w:ilvl w:val="0"/>
          <w:numId w:val="1056"/>
        </w:numPr>
      </w:pPr>
      <w:r>
        <w:rPr>
          <w:b/>
          <w:bCs/>
        </w:rPr>
        <w:t xml:space="preserve">Une seule référence active</w:t>
      </w:r>
      <w:r>
        <w:t xml:space="preserve"> </w:t>
      </w:r>
      <w:r>
        <w:t xml:space="preserve">par obligation ; une obligation déjà couverte par un paiement confirmé n’est plus proposée.</w:t>
      </w:r>
    </w:p>
    <w:p>
      <w:pPr>
        <w:pStyle w:val="Compact"/>
        <w:numPr>
          <w:ilvl w:val="0"/>
          <w:numId w:val="1056"/>
        </w:numPr>
      </w:pPr>
      <w:r>
        <w:t xml:space="preserve">La</w:t>
      </w:r>
      <w:r>
        <w:t xml:space="preserve"> </w:t>
      </w:r>
      <w:r>
        <w:rPr>
          <w:b/>
          <w:bCs/>
        </w:rPr>
        <w:t xml:space="preserve">quittance</w:t>
      </w:r>
      <w:r>
        <w:t xml:space="preserve"> </w:t>
      </w:r>
      <w:r>
        <w:t xml:space="preserve">part à l’usager dès la confirmation signée du prestataire ; l’agent voit « Paiement confirmé ».</w:t>
      </w:r>
    </w:p>
    <w:p>
      <w:pPr>
        <w:pStyle w:val="Compact"/>
        <w:numPr>
          <w:ilvl w:val="0"/>
          <w:numId w:val="1056"/>
        </w:numPr>
      </w:pPr>
      <w:r>
        <w:t xml:space="preserve">Chaque référence assistée est</w:t>
      </w:r>
      <w:r>
        <w:t xml:space="preserve"> </w:t>
      </w:r>
      <w:r>
        <w:rPr>
          <w:b/>
          <w:bCs/>
        </w:rPr>
        <w:t xml:space="preserve">journalisée</w:t>
      </w:r>
      <w:r>
        <w:t xml:space="preserve"> </w:t>
      </w:r>
      <w:r>
        <w:t xml:space="preserve">(agent, position, distance au bien, canal, référence). La commission reste régie par § I.15.</w:t>
      </w:r>
    </w:p>
    <w:p>
      <w:pPr>
        <w:pStyle w:val="FirstParagraph"/>
      </w:pPr>
      <w:r>
        <w:t xml:space="preserve">Où : pénalités au contrôle du stationnement, bandeau des pénalités impayées, biens ambre ou rouges de « Autour de moi », scan d’une plaque de verticale, supports publicitaires aux droits impayés. Routes :</w:t>
      </w:r>
      <w:r>
        <w:t xml:space="preserve"> </w:t>
      </w:r>
      <w:r>
        <w:rPr>
          <w:rStyle w:val="VerbatimChar"/>
        </w:rPr>
        <w:t xml:space="preserve">GET /v1/agents/assist/payables</w:t>
      </w:r>
      <w:r>
        <w:t xml:space="preserve">,</w:t>
      </w:r>
      <w:r>
        <w:t xml:space="preserve"> </w:t>
      </w:r>
      <w:r>
        <w:rPr>
          <w:rStyle w:val="VerbatimChar"/>
        </w:rPr>
        <w:t xml:space="preserve">POST /v1/agents/assist/payment-orders</w:t>
      </w:r>
      <w:r>
        <w:t xml:space="preserve">,</w:t>
      </w:r>
      <w:r>
        <w:t xml:space="preserve"> </w:t>
      </w:r>
      <w:r>
        <w:rPr>
          <w:rStyle w:val="VerbatimChar"/>
        </w:rPr>
        <w:t xml:space="preserve">GET /v1/agents/assist/payment-orders/:reference</w:t>
      </w:r>
      <w:r>
        <w:t xml:space="preserve">. Tests :</w:t>
      </w:r>
      <w:r>
        <w:t xml:space="preserve"> </w:t>
      </w:r>
      <w:r>
        <w:rPr>
          <w:rStyle w:val="VerbatimChar"/>
        </w:rPr>
        <w:t xml:space="preserve">backend/test/assisted-payment.test.ts</w:t>
      </w:r>
      <w:r>
        <w:t xml:space="preserve">.</w:t>
      </w:r>
    </w:p>
    <w:bookmarkEnd w:id="634"/>
    <w:bookmarkStart w:id="635" w:name="X62042ed964553d92b4f219ca282f6f0aa0f23e1"/>
    <w:p>
      <w:pPr>
        <w:pStyle w:val="Heading2"/>
      </w:pPr>
      <w:r>
        <w:t xml:space="preserve">I.18 KIN PUB CONTROL sur le terrain : « Autour de moi », enseignes, commerces, publicité mobile</w:t>
      </w:r>
    </w:p>
    <w:p>
      <w:pPr>
        <w:pStyle w:val="FirstParagraph"/>
      </w:pPr>
      <w:r>
        <w:t xml:space="preserve">Construit</w:t>
      </w:r>
      <w:r>
        <w:t xml:space="preserve"> </w:t>
      </w:r>
      <w:r>
        <w:rPr>
          <w:b/>
          <w:bCs/>
        </w:rPr>
        <w:t xml:space="preserve">dans le module de publicité existant</w:t>
      </w:r>
      <w:r>
        <w:t xml:space="preserve">. Les supports restent rattachés au registre fiscal une fois leur exploitant identifié.</w:t>
      </w:r>
    </w:p>
    <w:p>
      <w:pPr>
        <w:pStyle w:val="BodyText"/>
      </w:pPr>
      <w:r>
        <w:rPr>
          <w:b/>
          <w:bCs/>
        </w:rPr>
        <w:t xml:space="preserve">Tout ce qui s’affiche est assujetti.</w:t>
      </w:r>
      <w:r>
        <w:t xml:space="preserve"> </w:t>
      </w:r>
      <w:r>
        <w:t xml:space="preserve">Chaque support porte son</w:t>
      </w:r>
      <w:r>
        <w:t xml:space="preserve"> </w:t>
      </w:r>
      <w:r>
        <w:rPr>
          <w:b/>
          <w:bCs/>
        </w:rPr>
        <w:t xml:space="preserve">emplacement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Emplacement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Support dédié</w:t>
            </w:r>
          </w:p>
        </w:tc>
        <w:tc>
          <w:tcPr/>
          <w:p>
            <w:pPr>
              <w:pStyle w:val="Compact"/>
            </w:pPr>
            <w:r>
              <w:rPr>
                <w:sz w:val="17"/>
              </w:rPr>
              <w:t xml:space="preserve">Panneau, écran, bâche,</w:t>
            </w:r>
            <w:r>
              <w:rPr>
                <w:sz w:val="17"/>
              </w:rPr>
              <w:t xml:space="preserve"> </w:t>
            </w:r>
            <w:r>
              <w:rPr>
                <w:b/>
                <w:bCs/>
                <w:sz w:val="17"/>
              </w:rPr>
              <w:t xml:space="preserve">banderole</w:t>
            </w:r>
          </w:p>
        </w:tc>
        <w:tc>
          <w:tcPr/>
          <w:p>
            <w:pPr>
              <w:pStyle w:val="Compact"/>
            </w:pPr>
            <w:r>
              <w:rPr>
                <w:sz w:val="17"/>
              </w:rPr>
              <w:t xml:space="preserve">Sur place (position)</w:t>
            </w:r>
          </w:p>
        </w:tc>
      </w:tr>
      <w:tr>
        <w:tc>
          <w:tcPr>
            <w:shd w:val="clear" w:color="auto" w:fill="F5F7FB"/>
          </w:tcPr>
          <w:p>
            <w:pPr>
              <w:pStyle w:val="Compact"/>
            </w:pPr>
            <w:r>
              <w:rPr>
                <w:sz w:val="17"/>
              </w:rPr>
              <w:t xml:space="preserve">Façade ou porte d’un commerce</w:t>
            </w:r>
          </w:p>
        </w:tc>
        <w:tc>
          <w:tcPr>
            <w:shd w:val="clear" w:color="auto" w:fill="F5F7FB"/>
          </w:tcPr>
          <w:p>
            <w:pPr>
              <w:pStyle w:val="Compact"/>
            </w:pPr>
            <w:r>
              <w:rPr>
                <w:b/>
                <w:bCs/>
                <w:sz w:val="17"/>
              </w:rPr>
              <w:t xml:space="preserve">Enseigne</w:t>
            </w:r>
            <w:r>
              <w:rPr>
                <w:sz w:val="17"/>
              </w:rPr>
              <w:t xml:space="preserve"> </w:t>
            </w:r>
            <w:r>
              <w:rPr>
                <w:sz w:val="17"/>
              </w:rPr>
              <w:t xml:space="preserve">du commerce</w:t>
            </w:r>
          </w:p>
        </w:tc>
        <w:tc>
          <w:tcPr>
            <w:shd w:val="clear" w:color="auto" w:fill="F5F7FB"/>
          </w:tcPr>
          <w:p>
            <w:pPr>
              <w:pStyle w:val="Compact"/>
            </w:pPr>
            <w:r>
              <w:rPr>
                <w:sz w:val="17"/>
              </w:rPr>
              <w:t xml:space="preserve">Sur place, lié à l’établissement enregistré</w:t>
            </w:r>
          </w:p>
        </w:tc>
      </w:tr>
      <w:tr>
        <w:tc>
          <w:tcPr/>
          <w:p>
            <w:pPr>
              <w:pStyle w:val="Compact"/>
            </w:pPr>
            <w:r>
              <w:rPr>
                <w:sz w:val="17"/>
              </w:rPr>
              <w:t xml:space="preserve">Devant un commerce</w:t>
            </w:r>
          </w:p>
        </w:tc>
        <w:tc>
          <w:tcPr/>
          <w:p>
            <w:pPr>
              <w:pStyle w:val="Compact"/>
            </w:pPr>
            <w:r>
              <w:rPr>
                <w:b/>
                <w:bCs/>
                <w:sz w:val="17"/>
              </w:rPr>
              <w:t xml:space="preserve">Chevalet</w:t>
            </w:r>
            <w:r>
              <w:rPr>
                <w:sz w:val="17"/>
              </w:rPr>
              <w:t xml:space="preserve">, kakémono sur le trottoir</w:t>
            </w:r>
          </w:p>
        </w:tc>
        <w:tc>
          <w:tcPr/>
          <w:p>
            <w:pPr>
              <w:pStyle w:val="Compact"/>
            </w:pPr>
            <w:r>
              <w:rPr>
                <w:sz w:val="17"/>
              </w:rPr>
              <w:t xml:space="preserve">Sur place, lié à l’établissement</w:t>
            </w:r>
          </w:p>
        </w:tc>
      </w:tr>
      <w:tr>
        <w:tc>
          <w:tcPr>
            <w:shd w:val="clear" w:color="auto" w:fill="F5F7FB"/>
          </w:tcPr>
          <w:p>
            <w:pPr>
              <w:pStyle w:val="Compact"/>
            </w:pPr>
            <w:r>
              <w:rPr>
                <w:sz w:val="17"/>
              </w:rPr>
              <w:t xml:space="preserve">Véhicule ou objet mobile</w:t>
            </w:r>
          </w:p>
        </w:tc>
        <w:tc>
          <w:tcPr>
            <w:shd w:val="clear" w:color="auto" w:fill="F5F7FB"/>
          </w:tcPr>
          <w:p>
            <w:pPr>
              <w:pStyle w:val="Compact"/>
            </w:pPr>
            <w:r>
              <w:rPr>
                <w:b/>
                <w:bCs/>
                <w:sz w:val="17"/>
              </w:rPr>
              <w:t xml:space="preserve">Publicité sur véhicule</w:t>
            </w:r>
            <w:r>
              <w:rPr>
                <w:sz w:val="17"/>
              </w:rPr>
              <w:t xml:space="preserve"> </w:t>
            </w:r>
            <w:r>
              <w:rPr>
                <w:sz w:val="17"/>
              </w:rPr>
              <w:t xml:space="preserve">: voiture, taxi, bus, camion, moto, tricycle, remorque</w:t>
            </w:r>
          </w:p>
        </w:tc>
        <w:tc>
          <w:tcPr>
            <w:shd w:val="clear" w:color="auto" w:fill="F5F7FB"/>
          </w:tcPr>
          <w:p>
            <w:pPr>
              <w:pStyle w:val="Compact"/>
            </w:pPr>
            <w:r>
              <w:rPr>
                <w:b/>
                <w:bCs/>
                <w:sz w:val="17"/>
              </w:rPr>
              <w:t xml:space="preserve">Par la plaque du véhicule</w:t>
            </w:r>
            <w:r>
              <w:rPr>
                <w:sz w:val="17"/>
              </w:rPr>
              <w:t xml:space="preserve">, où qu’il soit</w:t>
            </w:r>
          </w:p>
        </w:tc>
      </w:tr>
    </w:tbl>
    <w:p>
      <w:pPr>
        <w:pStyle w:val="BodyText"/>
      </w:pPr>
      <w:r>
        <w:rPr>
          <w:b/>
          <w:bCs/>
        </w:rPr>
        <w:t xml:space="preserve">« Autour de moi » de l’inspecteur</w:t>
      </w:r>
      <w:r>
        <w:t xml:space="preserve"> </w:t>
      </w:r>
      <w:r>
        <w:t xml:space="preserve">: sur place, dans son secteur, position GPS précise ; supports en</w:t>
      </w:r>
      <w:r>
        <w:t xml:space="preserve"> </w:t>
      </w:r>
      <w:r>
        <w:rPr>
          <w:b/>
          <w:bCs/>
        </w:rPr>
        <w:t xml:space="preserve">rouge</w:t>
      </w:r>
      <w:r>
        <w:t xml:space="preserve"> </w:t>
      </w:r>
      <w:r>
        <w:t xml:space="preserve">(affiché sans autorisation, autorisation expirée, droits impayés),</w:t>
      </w:r>
      <w:r>
        <w:t xml:space="preserve"> </w:t>
      </w:r>
      <w:r>
        <w:rPr>
          <w:b/>
          <w:bCs/>
        </w:rPr>
        <w:t xml:space="preserve">ambre</w:t>
      </w:r>
      <w:r>
        <w:t xml:space="preserve"> </w:t>
      </w:r>
      <w:r>
        <w:t xml:space="preserve">(demande en cours, échéance proche, barème non publié),</w:t>
      </w:r>
      <w:r>
        <w:t xml:space="preserve"> </w:t>
      </w:r>
      <w:r>
        <w:rPr>
          <w:b/>
          <w:bCs/>
        </w:rPr>
        <w:t xml:space="preserve">vert</w:t>
      </w:r>
      <w:r>
        <w:t xml:space="preserve"> </w:t>
      </w:r>
      <w:r>
        <w:t xml:space="preserve">(autorisé et à jour) ; commerces enregistrés</w:t>
      </w:r>
      <w:r>
        <w:t xml:space="preserve"> </w:t>
      </w:r>
      <w:r>
        <w:rPr>
          <w:b/>
          <w:bCs/>
        </w:rPr>
        <w:t xml:space="preserve">sans enseigne déclarée, à vérifier</w:t>
      </w:r>
      <w:r>
        <w:t xml:space="preserve"> </w:t>
      </w:r>
      <w:r>
        <w:t xml:space="preserve">(jamais présumés en infraction), avec constat pré-rempli.</w:t>
      </w:r>
      <w:r>
        <w:t xml:space="preserve"> </w:t>
      </w:r>
      <w:r>
        <w:rPr>
          <w:b/>
          <w:bCs/>
        </w:rPr>
        <w:t xml:space="preserve">Publicité mobile</w:t>
      </w:r>
      <w:r>
        <w:t xml:space="preserve"> </w:t>
      </w:r>
      <w:r>
        <w:t xml:space="preserve">: onglet « Véhicules », plaque saisie ou lue à la caméra. Droits impayés : « Faire payer (numérique) » (§ I.17).</w:t>
      </w:r>
    </w:p>
    <w:p>
      <w:pPr>
        <w:pStyle w:val="BodyText"/>
      </w:pPr>
      <w:r>
        <w:rPr>
          <w:b/>
          <w:bCs/>
        </w:rPr>
        <w:t xml:space="preserve">Tarifs : rien n’est inventé.</w:t>
      </w:r>
      <w:r>
        <w:t xml:space="preserve"> </w:t>
      </w:r>
      <w:r>
        <w:t xml:space="preserve">Supports fixes, enseignes et chevalets : règle existante (taxe au m², fictive de démonstration), à confirmer par l’acte pour les enseignes. Publicité sur véhicule : règle distincte ; sans acte publié, l’autorisation est « acte requis »</w:t>
      </w:r>
      <w:r>
        <w:t xml:space="preserve"> </w:t>
      </w:r>
      <w:r>
        <w:rPr>
          <w:b/>
          <w:bCs/>
        </w:rPr>
        <w:t xml:space="preserve">sans montant</w:t>
      </w:r>
      <w:r>
        <w:t xml:space="preserve">, puis liquidée en double validation dès que la règle devient active.</w:t>
      </w:r>
    </w:p>
    <w:p>
      <w:pPr>
        <w:pStyle w:val="BodyText"/>
      </w:pPr>
      <w:r>
        <w:t xml:space="preserve">Routes :</w:t>
      </w:r>
      <w:r>
        <w:t xml:space="preserve"> </w:t>
      </w:r>
      <w:r>
        <w:rPr>
          <w:rStyle w:val="VerbatimChar"/>
        </w:rPr>
        <w:t xml:space="preserve">GET /v1/publicite/nearby</w:t>
      </w:r>
      <w:r>
        <w:t xml:space="preserve">,</w:t>
      </w:r>
      <w:r>
        <w:t xml:space="preserve"> </w:t>
      </w:r>
      <w:r>
        <w:rPr>
          <w:rStyle w:val="VerbatimChar"/>
        </w:rPr>
        <w:t xml:space="preserve">GET /v1/publicite/vehicles/:plate</w:t>
      </w:r>
      <w:r>
        <w:t xml:space="preserve">. Tests :</w:t>
      </w:r>
      <w:r>
        <w:t xml:space="preserve"> </w:t>
      </w:r>
      <w:r>
        <w:rPr>
          <w:rStyle w:val="VerbatimChar"/>
        </w:rPr>
        <w:t xml:space="preserve">backend/test/publicite-terrain.test.ts</w:t>
      </w:r>
      <w:r>
        <w:t xml:space="preserve">.</w:t>
      </w:r>
    </w:p>
    <w:bookmarkEnd w:id="635"/>
    <w:bookmarkStart w:id="636" w:name="X3997bfed5e45c6ac60077c35d95a721598db0e9"/>
    <w:p>
      <w:pPr>
        <w:pStyle w:val="Heading2"/>
      </w:pPr>
      <w:r>
        <w:t xml:space="preserve">I.19 Verrouillage de la fraude et des fuites financières</w:t>
      </w:r>
    </w:p>
    <w:p>
      <w:pPr>
        <w:pStyle w:val="FirstParagraph"/>
      </w:pPr>
      <w:r>
        <w:t xml:space="preserve">Demande du maître d’ouvrage du 27/09/2026 : « que la fraude et les fuites financières soient complètement verrouillées ». Six revues de code puis trois revues adverses (flux de l’argent de bout en bout ; fraude interne, agents et collusion ; fuites par les données, les réductions, le rapprochement et l’audit) ont été menées sur l’ensemble du système. Chaque chemin trouvé a été fermé (</w:t>
      </w:r>
      <w:r>
        <w:rPr>
          <w:b/>
          <w:bCs/>
        </w:rPr>
        <w:t xml:space="preserve">bloqué</w:t>
      </w:r>
      <w:r>
        <w:t xml:space="preserve">) ou rendu visible (</w:t>
      </w:r>
      <w:r>
        <w:rPr>
          <w:b/>
          <w:bCs/>
        </w:rPr>
        <w:t xml:space="preserve">détecté</w:t>
      </w:r>
      <w:r>
        <w:t xml:space="preserve"> </w:t>
      </w:r>
      <w:r>
        <w:t xml:space="preserve">: alerte, exception, signal d’examen), et un test automatisé</w:t>
      </w:r>
      <w:r>
        <w:t xml:space="preserve"> </w:t>
      </w:r>
      <w:r>
        <w:rPr>
          <w:b/>
          <w:bCs/>
        </w:rPr>
        <w:t xml:space="preserve">rejoue l’attaque</w:t>
      </w:r>
      <w:r>
        <w:t xml:space="preserve"> </w:t>
      </w:r>
      <w:r>
        <w:t xml:space="preserve">pour prouver qu’elle échoue. Aucun système n’est inviolable : l’objectif est qu’aucune personne seule ne puisse détourner, effacer ou réduire une recette, et qu’aucune collusion ne passe inaperçue.</w:t>
      </w:r>
    </w:p>
    <w:p>
      <w:pPr>
        <w:pStyle w:val="BodyText"/>
      </w:pPr>
      <w:r>
        <w:rPr>
          <w:b/>
          <w:bCs/>
        </w:rPr>
        <w:t xml:space="preserve">Principes appliqués partout.</w:t>
      </w:r>
    </w:p>
    <w:p>
      <w:pPr>
        <w:pStyle w:val="Compact"/>
        <w:numPr>
          <w:ilvl w:val="0"/>
          <w:numId w:val="1057"/>
        </w:numPr>
      </w:pPr>
      <w:r>
        <w:rPr>
          <w:b/>
          <w:bCs/>
        </w:rPr>
        <w:t xml:space="preserve">Une personne physique, un compte de travail</w:t>
      </w:r>
      <w:r>
        <w:t xml:space="preserve"> </w:t>
      </w:r>
      <w:r>
        <w:t xml:space="preserve">: chaque compte est lié à l’empreinte (jamais le numéro en clair) de la pièce d’identité ; un second compte pour la même personne est refusé et signalé ; la séparation des tâches (auteur ≠ vérificateur ≠ décideur) s’applique</w:t>
      </w:r>
      <w:r>
        <w:t xml:space="preserve"> </w:t>
      </w:r>
      <w:r>
        <w:rPr>
          <w:b/>
          <w:bCs/>
        </w:rPr>
        <w:t xml:space="preserve">par personne</w:t>
      </w:r>
      <w:r>
        <w:t xml:space="preserve">, pas par compte.</w:t>
      </w:r>
    </w:p>
    <w:p>
      <w:pPr>
        <w:pStyle w:val="Compact"/>
        <w:numPr>
          <w:ilvl w:val="0"/>
          <w:numId w:val="1057"/>
        </w:numPr>
      </w:pPr>
      <w:r>
        <w:rPr>
          <w:b/>
          <w:bCs/>
        </w:rPr>
        <w:t xml:space="preserve">Conflit d’intérêts</w:t>
      </w:r>
      <w:r>
        <w:t xml:space="preserve"> </w:t>
      </w:r>
      <w:r>
        <w:t xml:space="preserve">: nul ne vérifie, ne décide ni n’accorde ce qui profite à un contribuable auquel il est lié.</w:t>
      </w:r>
    </w:p>
    <w:p>
      <w:pPr>
        <w:pStyle w:val="Compact"/>
        <w:numPr>
          <w:ilvl w:val="0"/>
          <w:numId w:val="1057"/>
        </w:numPr>
      </w:pPr>
      <w:r>
        <w:rPr>
          <w:b/>
          <w:bCs/>
        </w:rPr>
        <w:t xml:space="preserve">Jamais d’espèces à un agent</w:t>
      </w:r>
      <w:r>
        <w:t xml:space="preserve"> </w:t>
      </w:r>
      <w:r>
        <w:t xml:space="preserve">: un opérateur de point agréé (R32) ne peut détenir aucun rôle d’agent public ; les agents font payer uniquement par canal numérique, au nom du titulaire, vers le compte public (§ I.17).</w:t>
      </w:r>
    </w:p>
    <w:p>
      <w:pPr>
        <w:pStyle w:val="Compact"/>
        <w:numPr>
          <w:ilvl w:val="0"/>
          <w:numId w:val="1057"/>
        </w:numPr>
      </w:pPr>
      <w:r>
        <w:rPr>
          <w:b/>
          <w:bCs/>
        </w:rPr>
        <w:t xml:space="preserve">Montants jamais saisis</w:t>
      </w:r>
      <w:r>
        <w:t xml:space="preserve"> </w:t>
      </w:r>
      <w:r>
        <w:t xml:space="preserve">: un montant vient d’une règle ACTIVE certifiée ; les taux certifiés ne peuvent pas être remplacés par une donnée de la requête.</w:t>
      </w:r>
    </w:p>
    <w:p>
      <w:pPr>
        <w:pStyle w:val="Compact"/>
        <w:numPr>
          <w:ilvl w:val="0"/>
          <w:numId w:val="1057"/>
        </w:numPr>
      </w:pPr>
      <w:r>
        <w:rPr>
          <w:b/>
          <w:bCs/>
        </w:rPr>
        <w:t xml:space="preserve">Double validation</w:t>
      </w:r>
      <w:r>
        <w:t xml:space="preserve"> </w:t>
      </w:r>
      <w:r>
        <w:t xml:space="preserve">pour toute opération qui touche l’argent ou les recettes : remboursement, restitution, contrepassation, contre-écriture, changement de compte bénéficiaire (avec veto pendant le délai de carence), suspension ou levée d’une règle, remise, admission en non-valeur, correction à la baisse, correction d’un objet, dérogation de clôture, rapprochement d’un versement de point agréé.</w:t>
      </w:r>
    </w:p>
    <w:p>
      <w:pPr>
        <w:pStyle w:val="FirstParagraph"/>
      </w:pPr>
      <w:r>
        <w:rPr>
          <w:b/>
          <w:bCs/>
        </w:rPr>
        <w:t xml:space="preserve">Menaces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Nature</w:t>
            </w:r>
          </w:p>
        </w:tc>
      </w:tr>
      <w:tr>
        <w:tc>
          <w:tcPr/>
          <w:p>
            <w:pPr>
              <w:pStyle w:val="Compact"/>
            </w:pPr>
            <w:r>
              <w:rPr>
                <w:sz w:val="17"/>
              </w:rPr>
              <w:t xml:space="preserve">Confirmation de paiement forgée (secret public)</w:t>
            </w:r>
          </w:p>
        </w:tc>
        <w:tc>
          <w:tcPr/>
          <w:p>
            <w:pPr>
              <w:pStyle w:val="Compact"/>
            </w:pPr>
            <w:r>
              <w:rPr>
                <w:sz w:val="17"/>
              </w:rPr>
              <w:t xml:space="preserve">Secrets des prestataires obligatoires hors démonstration ; valeurs de démonstration refusées ; webhooks désactivés sans secret réel</w:t>
            </w:r>
          </w:p>
        </w:tc>
        <w:tc>
          <w:tcPr/>
          <w:p>
            <w:pPr>
              <w:pStyle w:val="Compact"/>
            </w:pPr>
            <w:r>
              <w:rPr>
                <w:sz w:val="17"/>
              </w:rPr>
              <w:t xml:space="preserve">Bloqué</w:t>
            </w:r>
          </w:p>
        </w:tc>
      </w:tr>
      <w:tr>
        <w:tc>
          <w:tcPr>
            <w:shd w:val="clear" w:color="auto" w:fill="F5F7FB"/>
          </w:tcPr>
          <w:p>
            <w:pPr>
              <w:pStyle w:val="Compact"/>
            </w:pPr>
            <w:r>
              <w:rPr>
                <w:sz w:val="17"/>
              </w:rPr>
              <w:t xml:space="preserve">Données de démonstration en production</w:t>
            </w:r>
          </w:p>
        </w:tc>
        <w:tc>
          <w:tcPr>
            <w:shd w:val="clear" w:color="auto" w:fill="F5F7FB"/>
          </w:tcPr>
          <w:p>
            <w:pPr>
              <w:pStyle w:val="Compact"/>
            </w:pPr>
            <w:r>
              <w:rPr>
                <w:sz w:val="17"/>
              </w:rPr>
              <w:t xml:space="preserve">Aucun amorçage hors démonstration ; installation par fichier d’amorçage qui n’écrase jamais un compte</w:t>
            </w:r>
          </w:p>
        </w:tc>
        <w:tc>
          <w:tcPr>
            <w:shd w:val="clear" w:color="auto" w:fill="F5F7FB"/>
          </w:tcPr>
          <w:p>
            <w:pPr>
              <w:pStyle w:val="Compact"/>
            </w:pPr>
            <w:r>
              <w:rPr>
                <w:sz w:val="17"/>
              </w:rPr>
              <w:t xml:space="preserve">Bloqué</w:t>
            </w:r>
          </w:p>
        </w:tc>
      </w:tr>
      <w:tr>
        <w:tc>
          <w:tcPr/>
          <w:p>
            <w:pPr>
              <w:pStyle w:val="Compact"/>
            </w:pPr>
            <w:r>
              <w:rPr>
                <w:sz w:val="17"/>
              </w:rPr>
              <w:t xml:space="preserve">Référence expirée, double paiement, paiement sur obligation annulée</w:t>
            </w:r>
          </w:p>
        </w:tc>
        <w:tc>
          <w:tcPr/>
          <w:p>
            <w:pPr>
              <w:pStyle w:val="Compact"/>
            </w:pPr>
            <w:r>
              <w:rPr>
                <w:sz w:val="17"/>
              </w:rPr>
              <w:t xml:space="preserve">Référence expirée close ; paiement tardif ou en double porté en compte d’attente, sans quittance, remboursable une seule fois</w:t>
            </w:r>
          </w:p>
        </w:tc>
        <w:tc>
          <w:tcPr/>
          <w:p>
            <w:pPr>
              <w:pStyle w:val="Compact"/>
            </w:pPr>
            <w:r>
              <w:rPr>
                <w:sz w:val="17"/>
              </w:rPr>
              <w:t xml:space="preserve">Bloqué + détecté</w:t>
            </w:r>
          </w:p>
        </w:tc>
      </w:tr>
      <w:tr>
        <w:tc>
          <w:tcPr>
            <w:shd w:val="clear" w:color="auto" w:fill="F5F7FB"/>
          </w:tcPr>
          <w:p>
            <w:pPr>
              <w:pStyle w:val="Compact"/>
            </w:pPr>
            <w:r>
              <w:rPr>
                <w:sz w:val="17"/>
              </w:rPr>
              <w:t xml:space="preserve">Montant arrondi à la baisse (149,995)</w:t>
            </w:r>
          </w:p>
        </w:tc>
        <w:tc>
          <w:tcPr>
            <w:shd w:val="clear" w:color="auto" w:fill="F5F7FB"/>
          </w:tcPr>
          <w:p>
            <w:pPr>
              <w:pStyle w:val="Compact"/>
            </w:pPr>
            <w:r>
              <w:rPr>
                <w:sz w:val="17"/>
              </w:rPr>
              <w:t xml:space="preserve">Montants à plus de décimales que la devise refusés</w:t>
            </w:r>
          </w:p>
        </w:tc>
        <w:tc>
          <w:tcPr>
            <w:shd w:val="clear" w:color="auto" w:fill="F5F7FB"/>
          </w:tcPr>
          <w:p>
            <w:pPr>
              <w:pStyle w:val="Compact"/>
            </w:pPr>
            <w:r>
              <w:rPr>
                <w:sz w:val="17"/>
              </w:rPr>
              <w:t xml:space="preserve">Bloqué</w:t>
            </w:r>
          </w:p>
        </w:tc>
      </w:tr>
      <w:tr>
        <w:tc>
          <w:tcPr/>
          <w:p>
            <w:pPr>
              <w:pStyle w:val="Compact"/>
            </w:pPr>
            <w:r>
              <w:rPr>
                <w:sz w:val="17"/>
              </w:rPr>
              <w:t xml:space="preserve">Doublon remboursé deux fois</w:t>
            </w:r>
          </w:p>
        </w:tc>
        <w:tc>
          <w:tcPr/>
          <w:p>
            <w:pPr>
              <w:pStyle w:val="Compact"/>
            </w:pPr>
            <w:r>
              <w:rPr>
                <w:sz w:val="17"/>
              </w:rPr>
              <w:t xml:space="preserve">Ligne de relevé rapprochée du paiement non affecté ; une restitution par unité d’argent</w:t>
            </w:r>
          </w:p>
        </w:tc>
        <w:tc>
          <w:tcPr/>
          <w:p>
            <w:pPr>
              <w:pStyle w:val="Compact"/>
            </w:pPr>
            <w:r>
              <w:rPr>
                <w:sz w:val="17"/>
              </w:rPr>
              <w:t xml:space="preserve">Bloqué</w:t>
            </w:r>
          </w:p>
        </w:tc>
      </w:tr>
      <w:tr>
        <w:tc>
          <w:tcPr>
            <w:shd w:val="clear" w:color="auto" w:fill="F5F7FB"/>
          </w:tcPr>
          <w:p>
            <w:pPr>
              <w:pStyle w:val="Compact"/>
            </w:pPr>
            <w:r>
              <w:rPr>
                <w:sz w:val="17"/>
              </w:rPr>
              <w:t xml:space="preserve">Crédit bancaire orphelin ou règlement manquant « classé »</w:t>
            </w:r>
          </w:p>
        </w:tc>
        <w:tc>
          <w:tcPr>
            <w:shd w:val="clear" w:color="auto" w:fill="F5F7FB"/>
          </w:tcPr>
          <w:p>
            <w:pPr>
              <w:pStyle w:val="Compact"/>
            </w:pPr>
            <w:r>
              <w:rPr>
                <w:sz w:val="17"/>
              </w:rPr>
              <w:t xml:space="preserve">Exception d’argent close seulement par suspens, rapprochement ou opération exécutée, avec justificatif ; créances prestataires vieillies, alerte à 3 jours, clôture bloquée</w:t>
            </w:r>
          </w:p>
        </w:tc>
        <w:tc>
          <w:tcPr>
            <w:shd w:val="clear" w:color="auto" w:fill="F5F7FB"/>
          </w:tcPr>
          <w:p>
            <w:pPr>
              <w:pStyle w:val="Compact"/>
            </w:pPr>
            <w:r>
              <w:rPr>
                <w:sz w:val="17"/>
              </w:rPr>
              <w:t xml:space="preserve">Bloqué + détecté</w:t>
            </w:r>
          </w:p>
        </w:tc>
      </w:tr>
      <w:tr>
        <w:tc>
          <w:tcPr/>
          <w:p>
            <w:pPr>
              <w:pStyle w:val="Compact"/>
            </w:pPr>
            <w:r>
              <w:rPr>
                <w:sz w:val="17"/>
              </w:rPr>
              <w:t xml:space="preserve">Contre-écriture qui efface une recette</w:t>
            </w:r>
          </w:p>
        </w:tc>
        <w:tc>
          <w:tcPr/>
          <w:p>
            <w:pPr>
              <w:pStyle w:val="Compact"/>
            </w:pPr>
            <w:r>
              <w:rPr>
                <w:sz w:val="17"/>
              </w:rPr>
              <w:t xml:space="preserve">Interdite sur les écritures liées à un paiement, une obligation ou un suspens ; contrôle de cohérence grand livre ↔ états métier avec alerte</w:t>
            </w:r>
          </w:p>
        </w:tc>
        <w:tc>
          <w:tcPr/>
          <w:p>
            <w:pPr>
              <w:pStyle w:val="Compact"/>
            </w:pPr>
            <w:r>
              <w:rPr>
                <w:sz w:val="17"/>
              </w:rPr>
              <w:t xml:space="preserve">Bloqué + détecté</w:t>
            </w:r>
          </w:p>
        </w:tc>
      </w:tr>
      <w:tr>
        <w:tc>
          <w:tcPr>
            <w:shd w:val="clear" w:color="auto" w:fill="F5F7FB"/>
          </w:tcPr>
          <w:p>
            <w:pPr>
              <w:pStyle w:val="Compact"/>
            </w:pPr>
            <w:r>
              <w:rPr>
                <w:sz w:val="17"/>
              </w:rPr>
              <w:t xml:space="preserve">Remboursement vers un autre compte</w:t>
            </w:r>
          </w:p>
        </w:tc>
        <w:tc>
          <w:tcPr>
            <w:shd w:val="clear" w:color="auto" w:fill="F5F7FB"/>
          </w:tcPr>
          <w:p>
            <w:pPr>
              <w:pStyle w:val="Compact"/>
            </w:pPr>
            <w:r>
              <w:rPr>
                <w:sz w:val="17"/>
              </w:rPr>
              <w:t xml:space="preserve">Destination = instrument d’origine seulement ; référence du remboursement et pièce obligatoires ; troisième approbation au-delà d’un seuil</w:t>
            </w:r>
          </w:p>
        </w:tc>
        <w:tc>
          <w:tcPr>
            <w:shd w:val="clear" w:color="auto" w:fill="F5F7FB"/>
          </w:tcPr>
          <w:p>
            <w:pPr>
              <w:pStyle w:val="Compact"/>
            </w:pPr>
            <w:r>
              <w:rPr>
                <w:sz w:val="17"/>
              </w:rPr>
              <w:t xml:space="preserve">Bloqué</w:t>
            </w:r>
          </w:p>
        </w:tc>
      </w:tr>
      <w:tr>
        <w:tc>
          <w:tcPr/>
          <w:p>
            <w:pPr>
              <w:pStyle w:val="Compact"/>
            </w:pPr>
            <w:r>
              <w:rPr>
                <w:sz w:val="17"/>
              </w:rPr>
              <w:t xml:space="preserve">Détournement du compte bénéficiaire</w:t>
            </w:r>
          </w:p>
        </w:tc>
        <w:tc>
          <w:tcPr/>
          <w:p>
            <w:pPr>
              <w:pStyle w:val="Compact"/>
            </w:pPr>
            <w:r>
              <w:rPr>
                <w:sz w:val="17"/>
              </w:rPr>
              <w:t xml:space="preserve">Double validation, délai de carence avec veto, version du compte enregistrée sur chaque ordre et chaque ligne de relevé</w:t>
            </w:r>
          </w:p>
        </w:tc>
        <w:tc>
          <w:tcPr/>
          <w:p>
            <w:pPr>
              <w:pStyle w:val="Compact"/>
            </w:pPr>
            <w:r>
              <w:rPr>
                <w:sz w:val="17"/>
              </w:rPr>
              <w:t xml:space="preserve">Bloqué + détecté</w:t>
            </w:r>
          </w:p>
        </w:tc>
      </w:tr>
      <w:tr>
        <w:tc>
          <w:tcPr>
            <w:shd w:val="clear" w:color="auto" w:fill="F5F7FB"/>
          </w:tcPr>
          <w:p>
            <w:pPr>
              <w:pStyle w:val="Compact"/>
            </w:pPr>
            <w:r>
              <w:rPr>
                <w:sz w:val="17"/>
              </w:rPr>
              <w:t xml:space="preserve">Espèces gardées par un point agréé, faux bordereau</w:t>
            </w:r>
          </w:p>
        </w:tc>
        <w:tc>
          <w:tcPr>
            <w:shd w:val="clear" w:color="auto" w:fill="F5F7FB"/>
          </w:tcPr>
          <w:p>
            <w:pPr>
              <w:pStyle w:val="Compact"/>
            </w:pPr>
            <w:r>
              <w:rPr>
                <w:sz w:val="17"/>
              </w:rPr>
              <w:t xml:space="preserve">Délai compté depuis la fin de la journée de caisse ; versement « déclaré » jusqu’au rapprochement bancaire en double validation ; bordereau unique ; contrôle horaire des retards</w:t>
            </w:r>
          </w:p>
        </w:tc>
        <w:tc>
          <w:tcPr>
            <w:shd w:val="clear" w:color="auto" w:fill="F5F7FB"/>
          </w:tcPr>
          <w:p>
            <w:pPr>
              <w:pStyle w:val="Compact"/>
            </w:pPr>
            <w:r>
              <w:rPr>
                <w:sz w:val="17"/>
              </w:rPr>
              <w:t xml:space="preserve">Bloqué + détecté</w:t>
            </w:r>
          </w:p>
        </w:tc>
      </w:tr>
      <w:tr>
        <w:tc>
          <w:tcPr/>
          <w:p>
            <w:pPr>
              <w:pStyle w:val="Compact"/>
            </w:pPr>
            <w:r>
              <w:rPr>
                <w:sz w:val="17"/>
              </w:rPr>
              <w:t xml:space="preserve">Espèces sur une obligation annulée</w:t>
            </w:r>
          </w:p>
        </w:tc>
        <w:tc>
          <w:tcPr/>
          <w:p>
            <w:pPr>
              <w:pStyle w:val="Compact"/>
            </w:pPr>
            <w:r>
              <w:rPr>
                <w:sz w:val="17"/>
              </w:rPr>
              <w:t xml:space="preserve">Référence close à l’annulation ; encaissement refusé</w:t>
            </w:r>
          </w:p>
        </w:tc>
        <w:tc>
          <w:tcPr/>
          <w:p>
            <w:pPr>
              <w:pStyle w:val="Compact"/>
            </w:pPr>
            <w:r>
              <w:rPr>
                <w:sz w:val="17"/>
              </w:rPr>
              <w:t xml:space="preserve">Bloqué</w:t>
            </w:r>
          </w:p>
        </w:tc>
      </w:tr>
      <w:tr>
        <w:tc>
          <w:tcPr>
            <w:shd w:val="clear" w:color="auto" w:fill="F5F7FB"/>
          </w:tcPr>
          <w:p>
            <w:pPr>
              <w:pStyle w:val="Compact"/>
            </w:pPr>
            <w:r>
              <w:rPr>
                <w:sz w:val="17"/>
              </w:rPr>
              <w:t xml:space="preserve">Point suspendu rétabli par complicité</w:t>
            </w:r>
          </w:p>
        </w:tc>
        <w:tc>
          <w:tcPr>
            <w:shd w:val="clear" w:color="auto" w:fill="F5F7FB"/>
          </w:tcPr>
          <w:p>
            <w:pPr>
              <w:pStyle w:val="Compact"/>
            </w:pPr>
            <w:r>
              <w:rPr>
                <w:sz w:val="17"/>
              </w:rPr>
              <w:t xml:space="preserve">Rétablissement et rejet de proposition en double validation</w:t>
            </w:r>
          </w:p>
        </w:tc>
        <w:tc>
          <w:tcPr>
            <w:shd w:val="clear" w:color="auto" w:fill="F5F7FB"/>
          </w:tcPr>
          <w:p>
            <w:pPr>
              <w:pStyle w:val="Compact"/>
            </w:pPr>
            <w:r>
              <w:rPr>
                <w:sz w:val="17"/>
              </w:rPr>
              <w:t xml:space="preserve">Bloqué</w:t>
            </w:r>
          </w:p>
        </w:tc>
      </w:tr>
      <w:tr>
        <w:tc>
          <w:tcPr/>
          <w:p>
            <w:pPr>
              <w:pStyle w:val="Compact"/>
            </w:pPr>
            <w:r>
              <w:rPr>
                <w:sz w:val="17"/>
              </w:rPr>
              <w:t xml:space="preserve">Dette réduite à zéro par une seule personne</w:t>
            </w:r>
          </w:p>
        </w:tc>
        <w:tc>
          <w:tcPr/>
          <w:p>
            <w:pPr>
              <w:pStyle w:val="Compact"/>
            </w:pPr>
            <w:r>
              <w:rPr>
                <w:sz w:val="17"/>
              </w:rPr>
              <w:t xml:space="preserve">Remise calculée depuis le taux certifié, plafond cumulé sur toute la chaîne, instruction puis décision par des personnes distinctes ; mise à zéro seulement par admission en non-valeur, jamais « soldée »</w:t>
            </w:r>
          </w:p>
        </w:tc>
        <w:tc>
          <w:tcPr/>
          <w:p>
            <w:pPr>
              <w:pStyle w:val="Compact"/>
            </w:pPr>
            <w:r>
              <w:rPr>
                <w:sz w:val="17"/>
              </w:rPr>
              <w:t xml:space="preserve">Bloqué</w:t>
            </w:r>
          </w:p>
        </w:tc>
      </w:tr>
      <w:tr>
        <w:tc>
          <w:tcPr>
            <w:shd w:val="clear" w:color="auto" w:fill="F5F7FB"/>
          </w:tcPr>
          <w:p>
            <w:pPr>
              <w:pStyle w:val="Compact"/>
            </w:pPr>
            <w:r>
              <w:rPr>
                <w:sz w:val="17"/>
              </w:rPr>
              <w:t xml:space="preserve">Réclamation, correction de déclaration, exonération complaisantes</w:t>
            </w:r>
          </w:p>
        </w:tc>
        <w:tc>
          <w:tcPr>
            <w:shd w:val="clear" w:color="auto" w:fill="F5F7FB"/>
          </w:tcPr>
          <w:p>
            <w:pPr>
              <w:pStyle w:val="Compact"/>
            </w:pPr>
            <w:r>
              <w:rPr>
                <w:sz w:val="17"/>
              </w:rPr>
              <w:t xml:space="preserve">Montant justifié, instructeur ≠ décideur, conflit d’intérêts, taux plafonné par la règle, double validation des baisses</w:t>
            </w:r>
          </w:p>
        </w:tc>
        <w:tc>
          <w:tcPr>
            <w:shd w:val="clear" w:color="auto" w:fill="F5F7FB"/>
          </w:tcPr>
          <w:p>
            <w:pPr>
              <w:pStyle w:val="Compact"/>
            </w:pPr>
            <w:r>
              <w:rPr>
                <w:sz w:val="17"/>
              </w:rPr>
              <w:t xml:space="preserve">Bloqué</w:t>
            </w:r>
          </w:p>
        </w:tc>
      </w:tr>
      <w:tr>
        <w:tc>
          <w:tcPr/>
          <w:p>
            <w:pPr>
              <w:pStyle w:val="Compact"/>
            </w:pPr>
            <w:r>
              <w:rPr>
                <w:sz w:val="17"/>
              </w:rPr>
              <w:t xml:space="preserve">Rang de localité ou base d’imposition minorés</w:t>
            </w:r>
          </w:p>
        </w:tc>
        <w:tc>
          <w:tcPr/>
          <w:p>
            <w:pPr>
              <w:pStyle w:val="Compact"/>
            </w:pPr>
            <w:r>
              <w:rPr>
                <w:sz w:val="17"/>
              </w:rPr>
              <w:t xml:space="preserve">Rang déclaré provisoire, confirmé par une autre personne, re-liquidation ; base inférieure aux données connues soumise à approbation</w:t>
            </w:r>
          </w:p>
        </w:tc>
        <w:tc>
          <w:tcPr/>
          <w:p>
            <w:pPr>
              <w:pStyle w:val="Compact"/>
            </w:pPr>
            <w:r>
              <w:rPr>
                <w:sz w:val="17"/>
              </w:rPr>
              <w:t xml:space="preserve">Bloqué + détecté</w:t>
            </w:r>
          </w:p>
        </w:tc>
      </w:tr>
      <w:tr>
        <w:tc>
          <w:tcPr>
            <w:shd w:val="clear" w:color="auto" w:fill="F5F7FB"/>
          </w:tcPr>
          <w:p>
            <w:pPr>
              <w:pStyle w:val="Compact"/>
            </w:pPr>
            <w:r>
              <w:rPr>
                <w:sz w:val="17"/>
              </w:rPr>
              <w:t xml:space="preserve">Plan d’échelonnement abandonné</w:t>
            </w:r>
          </w:p>
        </w:tc>
        <w:tc>
          <w:tcPr>
            <w:shd w:val="clear" w:color="auto" w:fill="F5F7FB"/>
          </w:tcPr>
          <w:p>
            <w:pPr>
              <w:pStyle w:val="Compact"/>
            </w:pPr>
            <w:r>
              <w:rPr>
                <w:sz w:val="17"/>
              </w:rPr>
              <w:t xml:space="preserve">Défaut proposé automatiquement, alerte, obligation en retard à la dernière échéance</w:t>
            </w:r>
          </w:p>
        </w:tc>
        <w:tc>
          <w:tcPr>
            <w:shd w:val="clear" w:color="auto" w:fill="F5F7FB"/>
          </w:tcPr>
          <w:p>
            <w:pPr>
              <w:pStyle w:val="Compact"/>
            </w:pPr>
            <w:r>
              <w:rPr>
                <w:sz w:val="17"/>
              </w:rPr>
              <w:t xml:space="preserve">Détecté</w:t>
            </w:r>
          </w:p>
        </w:tc>
      </w:tr>
      <w:tr>
        <w:tc>
          <w:tcPr/>
          <w:p>
            <w:pPr>
              <w:pStyle w:val="Compact"/>
            </w:pPr>
            <w:r>
              <w:rPr>
                <w:sz w:val="17"/>
              </w:rPr>
              <w:t xml:space="preserve">Suspension d’un barème pour « oublier » des pénalités</w:t>
            </w:r>
          </w:p>
        </w:tc>
        <w:tc>
          <w:tcPr/>
          <w:p>
            <w:pPr>
              <w:pStyle w:val="Compact"/>
            </w:pPr>
            <w:r>
              <w:rPr>
                <w:sz w:val="17"/>
              </w:rPr>
              <w:t xml:space="preserve">Suspension et levée en double validation ; alerte si courte ou si des décisions ont eu lieu pendant la suspension</w:t>
            </w:r>
          </w:p>
        </w:tc>
        <w:tc>
          <w:tcPr/>
          <w:p>
            <w:pPr>
              <w:pStyle w:val="Compact"/>
            </w:pPr>
            <w:r>
              <w:rPr>
                <w:sz w:val="17"/>
              </w:rPr>
              <w:t xml:space="preserve">Bloqué + détecté</w:t>
            </w:r>
          </w:p>
        </w:tc>
      </w:tr>
      <w:tr>
        <w:tc>
          <w:tcPr>
            <w:shd w:val="clear" w:color="auto" w:fill="F5F7FB"/>
          </w:tcPr>
          <w:p>
            <w:pPr>
              <w:pStyle w:val="Compact"/>
            </w:pPr>
            <w:r>
              <w:rPr>
                <w:sz w:val="17"/>
              </w:rPr>
              <w:t xml:space="preserve">Commission sur de faux constats ou des paiements spontanés</w:t>
            </w:r>
          </w:p>
        </w:tc>
        <w:tc>
          <w:tcPr>
            <w:shd w:val="clear" w:color="auto" w:fill="F5F7FB"/>
          </w:tcPr>
          <w:p>
            <w:pPr>
              <w:pStyle w:val="Compact"/>
            </w:pPr>
            <w:r>
              <w:rPr>
                <w:sz w:val="17"/>
              </w:rPr>
              <w:t xml:space="preserve">Commission seulement sur dossiers retenus et constats validés avec photo ; présence GPS et délai de grâce ; premier contrôle classé à l’heure serveur ; attribution figée après rapprochement</w:t>
            </w:r>
          </w:p>
        </w:tc>
        <w:tc>
          <w:tcPr>
            <w:shd w:val="clear" w:color="auto" w:fill="F5F7FB"/>
          </w:tcPr>
          <w:p>
            <w:pPr>
              <w:pStyle w:val="Compact"/>
            </w:pPr>
            <w:r>
              <w:rPr>
                <w:sz w:val="17"/>
              </w:rPr>
              <w:t xml:space="preserve">Bloqué</w:t>
            </w:r>
          </w:p>
        </w:tc>
      </w:tr>
      <w:tr>
        <w:tc>
          <w:tcPr/>
          <w:p>
            <w:pPr>
              <w:pStyle w:val="Compact"/>
            </w:pPr>
            <w:r>
              <w:rPr>
                <w:sz w:val="17"/>
              </w:rPr>
              <w:t xml:space="preserve">Agent qui multiplie les constats</w:t>
            </w:r>
          </w:p>
        </w:tc>
        <w:tc>
          <w:tcPr/>
          <w:p>
            <w:pPr>
              <w:pStyle w:val="Compact"/>
            </w:pPr>
            <w:r>
              <w:rPr>
                <w:sz w:val="17"/>
              </w:rPr>
              <w:t xml:space="preserve">Signaux comparés aux pairs, alertes, contre-vérification aléatoire de 5 % des constats retenus</w:t>
            </w:r>
          </w:p>
        </w:tc>
        <w:tc>
          <w:tcPr/>
          <w:p>
            <w:pPr>
              <w:pStyle w:val="Compact"/>
            </w:pPr>
            <w:r>
              <w:rPr>
                <w:sz w:val="17"/>
              </w:rPr>
              <w:t xml:space="preserve">Détecté</w:t>
            </w:r>
          </w:p>
        </w:tc>
      </w:tr>
      <w:tr>
        <w:tc>
          <w:tcPr>
            <w:shd w:val="clear" w:color="auto" w:fill="F5F7FB"/>
          </w:tcPr>
          <w:p>
            <w:pPr>
              <w:pStyle w:val="Compact"/>
            </w:pPr>
            <w:r>
              <w:rPr>
                <w:sz w:val="17"/>
              </w:rPr>
              <w:t xml:space="preserve">Journal d’audit tronqué ou sauvegarde ancienne restaurée</w:t>
            </w:r>
          </w:p>
        </w:tc>
        <w:tc>
          <w:tcPr>
            <w:shd w:val="clear" w:color="auto" w:fill="F5F7FB"/>
          </w:tcPr>
          <w:p>
            <w:pPr>
              <w:pStyle w:val="Compact"/>
            </w:pPr>
            <w:r>
              <w:rPr>
                <w:sz w:val="17"/>
              </w:rPr>
              <w:t xml:space="preserve">Tête de la chaîne ancrée hors base ; démarrage refusé si la chaîne est plus courte ou différente ; restauration tracée, retour arrière sur confirmation explicite ; déclencheur d’ajout seul non contournable</w:t>
            </w:r>
          </w:p>
        </w:tc>
        <w:tc>
          <w:tcPr>
            <w:shd w:val="clear" w:color="auto" w:fill="F5F7FB"/>
          </w:tcPr>
          <w:p>
            <w:pPr>
              <w:pStyle w:val="Compact"/>
            </w:pPr>
            <w:r>
              <w:rPr>
                <w:sz w:val="17"/>
              </w:rPr>
              <w:t xml:space="preserve">Bloqué + détecté</w:t>
            </w:r>
          </w:p>
        </w:tc>
      </w:tr>
      <w:tr>
        <w:tc>
          <w:tcPr/>
          <w:p>
            <w:pPr>
              <w:pStyle w:val="Compact"/>
            </w:pPr>
            <w:r>
              <w:rPr>
                <w:sz w:val="17"/>
              </w:rPr>
              <w:t xml:space="preserve">Réductions dispersées, invisibles</w:t>
            </w:r>
          </w:p>
        </w:tc>
        <w:tc>
          <w:tcPr/>
          <w:p>
            <w:pPr>
              <w:pStyle w:val="Compact"/>
            </w:pPr>
            <w:r>
              <w:rPr>
                <w:sz w:val="17"/>
              </w:rPr>
              <w:t xml:space="preserve">Rapport des réductions de recettes (brut, réductions par type et par décideur, net, recouvré, rapproché au centime) ; alertes de concentration ; recettes potentielles non liquidées (sans montant inventé)</w:t>
            </w:r>
          </w:p>
        </w:tc>
        <w:tc>
          <w:tcPr/>
          <w:p>
            <w:pPr>
              <w:pStyle w:val="Compact"/>
            </w:pPr>
            <w:r>
              <w:rPr>
                <w:sz w:val="17"/>
              </w:rPr>
              <w:t xml:space="preserve">Détecté</w:t>
            </w:r>
          </w:p>
        </w:tc>
      </w:tr>
      <w:tr>
        <w:tc>
          <w:tcPr>
            <w:shd w:val="clear" w:color="auto" w:fill="F5F7FB"/>
          </w:tcPr>
          <w:p>
            <w:pPr>
              <w:pStyle w:val="Compact"/>
            </w:pPr>
            <w:r>
              <w:rPr>
                <w:sz w:val="17"/>
              </w:rPr>
              <w:t xml:space="preserve">Confirmation de paiement rejouée ou interceptée</w:t>
            </w:r>
          </w:p>
        </w:tc>
        <w:tc>
          <w:tcPr>
            <w:shd w:val="clear" w:color="auto" w:fill="F5F7FB"/>
          </w:tcPr>
          <w:p>
            <w:pPr>
              <w:pStyle w:val="Compact"/>
            </w:pPr>
            <w:r>
              <w:rPr>
                <w:sz w:val="17"/>
              </w:rPr>
              <w:t xml:space="preserve">Signature v2 couvrant horodatage, nonce et corps ; fenêtre de ± 5 min ; nonce déjà vu refusé, même après redémarrage (registre persisté) ; rotation des secrets par identifiant de clé</w:t>
            </w:r>
          </w:p>
        </w:tc>
        <w:tc>
          <w:tcPr>
            <w:shd w:val="clear" w:color="auto" w:fill="F5F7FB"/>
          </w:tcPr>
          <w:p>
            <w:pPr>
              <w:pStyle w:val="Compact"/>
            </w:pPr>
            <w:r>
              <w:rPr>
                <w:sz w:val="17"/>
              </w:rPr>
              <w:t xml:space="preserve">Bloqué</w:t>
            </w:r>
          </w:p>
        </w:tc>
      </w:tr>
      <w:tr>
        <w:tc>
          <w:tcPr/>
          <w:p>
            <w:pPr>
              <w:pStyle w:val="Compact"/>
            </w:pPr>
            <w:r>
              <w:rPr>
                <w:sz w:val="17"/>
              </w:rPr>
              <w:t xml:space="preserve">Paiement sur une référence restée ouverte après solde, annulation ou non-valeur</w:t>
            </w:r>
          </w:p>
        </w:tc>
        <w:tc>
          <w:tcPr/>
          <w:p>
            <w:pPr>
              <w:pStyle w:val="Compact"/>
            </w:pPr>
            <w:r>
              <w:rPr>
                <w:sz w:val="17"/>
              </w:rPr>
              <w:t xml:space="preserve">Références actives closes automatiquement dès que l’obligation n’est plus payable ; tout versement tardif porté en paiement non affecté, sans quittance</w:t>
            </w:r>
          </w:p>
        </w:tc>
        <w:tc>
          <w:tcPr/>
          <w:p>
            <w:pPr>
              <w:pStyle w:val="Compact"/>
            </w:pPr>
            <w:r>
              <w:rPr>
                <w:sz w:val="17"/>
              </w:rPr>
              <w:t xml:space="preserve">Bloqué</w:t>
            </w:r>
          </w:p>
        </w:tc>
      </w:tr>
      <w:tr>
        <w:tc>
          <w:tcPr>
            <w:shd w:val="clear" w:color="auto" w:fill="F5F7FB"/>
          </w:tcPr>
          <w:p>
            <w:pPr>
              <w:pStyle w:val="Compact"/>
            </w:pPr>
            <w:r>
              <w:rPr>
                <w:sz w:val="17"/>
              </w:rPr>
              <w:t xml:space="preserve">Versement de point agréé jamais rapproché</w:t>
            </w:r>
          </w:p>
        </w:tc>
        <w:tc>
          <w:tcPr>
            <w:shd w:val="clear" w:color="auto" w:fill="F5F7FB"/>
          </w:tcPr>
          <w:p>
            <w:pPr>
              <w:pStyle w:val="Compact"/>
            </w:pPr>
            <w:r>
              <w:rPr>
                <w:sz w:val="17"/>
              </w:rPr>
              <w:t xml:space="preserve">Rapprochement automatique à l’import du relevé du Trésor ou à la déclaration du versement ; écart de montant, mauvais compte ou double crédit → exception du Trésor ; crédits orphelins résolus avec référence, jamais supprimés</w:t>
            </w:r>
          </w:p>
        </w:tc>
        <w:tc>
          <w:tcPr>
            <w:shd w:val="clear" w:color="auto" w:fill="F5F7FB"/>
          </w:tcPr>
          <w:p>
            <w:pPr>
              <w:pStyle w:val="Compact"/>
            </w:pPr>
            <w:r>
              <w:rPr>
                <w:sz w:val="17"/>
              </w:rPr>
              <w:t xml:space="preserve">Bloqué + détecté</w:t>
            </w:r>
          </w:p>
        </w:tc>
      </w:tr>
      <w:tr>
        <w:tc>
          <w:tcPr/>
          <w:p>
            <w:pPr>
              <w:pStyle w:val="Compact"/>
            </w:pPr>
            <w:r>
              <w:rPr>
                <w:sz w:val="17"/>
              </w:rPr>
              <w:t xml:space="preserve">Commission versée sans contrôle humain</w:t>
            </w:r>
          </w:p>
        </w:tc>
        <w:tc>
          <w:tcPr/>
          <w:p>
            <w:pPr>
              <w:pStyle w:val="Compact"/>
            </w:pPr>
            <w:r>
              <w:rPr>
                <w:sz w:val="17"/>
              </w:rPr>
              <w:t xml:space="preserve">Commission payable seulement après validation par un superviseur distinct de l’agent et du vérificateur du constat ; montant recalculé à la validation</w:t>
            </w:r>
          </w:p>
        </w:tc>
        <w:tc>
          <w:tcPr/>
          <w:p>
            <w:pPr>
              <w:pStyle w:val="Compact"/>
            </w:pPr>
            <w:r>
              <w:rPr>
                <w:sz w:val="17"/>
              </w:rPr>
              <w:t xml:space="preserve">Bloqué</w:t>
            </w:r>
          </w:p>
        </w:tc>
      </w:tr>
      <w:tr>
        <w:tc>
          <w:tcPr>
            <w:shd w:val="clear" w:color="auto" w:fill="F5F7FB"/>
          </w:tcPr>
          <w:p>
            <w:pPr>
              <w:pStyle w:val="Compact"/>
            </w:pPr>
            <w:r>
              <w:rPr>
                <w:sz w:val="17"/>
              </w:rPr>
              <w:t xml:space="preserve">Binôme complice sous double validation</w:t>
            </w:r>
          </w:p>
        </w:tc>
        <w:tc>
          <w:tcPr>
            <w:shd w:val="clear" w:color="auto" w:fill="F5F7FB"/>
          </w:tcPr>
          <w:p>
            <w:pPr>
              <w:pStyle w:val="Compact"/>
            </w:pPr>
            <w:r>
              <w:rPr>
                <w:sz w:val="17"/>
              </w:rPr>
              <w:t xml:space="preserve">Détecteur de collusion (paires récurrentes, validations éclair, hors heures, approbateur qui ne refuse jamais) sur 17 circuits, exécuté chaque jour et à la demande ; rotation obligatoire activable</w:t>
            </w:r>
          </w:p>
        </w:tc>
        <w:tc>
          <w:tcPr>
            <w:shd w:val="clear" w:color="auto" w:fill="F5F7FB"/>
          </w:tcPr>
          <w:p>
            <w:pPr>
              <w:pStyle w:val="Compact"/>
            </w:pPr>
            <w:r>
              <w:rPr>
                <w:sz w:val="17"/>
              </w:rPr>
              <w:t xml:space="preserve">Détecté (bloquable)</w:t>
            </w:r>
          </w:p>
        </w:tc>
      </w:tr>
      <w:tr>
        <w:tc>
          <w:tcPr/>
          <w:p>
            <w:pPr>
              <w:pStyle w:val="Compact"/>
            </w:pPr>
            <w:r>
              <w:rPr>
                <w:sz w:val="17"/>
              </w:rPr>
              <w:t xml:space="preserve">Clé absente, de démonstration ou partagée entre deux usages</w:t>
            </w:r>
          </w:p>
        </w:tc>
        <w:tc>
          <w:tcPr/>
          <w:p>
            <w:pPr>
              <w:pStyle w:val="Compact"/>
            </w:pPr>
            <w:r>
              <w:rPr>
                <w:sz w:val="17"/>
              </w:rPr>
              <w:t xml:space="preserve">Démarrage refusé hors démonstration ; écran de santé des clés (empreinte, âge, alertes), sans jamais révéler un secret</w:t>
            </w:r>
          </w:p>
        </w:tc>
        <w:tc>
          <w:tcPr/>
          <w:p>
            <w:pPr>
              <w:pStyle w:val="Compact"/>
            </w:pPr>
            <w:r>
              <w:rPr>
                <w:sz w:val="17"/>
              </w:rPr>
              <w:t xml:space="preserve">Bloqué + détecté</w:t>
            </w:r>
          </w:p>
        </w:tc>
      </w:tr>
      <w:tr>
        <w:tc>
          <w:tcPr>
            <w:shd w:val="clear" w:color="auto" w:fill="F5F7FB"/>
          </w:tcPr>
          <w:p>
            <w:pPr>
              <w:pStyle w:val="Compact"/>
            </w:pPr>
            <w:r>
              <w:rPr>
                <w:sz w:val="17"/>
              </w:rPr>
              <w:t xml:space="preserve">Journées comptées en UTC (écart d’un jour à 23 h)</w:t>
            </w:r>
          </w:p>
        </w:tc>
        <w:tc>
          <w:tcPr>
            <w:shd w:val="clear" w:color="auto" w:fill="F5F7FB"/>
          </w:tcPr>
          <w:p>
            <w:pPr>
              <w:pStyle w:val="Compact"/>
            </w:pPr>
            <w:r>
              <w:rPr>
                <w:sz w:val="17"/>
              </w:rPr>
              <w:t xml:space="preserve">Échéances, journées de caisse, indicateurs du jour, transparence et rapports en journées de Kinshasa (UTC+1)</w:t>
            </w:r>
          </w:p>
        </w:tc>
        <w:tc>
          <w:tcPr>
            <w:shd w:val="clear" w:color="auto" w:fill="F5F7FB"/>
          </w:tcPr>
          <w:p>
            <w:pPr>
              <w:pStyle w:val="Compact"/>
            </w:pPr>
            <w:r>
              <w:rPr>
                <w:sz w:val="17"/>
              </w:rPr>
              <w:t xml:space="preserve">Bloqué</w:t>
            </w:r>
          </w:p>
        </w:tc>
      </w:tr>
    </w:tbl>
    <w:p>
      <w:pPr>
        <w:pStyle w:val="BodyText"/>
      </w:pPr>
      <w:r>
        <w:rPr>
          <w:b/>
          <w:bCs/>
        </w:rPr>
        <w:t xml:space="preserve">Mise en production : paramètres obligatoires.</w:t>
      </w:r>
      <w:r>
        <w:t xml:space="preserve"> </w:t>
      </w:r>
      <w:r>
        <w:t xml:space="preserve">Hors démonstration, le serveur refuse de démarrer sans : secrets des prestataires (</w:t>
      </w:r>
      <w:r>
        <w:rPr>
          <w:rStyle w:val="VerbatimChar"/>
        </w:rPr>
        <w:t xml:space="preserve">MOSOLO_PROVIDER_SECRET_*</w:t>
      </w:r>
      <w:r>
        <w:t xml:space="preserve">), clés de signature des quittances et des clôtures (</w:t>
      </w:r>
      <w:r>
        <w:rPr>
          <w:rStyle w:val="VerbatimChar"/>
        </w:rPr>
        <w:t xml:space="preserve">MOSOLO_RECEIPT_SIGNING_KEY</w:t>
      </w:r>
      <w:r>
        <w:t xml:space="preserve">,</w:t>
      </w:r>
      <w:r>
        <w:t xml:space="preserve"> </w:t>
      </w:r>
      <w:r>
        <w:rPr>
          <w:rStyle w:val="VerbatimChar"/>
        </w:rPr>
        <w:t xml:space="preserve">MOSOLO_CLOSURE_SIGNING_KEY</w:t>
      </w:r>
      <w:r>
        <w:t xml:space="preserve">), clé et ancre de l’audit (</w:t>
      </w:r>
      <w:r>
        <w:rPr>
          <w:rStyle w:val="VerbatimChar"/>
        </w:rPr>
        <w:t xml:space="preserve">MOSOLO_AUDIT_HMAC_KEY</w:t>
      </w:r>
      <w:r>
        <w:t xml:space="preserve">,</w:t>
      </w:r>
      <w:r>
        <w:t xml:space="preserve"> </w:t>
      </w:r>
      <w:r>
        <w:rPr>
          <w:rStyle w:val="VerbatimChar"/>
        </w:rPr>
        <w:t xml:space="preserve">MOSOLO_AUDIT_ANCHOR_PATH</w:t>
      </w:r>
      <w:r>
        <w:t xml:space="preserve">), adresse publique (</w:t>
      </w:r>
      <w:r>
        <w:rPr>
          <w:rStyle w:val="VerbatimChar"/>
        </w:rPr>
        <w:t xml:space="preserve">MOSOLO_PUBLIC_URL</w:t>
      </w:r>
      <w:r>
        <w:t xml:space="preserve">), origines autorisées (</w:t>
      </w:r>
      <w:r>
        <w:rPr>
          <w:rStyle w:val="VerbatimChar"/>
        </w:rPr>
        <w:t xml:space="preserve">MOSOLO_CORS_ORIGINS</w:t>
      </w:r>
      <w:r>
        <w:t xml:space="preserve">), clé des jetons (</w:t>
      </w:r>
      <w:r>
        <w:rPr>
          <w:rStyle w:val="VerbatimChar"/>
        </w:rPr>
        <w:t xml:space="preserve">MOSOLO_JWT_PRIVATE_KEY</w:t>
      </w:r>
      <w:r>
        <w:t xml:space="preserve">) et clé des sauvegardes (</w:t>
      </w:r>
      <w:r>
        <w:rPr>
          <w:rStyle w:val="VerbatimChar"/>
        </w:rPr>
        <w:t xml:space="preserve">MOSOLO_BACKUP_KEY</w:t>
      </w:r>
      <w:r>
        <w:t xml:space="preserve">) ; il refuse aussi une clé de démonstration, trop courte, éphémère ou réutilisée pour deux usages. Rotation sans interruption :</w:t>
      </w:r>
      <w:r>
        <w:t xml:space="preserve"> </w:t>
      </w:r>
      <w:r>
        <w:rPr>
          <w:rStyle w:val="VerbatimChar"/>
        </w:rPr>
        <w:t xml:space="preserve">MOSOLO_PROVIDER_SECRET_&lt;PRESTATAIRE&gt;=kid:secret,kid:secret</w:t>
      </w:r>
      <w:r>
        <w:t xml:space="preserve"> </w:t>
      </w:r>
      <w:r>
        <w:t xml:space="preserve">(la première clé signe, les suivantes restent acceptées) et</w:t>
      </w:r>
      <w:r>
        <w:t xml:space="preserve"> </w:t>
      </w:r>
      <w:r>
        <w:rPr>
          <w:rStyle w:val="VerbatimChar"/>
        </w:rPr>
        <w:t xml:space="preserve">MOSOLO_RECEIPT_VERIFY_KEYS</w:t>
      </w:r>
      <w:r>
        <w:t xml:space="preserve"> </w:t>
      </w:r>
      <w:r>
        <w:t xml:space="preserve">pour les clés publiques retirées des quittances ; âge des clés déclaré par</w:t>
      </w:r>
      <w:r>
        <w:t xml:space="preserve"> </w:t>
      </w:r>
      <w:r>
        <w:rPr>
          <w:rStyle w:val="VerbatimChar"/>
        </w:rPr>
        <w:t xml:space="preserve">MOSOLO_KEY_DATES</w:t>
      </w:r>
      <w:r>
        <w:t xml:space="preserve">. Le détail figure dans</w:t>
      </w:r>
      <w:r>
        <w:t xml:space="preserve"> </w:t>
      </w:r>
      <w:r>
        <w:rPr>
          <w:rStyle w:val="VerbatimChar"/>
        </w:rPr>
        <w:t xml:space="preserve">backend/README.md</w:t>
      </w:r>
      <w:r>
        <w:t xml:space="preserve">.</w:t>
      </w:r>
    </w:p>
    <w:p>
      <w:pPr>
        <w:pStyle w:val="BodyText"/>
      </w:pPr>
      <w:r>
        <w:rPr>
          <w:b/>
          <w:bCs/>
        </w:rPr>
        <w:t xml:space="preserve">Risques organisationnels : ce que le logiciel outille.</w:t>
      </w:r>
      <w:r>
        <w:t xml:space="preserve"> </w:t>
      </w:r>
      <w:r>
        <w:t xml:space="preserve">Le logiciel ne peut pas supprimer une complicité humaine ; il la rend coûteuse et visible :</w:t>
      </w:r>
    </w:p>
    <w:p>
      <w:pPr>
        <w:pStyle w:val="Compact"/>
        <w:numPr>
          <w:ilvl w:val="0"/>
          <w:numId w:val="1058"/>
        </w:numPr>
      </w:pPr>
      <w:r>
        <w:rPr>
          <w:b/>
          <w:bCs/>
        </w:rPr>
        <w:t xml:space="preserve">Collusion sous double validation</w:t>
      </w:r>
      <w:r>
        <w:t xml:space="preserve"> </w:t>
      </w:r>
      <w:r>
        <w:t xml:space="preserve">— détecteur quotidien sur tous les circuits à deux personnes (écran « Collusion », module Intégrité) ; alertes à l’audit interne, jamais de sanction automatique ; une personne ne voit jamais les signaux la concernant.</w:t>
      </w:r>
      <w:r>
        <w:t xml:space="preserve"> </w:t>
      </w:r>
      <w:r>
        <w:rPr>
          <w:b/>
          <w:bCs/>
        </w:rPr>
        <w:t xml:space="preserve">Rotation obligatoire</w:t>
      </w:r>
      <w:r>
        <w:t xml:space="preserve"> </w:t>
      </w:r>
      <w:r>
        <w:t xml:space="preserve">des binômes activable par une décision à deux (désactivée par défaut).</w:t>
      </w:r>
    </w:p>
    <w:p>
      <w:pPr>
        <w:pStyle w:val="Compact"/>
        <w:numPr>
          <w:ilvl w:val="0"/>
          <w:numId w:val="1058"/>
        </w:numPr>
      </w:pPr>
      <w:r>
        <w:rPr>
          <w:b/>
          <w:bCs/>
        </w:rPr>
        <w:t xml:space="preserve">Seuils anti-fraude</w:t>
      </w:r>
      <w:r>
        <w:t xml:space="preserve"> </w:t>
      </w:r>
      <w:r>
        <w:t xml:space="preserve">— registre unique de 58 paramètres (valeur, unité, fichier source) : chacun est « PAR_DÉFAUT — à confirmer par le maître d’ouvrage » tant qu’un acte n’est pas enregistré par une double validation ; un écart entre le code et la valeur confirmée le fait revenir à « PAR_DÉFAUT ».</w:t>
      </w:r>
    </w:p>
    <w:p>
      <w:pPr>
        <w:pStyle w:val="Compact"/>
        <w:numPr>
          <w:ilvl w:val="0"/>
          <w:numId w:val="1058"/>
        </w:numPr>
      </w:pPr>
      <w:r>
        <w:rPr>
          <w:b/>
          <w:bCs/>
        </w:rPr>
        <w:t xml:space="preserve">Gestion des clés</w:t>
      </w:r>
      <w:r>
        <w:t xml:space="preserve"> </w:t>
      </w:r>
      <w:r>
        <w:t xml:space="preserve">— écran de santé des clés et refus de démarrage sur toute anomalie critique ; rotation par identifiant de clé.</w:t>
      </w:r>
    </w:p>
    <w:p>
      <w:pPr>
        <w:pStyle w:val="FirstParagraph"/>
      </w:pPr>
      <w:r>
        <w:rPr>
          <w:b/>
          <w:bCs/>
        </w:rPr>
        <w:t xml:space="preserve">Risques résiduels (hors logiciel).</w:t>
      </w:r>
      <w:r>
        <w:t xml:space="preserve"> </w:t>
      </w:r>
      <w:r>
        <w:t xml:space="preserve">Collusion de trois personnes habilitées ou plus ; fausses pièces d’identité à l’enrôlement ; complicité au sein d’un prestataire de paiement ou d’une banque ; accès physique aux serveurs ; garde des clés. Parades : rotation des agents, contrôles mystère, inspection des services, revue des alertes par l’audit interne, ancrage externe de l’audit conservé par une autorité distincte, coffre de secrets, contrats et audits des prestataires.</w:t>
      </w:r>
    </w:p>
    <w:p>
      <w:pPr>
        <w:pStyle w:val="BodyText"/>
      </w:pPr>
      <w:r>
        <w:t xml:space="preserve">Tests :</w:t>
      </w:r>
      <w:r>
        <w:t xml:space="preserve"> </w:t>
      </w:r>
      <w:r>
        <w:rPr>
          <w:rStyle w:val="VerbatimChar"/>
        </w:rPr>
        <w:t xml:space="preserve">backend/test/{tresor-fuites,fraude-agents,reductions,reductions-gouvernance,plateforme-integrite,securite,money-path,commissions-terrain,callback-hmac,obligation-closure,kinshasa-dates,canaux-releve,integrite-gouvernance,commissions-validation}.test.ts</w:t>
      </w:r>
      <w:r>
        <w:t xml:space="preserve"> </w:t>
      </w:r>
      <w:r>
        <w:t xml:space="preserve">et ajouts dans</w:t>
      </w:r>
      <w:r>
        <w:t xml:space="preserve"> </w:t>
      </w:r>
      <w:r>
        <w:rPr>
          <w:rStyle w:val="VerbatimChar"/>
        </w:rPr>
        <w:t xml:space="preserve">acces</w:t>
      </w:r>
      <w:r>
        <w:t xml:space="preserve">,</w:t>
      </w:r>
      <w:r>
        <w:t xml:space="preserve"> </w:t>
      </w:r>
      <w:r>
        <w:rPr>
          <w:rStyle w:val="VerbatimChar"/>
        </w:rPr>
        <w:t xml:space="preserve">canaux</w:t>
      </w:r>
      <w:r>
        <w:t xml:space="preserve">,</w:t>
      </w:r>
      <w:r>
        <w:t xml:space="preserve"> </w:t>
      </w:r>
      <w:r>
        <w:rPr>
          <w:rStyle w:val="VerbatimChar"/>
        </w:rPr>
        <w:t xml:space="preserve">titres</w:t>
      </w:r>
      <w:r>
        <w:t xml:space="preserve">.</w:t>
      </w:r>
    </w:p>
    <w:bookmarkEnd w:id="636"/>
    <w:bookmarkStart w:id="637" w:name="i.20-ce-qui-reste-ouvert"/>
    <w:p>
      <w:pPr>
        <w:pStyle w:val="Heading2"/>
      </w:pPr>
      <w:r>
        <w:t xml:space="preserve">I.20 Ce qui reste ouvert</w:t>
      </w:r>
    </w:p>
    <w:p>
      <w:pPr>
        <w:pStyle w:val="FirstParagraph"/>
      </w:pPr>
      <w:r>
        <w:t xml:space="preserve">Les points suivants ne relèvent pas du logiciel seul ou attendent un acte, un protocole ou une convention ; ils sont signalés dans les écrans concernés et ne produisent aucun effet financier tant qu’ils ne sont pas levés.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Point ouvert</w:t>
            </w:r>
          </w:p>
        </w:tc>
        <w:tc>
          <w:tcPr>
            <w:shd w:val="clear" w:color="auto" w:fill="232C6B"/>
          </w:tcPr>
          <w:p>
            <w:pPr>
              <w:pStyle w:val="Compact"/>
            </w:pPr>
            <w:r>
              <w:rPr>
                <w:b/>
                <w:color w:val="FFFFFF"/>
                <w:sz w:val="17"/>
              </w:rPr>
              <w:t xml:space="preserve">Condition de levée</w:t>
            </w:r>
          </w:p>
        </w:tc>
      </w:tr>
      <w:tr>
        <w:tc>
          <w:tcPr/>
          <w:p>
            <w:pPr>
              <w:pStyle w:val="Compact"/>
            </w:pPr>
            <w:r>
              <w:rPr>
                <w:sz w:val="17"/>
              </w:rPr>
              <w:t xml:space="preserve">Commission et surveillance</w:t>
            </w:r>
          </w:p>
        </w:tc>
        <w:tc>
          <w:tcPr/>
          <w:p>
            <w:pPr>
              <w:pStyle w:val="Compact"/>
            </w:pPr>
            <w:r>
              <w:rPr>
                <w:sz w:val="17"/>
              </w:rPr>
              <w:t xml:space="preserve">Arrêté fixant le taux de 10 % ; validation des seuils de surveillance des constats</w:t>
            </w:r>
          </w:p>
        </w:tc>
        <w:tc>
          <w:tcPr/>
          <w:p>
            <w:pPr>
              <w:pStyle w:val="Compact"/>
            </w:pPr>
            <w:r>
              <w:rPr>
                <w:sz w:val="17"/>
              </w:rPr>
              <w:t xml:space="preserve">Arrêté du Gouverneur ; avis de l’inspection des services</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Barème de la publicité sur véhicule ; régime des enseignes (taxe au m² ou barème propre)</w:t>
            </w:r>
          </w:p>
        </w:tc>
        <w:tc>
          <w:tcPr>
            <w:shd w:val="clear" w:color="auto" w:fill="F5F7FB"/>
          </w:tcPr>
          <w:p>
            <w:pPr>
              <w:pStyle w:val="Compact"/>
            </w:pPr>
            <w:r>
              <w:rPr>
                <w:sz w:val="17"/>
              </w:rPr>
              <w:t xml:space="preserve">Actes de l’Hôtel de Ville et fiches de règles certifiées</w:t>
            </w:r>
          </w:p>
        </w:tc>
      </w:tr>
      <w:tr>
        <w:tc>
          <w:tcPr/>
          <w:p>
            <w:pPr>
              <w:pStyle w:val="Compact"/>
            </w:pPr>
            <w:r>
              <w:rPr>
                <w:sz w:val="17"/>
              </w:rPr>
              <w:t xml:space="preserve">Contrôles anti-fraude</w:t>
            </w:r>
          </w:p>
        </w:tc>
        <w:tc>
          <w:tcPr/>
          <w:p>
            <w:pPr>
              <w:pStyle w:val="Compact"/>
            </w:pPr>
            <w:r>
              <w:rPr>
                <w:sz w:val="17"/>
              </w:rPr>
              <w:t xml:space="preserve">Confirmation des 58 seuils du registre anti-fraude (remboursement, alertes, grâce de stationnement, rayon de présence, contre-vérification, collusion, rotation) et des taux maximaux de remise par règle ; décision d’activer la rotation obligatoire des binômes ; table certifiée des rangs de localité</w:t>
            </w:r>
          </w:p>
        </w:tc>
        <w:tc>
          <w:tcPr/>
          <w:p>
            <w:pPr>
              <w:pStyle w:val="Compact"/>
            </w:pPr>
            <w:r>
              <w:rPr>
                <w:sz w:val="17"/>
              </w:rPr>
              <w:t xml:space="preserve">Acte enregistré dans le registre (double validation) ; inspection des services, Trésor, acte fixant les rangs</w:t>
            </w:r>
          </w:p>
        </w:tc>
      </w:tr>
      <w:tr>
        <w:tc>
          <w:tcPr>
            <w:shd w:val="clear" w:color="auto" w:fill="F5F7FB"/>
          </w:tcPr>
          <w:p>
            <w:pPr>
              <w:pStyle w:val="Compact"/>
            </w:pPr>
            <w:r>
              <w:rPr>
                <w:sz w:val="17"/>
              </w:rPr>
              <w:t xml:space="preserve">Prestataires de paiement</w:t>
            </w:r>
          </w:p>
        </w:tc>
        <w:tc>
          <w:tcPr>
            <w:shd w:val="clear" w:color="auto" w:fill="F5F7FB"/>
          </w:tcPr>
          <w:p>
            <w:pPr>
              <w:pStyle w:val="Compact"/>
            </w:pPr>
            <w:r>
              <w:rPr>
                <w:sz w:val="17"/>
              </w:rPr>
              <w:t xml:space="preserve">Passage des prestataires réels à la signature v2 (horodatage, nonce, identifiant de clé)</w:t>
            </w:r>
          </w:p>
        </w:tc>
        <w:tc>
          <w:tcPr>
            <w:shd w:val="clear" w:color="auto" w:fill="F5F7FB"/>
          </w:tcPr>
          <w:p>
            <w:pPr>
              <w:pStyle w:val="Compact"/>
            </w:pPr>
            <w:r>
              <w:rPr>
                <w:sz w:val="17"/>
              </w:rPr>
              <w:t xml:space="preserve">Avenant technique aux conventions ; l’ancienne signature est refusée</w:t>
            </w:r>
          </w:p>
        </w:tc>
      </w:tr>
      <w:tr>
        <w:tc>
          <w:tcPr/>
          <w:p>
            <w:pPr>
              <w:pStyle w:val="Compact"/>
            </w:pPr>
            <w:r>
              <w:rPr>
                <w:sz w:val="17"/>
              </w:rPr>
              <w:t xml:space="preserve">Tarifs et assiettes</w:t>
            </w:r>
          </w:p>
        </w:tc>
        <w:tc>
          <w:tcPr/>
          <w:p>
            <w:pPr>
              <w:pStyle w:val="Compact"/>
            </w:pPr>
            <w:r>
              <w:rPr>
                <w:sz w:val="17"/>
              </w:rPr>
              <w:t xml:space="preserve">Tarifs réels du pass wewa, du stationnement, des titres de transport, de la publicité, des redevances AVIA et portuaires, de la contribution plastique</w:t>
            </w:r>
          </w:p>
        </w:tc>
        <w:tc>
          <w:tcPr/>
          <w:p>
            <w:pPr>
              <w:pStyle w:val="Compact"/>
            </w:pPr>
            <w:r>
              <w:rPr>
                <w:sz w:val="17"/>
              </w:rPr>
              <w:t xml:space="preserve">Actes J21, J23, J24, J25, J28 et fiches de règles certifiées (quatre visas)</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Effet bloquant sur les mutations et services</w:t>
            </w:r>
          </w:p>
        </w:tc>
        <w:tc>
          <w:tcPr>
            <w:shd w:val="clear" w:color="auto" w:fill="F5F7FB"/>
          </w:tcPr>
          <w:p>
            <w:pPr>
              <w:pStyle w:val="Compact"/>
            </w:pPr>
            <w:r>
              <w:rPr>
                <w:sz w:val="17"/>
              </w:rPr>
              <w:t xml:space="preserve">Acte J6 ; le quitus reste informatif jusque-là</w:t>
            </w:r>
          </w:p>
        </w:tc>
      </w:tr>
      <w:tr>
        <w:tc>
          <w:tcPr/>
          <w:p>
            <w:pPr>
              <w:pStyle w:val="Compact"/>
            </w:pPr>
            <w:r>
              <w:rPr>
                <w:sz w:val="17"/>
              </w:rPr>
              <w:t xml:space="preserve">Répartition</w:t>
            </w:r>
          </w:p>
        </w:tc>
        <w:tc>
          <w:tcPr/>
          <w:p>
            <w:pPr>
              <w:pStyle w:val="Compact"/>
            </w:pPr>
            <w:r>
              <w:rPr>
                <w:sz w:val="17"/>
              </w:rPr>
              <w:t xml:space="preserve">Parts légales éventuelles entre entités</w:t>
            </w:r>
          </w:p>
        </w:tc>
        <w:tc>
          <w:tcPr/>
          <w:p>
            <w:pPr>
              <w:pStyle w:val="Compact"/>
            </w:pPr>
            <w:r>
              <w:rPr>
                <w:sz w:val="17"/>
              </w:rPr>
              <w:t xml:space="preserve">Lecture de l’OL 18/004 et actes provinciaux ; aucune clé paramétrée</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Clés d’accès FIDO2 (passkeys), récupération de compte</w:t>
            </w:r>
          </w:p>
        </w:tc>
        <w:tc>
          <w:tcPr>
            <w:shd w:val="clear" w:color="auto" w:fill="F5F7FB"/>
          </w:tcPr>
          <w:p>
            <w:pPr>
              <w:pStyle w:val="Compact"/>
            </w:pPr>
            <w:r>
              <w:rPr>
                <w:sz w:val="17"/>
              </w:rPr>
              <w:t xml:space="preserve">Raccordement WebAuthn ; procédure de récupération validée</w:t>
            </w:r>
          </w:p>
        </w:tc>
      </w:tr>
      <w:tr>
        <w:tc>
          <w:tcPr/>
          <w:p>
            <w:pPr>
              <w:pStyle w:val="Compact"/>
            </w:pPr>
            <w:r>
              <w:rPr>
                <w:sz w:val="17"/>
              </w:rPr>
              <w:t xml:space="preserve">Canaux</w:t>
            </w:r>
          </w:p>
        </w:tc>
        <w:tc>
          <w:tcPr/>
          <w:p>
            <w:pPr>
              <w:pStyle w:val="Compact"/>
            </w:pPr>
            <w:r>
              <w:rPr>
                <w:sz w:val="17"/>
              </w:rPr>
              <w:t xml:space="preserve">Passerelles USSD, SMS, SVI et courrier réelles ; code court et numéro vert ; compte WhatsApp Business certifié et fournisseur contractualisé ; validation des textes lingala de l’assistant</w:t>
            </w:r>
          </w:p>
        </w:tc>
        <w:tc>
          <w:tcPr/>
          <w:p>
            <w:pPr>
              <w:pStyle w:val="Compact"/>
            </w:pPr>
            <w:r>
              <w:rPr>
                <w:sz w:val="17"/>
              </w:rPr>
              <w:t xml:space="preserve">Conventions opérateurs (J29), contrat du fournisseur WhatsApp, avis de l’autorité de protection des données</w:t>
            </w:r>
          </w:p>
        </w:tc>
      </w:tr>
      <w:tr>
        <w:tc>
          <w:tcPr>
            <w:shd w:val="clear" w:color="auto" w:fill="F5F7FB"/>
          </w:tcPr>
          <w:p>
            <w:pPr>
              <w:pStyle w:val="Compact"/>
            </w:pPr>
            <w:r>
              <w:rPr>
                <w:sz w:val="17"/>
              </w:rPr>
              <w:t xml:space="preserve">Données géographiques</w:t>
            </w:r>
          </w:p>
        </w:tc>
        <w:tc>
          <w:tcPr>
            <w:shd w:val="clear" w:color="auto" w:fill="F5F7FB"/>
          </w:tcPr>
          <w:p>
            <w:pPr>
              <w:pStyle w:val="Compact"/>
            </w:pPr>
            <w:r>
              <w:rPr>
                <w:sz w:val="17"/>
              </w:rPr>
              <w:t xml:space="preserve">Géométries PostGIS, référentiel officiel des codes de communes, cartographie de la population ; installation du fond OSM de Kinshasa sur le serveur de la Ville (</w:t>
            </w:r>
            <w:r>
              <w:rPr>
                <w:rStyle w:val="VerbatimChar"/>
                <w:sz w:val="17"/>
              </w:rPr>
              <w:t xml:space="preserve">tools/maps/construire-tuiles-kinshasa.sh</w:t>
            </w:r>
            <w:r>
              <w:rPr>
                <w:sz w:val="17"/>
              </w:rPr>
              <w:t xml:space="preserve">) et complétion des quartiers</w:t>
            </w:r>
          </w:p>
        </w:tc>
        <w:tc>
          <w:tcPr>
            <w:shd w:val="clear" w:color="auto" w:fill="F5F7FB"/>
          </w:tcPr>
          <w:p>
            <w:pPr>
              <w:pStyle w:val="Compact"/>
            </w:pPr>
            <w:r>
              <w:rPr>
                <w:sz w:val="17"/>
              </w:rPr>
              <w:t xml:space="preserve">Protocoles de données et référentiel arrêté ; accès réseau à</w:t>
            </w:r>
            <w:r>
              <w:rPr>
                <w:sz w:val="17"/>
              </w:rPr>
              <w:t xml:space="preserve"> </w:t>
            </w:r>
            <w:r>
              <w:rPr>
                <w:rStyle w:val="VerbatimChar"/>
                <w:sz w:val="17"/>
              </w:rPr>
              <w:t xml:space="preserve">build.protomaps.com</w:t>
            </w:r>
            <w:r>
              <w:rPr>
                <w:sz w:val="17"/>
              </w:rPr>
              <w:t xml:space="preserve"> </w:t>
            </w:r>
            <w:r>
              <w:rPr>
                <w:sz w:val="17"/>
              </w:rPr>
              <w:t xml:space="preserve">ou</w:t>
            </w:r>
            <w:r>
              <w:rPr>
                <w:sz w:val="17"/>
              </w:rPr>
              <w:t xml:space="preserve"> </w:t>
            </w:r>
            <w:r>
              <w:rPr>
                <w:rStyle w:val="VerbatimChar"/>
                <w:sz w:val="17"/>
              </w:rPr>
              <w:t xml:space="preserve">download.geofabrik.de</w:t>
            </w:r>
            <w:r>
              <w:rPr>
                <w:sz w:val="17"/>
              </w:rPr>
              <w:t xml:space="preserve"> </w:t>
            </w:r>
            <w:r>
              <w:rPr>
                <w:sz w:val="17"/>
              </w:rPr>
              <w:t xml:space="preserve">depuis le serveur</w:t>
            </w:r>
          </w:p>
        </w:tc>
      </w:tr>
      <w:tr>
        <w:tc>
          <w:tcPr/>
          <w:p>
            <w:pPr>
              <w:pStyle w:val="Compact"/>
            </w:pPr>
            <w:r>
              <w:rPr>
                <w:sz w:val="17"/>
              </w:rPr>
              <w:t xml:space="preserve">Partenaires</w:t>
            </w:r>
          </w:p>
        </w:tc>
        <w:tc>
          <w:tcPr/>
          <w:p>
            <w:pPr>
              <w:pStyle w:val="Compact"/>
            </w:pPr>
            <w:r>
              <w:rPr>
                <w:sz w:val="17"/>
              </w:rPr>
              <w:t xml:space="preserve">Connecteurs BSP/GDS et IFA (AVIA), passerelle bancaire réelle (CALCU), immatriculations nationales</w:t>
            </w:r>
          </w:p>
        </w:tc>
        <w:tc>
          <w:tcPr/>
          <w:p>
            <w:pPr>
              <w:pStyle w:val="Compact"/>
            </w:pPr>
            <w:r>
              <w:rPr>
                <w:sz w:val="17"/>
              </w:rPr>
              <w:t xml:space="preserve">Accords et protocoles avec le pouvoir central et les partenaires</w:t>
            </w:r>
          </w:p>
        </w:tc>
      </w:tr>
      <w:tr>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Persistance des états encore volatils (idempotence, brouillons serveur, lots terrain, boîtes in-app), clé de signature QR dédiée, secrets TOTP au coffre de secrets</w:t>
            </w:r>
          </w:p>
        </w:tc>
        <w:tc>
          <w:tcPr>
            <w:shd w:val="clear" w:color="auto" w:fill="F5F7FB"/>
          </w:tcPr>
          <w:p>
            <w:pPr>
              <w:pStyle w:val="Compact"/>
            </w:pPr>
            <w:r>
              <w:rPr>
                <w:sz w:val="17"/>
              </w:rPr>
              <w:t xml:space="preserve">Mise en production (hébergement souverain)</w:t>
            </w:r>
          </w:p>
        </w:tc>
      </w:tr>
      <w:tr>
        <w:tc>
          <w:tcPr/>
          <w:p>
            <w:pPr>
              <w:pStyle w:val="Compact"/>
            </w:pPr>
            <w:r>
              <w:rPr>
                <w:sz w:val="17"/>
              </w:rPr>
              <w:t xml:space="preserve">IA</w:t>
            </w:r>
          </w:p>
        </w:tc>
        <w:tc>
          <w:tcPr/>
          <w:p>
            <w:pPr>
              <w:pStyle w:val="Compact"/>
            </w:pPr>
            <w:r>
              <w:rPr>
                <w:sz w:val="17"/>
              </w:rPr>
              <w:t xml:space="preserve">Registre complet des modèles (évaluations, biais, dérive), OCR des baux, « 12 questions » par action</w:t>
            </w:r>
          </w:p>
        </w:tc>
        <w:tc>
          <w:tcPr/>
          <w:p>
            <w:pPr>
              <w:pStyle w:val="Compact"/>
            </w:pPr>
            <w:r>
              <w:rPr>
                <w:sz w:val="17"/>
              </w:rPr>
              <w:t xml:space="preserve">Gouvernance IA validée par le délégué à la protection des données</w:t>
            </w:r>
          </w:p>
        </w:tc>
      </w:tr>
    </w:tbl>
    <w:bookmarkEnd w:id="637"/>
    <w:bookmarkEnd w:id="638"/>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2026-09-27T12:10:21Z</dcterms:created>
  <dcterms:modified xsi:type="dcterms:W3CDTF">2026-09-27T12:10:21Z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