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4"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Carte des zones (usager, régie), carte des supports, points de paiement</w:t>
            </w:r>
          </w:p>
        </w:tc>
        <w:tc>
          <w:tcPr>
            <w:shd w:val="clear" w:color="auto" w:fill="F5F7FB"/>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bookmarkEnd w:id="632"/>
    <w:bookmarkStart w:id="633" w:name="i.17-ce-qui-reste-ouvert"/>
    <w:p>
      <w:pPr>
        <w:pStyle w:val="Heading2"/>
      </w:pPr>
      <w:r>
        <w:t xml:space="preserve">I.17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Commission et surveillance</w:t>
            </w:r>
          </w:p>
        </w:tc>
        <w:tc>
          <w:tcPr/>
          <w:p>
            <w:pPr>
              <w:pStyle w:val="Compact"/>
            </w:pPr>
            <w:r>
              <w:rPr>
                <w:sz w:val="17"/>
              </w:rPr>
              <w:t xml:space="preserve">Arrêté fixant le taux de 10 % ; validation des seuils de surveillance des constats</w:t>
            </w:r>
          </w:p>
        </w:tc>
        <w:tc>
          <w:tcPr/>
          <w:p>
            <w:pPr>
              <w:pStyle w:val="Compact"/>
            </w:pPr>
            <w:r>
              <w:rPr>
                <w:sz w:val="17"/>
              </w:rPr>
              <w:t xml:space="preserve">Arrêté du Gouverneur ; avis de l’inspection des services</w:t>
            </w:r>
          </w:p>
        </w:tc>
      </w:tr>
      <w:tr>
        <w:tc>
          <w:tcPr>
            <w:shd w:val="clear" w:color="auto" w:fill="F5F7FB"/>
          </w:tcPr>
          <w:p>
            <w:pPr>
              <w:pStyle w:val="Compact"/>
            </w:pPr>
            <w:r>
              <w:rPr>
                <w:sz w:val="17"/>
              </w:rPr>
              <w:t xml:space="preserve">Tarifs et assiettes</w:t>
            </w:r>
          </w:p>
        </w:tc>
        <w:tc>
          <w:tcPr>
            <w:shd w:val="clear" w:color="auto" w:fill="F5F7FB"/>
          </w:tcPr>
          <w:p>
            <w:pPr>
              <w:pStyle w:val="Compact"/>
            </w:pPr>
            <w:r>
              <w:rPr>
                <w:sz w:val="17"/>
              </w:rPr>
              <w:t xml:space="preserve">Tarifs réels du pass wewa, du stationnement, des titres de transport, de la publicité, des redevances AVIA et portuaires, de la contribution plastique</w:t>
            </w:r>
          </w:p>
        </w:tc>
        <w:tc>
          <w:tcPr>
            <w:shd w:val="clear" w:color="auto" w:fill="F5F7FB"/>
          </w:tcPr>
          <w:p>
            <w:pPr>
              <w:pStyle w:val="Compact"/>
            </w:pPr>
            <w:r>
              <w:rPr>
                <w:sz w:val="17"/>
              </w:rPr>
              <w:t xml:space="preserve">Actes J21, J23, J24, J25, J28 et fiches de règles certifiées (quatre visas)</w:t>
            </w:r>
          </w:p>
        </w:tc>
      </w:tr>
      <w:tr>
        <w:tc>
          <w:tcPr/>
          <w:p>
            <w:pPr>
              <w:pStyle w:val="Compact"/>
            </w:pPr>
            <w:r>
              <w:rPr>
                <w:sz w:val="17"/>
              </w:rPr>
              <w:t xml:space="preserve">Quitus fiscal</w:t>
            </w:r>
          </w:p>
        </w:tc>
        <w:tc>
          <w:tcPr/>
          <w:p>
            <w:pPr>
              <w:pStyle w:val="Compact"/>
            </w:pPr>
            <w:r>
              <w:rPr>
                <w:sz w:val="17"/>
              </w:rPr>
              <w:t xml:space="preserve">Effet bloquant sur les mutations et services</w:t>
            </w:r>
          </w:p>
        </w:tc>
        <w:tc>
          <w:tcPr/>
          <w:p>
            <w:pPr>
              <w:pStyle w:val="Compact"/>
            </w:pPr>
            <w:r>
              <w:rPr>
                <w:sz w:val="17"/>
              </w:rPr>
              <w:t xml:space="preserve">Acte J6 ; le quitus reste informatif jusque-là</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Parts légales éventuelles entre entités</w:t>
            </w:r>
          </w:p>
        </w:tc>
        <w:tc>
          <w:tcPr>
            <w:shd w:val="clear" w:color="auto" w:fill="F5F7FB"/>
          </w:tcPr>
          <w:p>
            <w:pPr>
              <w:pStyle w:val="Compact"/>
            </w:pPr>
            <w:r>
              <w:rPr>
                <w:sz w:val="17"/>
              </w:rPr>
              <w:t xml:space="preserve">Lecture de l’OL 18/004 et actes provinciaux ; aucune clé paramétrée</w:t>
            </w:r>
          </w:p>
        </w:tc>
      </w:tr>
      <w:tr>
        <w:tc>
          <w:tcPr/>
          <w:p>
            <w:pPr>
              <w:pStyle w:val="Compact"/>
            </w:pPr>
            <w:r>
              <w:rPr>
                <w:sz w:val="17"/>
              </w:rPr>
              <w:t xml:space="preserve">Identité</w:t>
            </w:r>
          </w:p>
        </w:tc>
        <w:tc>
          <w:tcPr/>
          <w:p>
            <w:pPr>
              <w:pStyle w:val="Compact"/>
            </w:pPr>
            <w:r>
              <w:rPr>
                <w:sz w:val="17"/>
              </w:rPr>
              <w:t xml:space="preserve">Clés d’accès FIDO2 (passkeys), récupération de compte</w:t>
            </w:r>
          </w:p>
        </w:tc>
        <w:tc>
          <w:tcPr/>
          <w:p>
            <w:pPr>
              <w:pStyle w:val="Compact"/>
            </w:pPr>
            <w:r>
              <w:rPr>
                <w:sz w:val="17"/>
              </w:rPr>
              <w:t xml:space="preserve">Raccordement WebAuthn ; procédure de récupération validée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shd w:val="clear" w:color="auto" w:fill="F5F7FB"/>
          </w:tcPr>
          <w:p>
            <w:pPr>
              <w:pStyle w:val="Compact"/>
            </w:pPr>
            <w:r>
              <w:rPr>
                <w:sz w:val="17"/>
              </w:rPr>
              <w:t xml:space="preserve">Conventions opérateurs (J29), contrat du fournisseur WhatsApp, avis de l’autorité de protection des données</w:t>
            </w:r>
          </w:p>
        </w:tc>
      </w:tr>
      <w:tr>
        <w:tc>
          <w:tcPr/>
          <w:p>
            <w:pPr>
              <w:pStyle w:val="Compact"/>
            </w:pPr>
            <w:r>
              <w:rPr>
                <w:sz w:val="17"/>
              </w:rPr>
              <w:t xml:space="preserve">Données géographiques</w:t>
            </w:r>
          </w:p>
        </w:tc>
        <w:tc>
          <w:tcPr/>
          <w:p>
            <w:pPr>
              <w:pStyle w:val="Compact"/>
            </w:pPr>
            <w:r>
              <w:rPr>
                <w:sz w:val="17"/>
              </w:rPr>
              <w:t xml:space="preserve">Géométries PostGIS, référentiel officiel des codes de communes, cartographie de la population ; installation du fond OSM de Kinshasa sur le serveur de la Ville (</w:t>
            </w:r>
            <w:r>
              <w:rPr>
                <w:rStyle w:val="VerbatimChar"/>
                <w:sz w:val="17"/>
              </w:rPr>
              <w:t xml:space="preserve">tools/maps/construire-tuiles-kinshasa.sh</w:t>
            </w:r>
            <w:r>
              <w:rPr>
                <w:sz w:val="17"/>
              </w:rPr>
              <w:t xml:space="preserve">) et complétion des quartiers</w:t>
            </w:r>
          </w:p>
        </w:tc>
        <w:tc>
          <w:tcPr/>
          <w:p>
            <w:pPr>
              <w:pStyle w:val="Compact"/>
            </w:pPr>
            <w:r>
              <w:rPr>
                <w:sz w:val="17"/>
              </w:rPr>
              <w:t xml:space="preserve">Protocoles de données et référentiel arrêté ; accès réseau à</w:t>
            </w:r>
            <w:r>
              <w:rPr>
                <w:sz w:val="17"/>
              </w:rPr>
              <w:t xml:space="preserve"> </w:t>
            </w:r>
            <w:r>
              <w:rPr>
                <w:rStyle w:val="VerbatimChar"/>
                <w:sz w:val="17"/>
              </w:rPr>
              <w:t xml:space="preserve">build.protomaps.com</w:t>
            </w:r>
            <w:r>
              <w:rPr>
                <w:sz w:val="17"/>
              </w:rPr>
              <w:t xml:space="preserve"> </w:t>
            </w:r>
            <w:r>
              <w:rPr>
                <w:sz w:val="17"/>
              </w:rPr>
              <w:t xml:space="preserve">ou</w:t>
            </w:r>
            <w:r>
              <w:rPr>
                <w:sz w:val="17"/>
              </w:rPr>
              <w:t xml:space="preserve"> </w:t>
            </w:r>
            <w:r>
              <w:rPr>
                <w:rStyle w:val="VerbatimChar"/>
                <w:sz w:val="17"/>
              </w:rPr>
              <w:t xml:space="preserve">download.geofabrik.de</w:t>
            </w:r>
            <w:r>
              <w:rPr>
                <w:sz w:val="17"/>
              </w:rPr>
              <w:t xml:space="preserve"> </w:t>
            </w:r>
            <w:r>
              <w:rPr>
                <w:sz w:val="17"/>
              </w:rPr>
              <w:t xml:space="preserve">depuis le serveur</w:t>
            </w:r>
          </w:p>
        </w:tc>
      </w:tr>
      <w:tr>
        <w:tc>
          <w:tcPr>
            <w:shd w:val="clear" w:color="auto" w:fill="F5F7FB"/>
          </w:tcPr>
          <w:p>
            <w:pPr>
              <w:pStyle w:val="Compact"/>
            </w:pPr>
            <w:r>
              <w:rPr>
                <w:sz w:val="17"/>
              </w:rPr>
              <w:t xml:space="preserve">Partenaires</w:t>
            </w:r>
          </w:p>
        </w:tc>
        <w:tc>
          <w:tcPr>
            <w:shd w:val="clear" w:color="auto" w:fill="F5F7FB"/>
          </w:tcPr>
          <w:p>
            <w:pPr>
              <w:pStyle w:val="Compact"/>
            </w:pPr>
            <w:r>
              <w:rPr>
                <w:sz w:val="17"/>
              </w:rPr>
              <w:t xml:space="preserve">Connecteurs BSP/GDS et IFA (AVIA), passerelle bancaire réelle (CALCU), immatriculations nationales</w:t>
            </w:r>
          </w:p>
        </w:tc>
        <w:tc>
          <w:tcPr>
            <w:shd w:val="clear" w:color="auto" w:fill="F5F7FB"/>
          </w:tcPr>
          <w:p>
            <w:pPr>
              <w:pStyle w:val="Compact"/>
            </w:pPr>
            <w:r>
              <w:rPr>
                <w:sz w:val="17"/>
              </w:rPr>
              <w:t xml:space="preserve">Accords et protocoles avec le pouvoir central et les partenaires</w:t>
            </w:r>
          </w:p>
        </w:tc>
      </w:tr>
      <w:tr>
        <w:tc>
          <w:tcPr/>
          <w:p>
            <w:pPr>
              <w:pStyle w:val="Compact"/>
            </w:pPr>
            <w:r>
              <w:rPr>
                <w:sz w:val="17"/>
              </w:rPr>
              <w:t xml:space="preserve">Exploitation</w:t>
            </w:r>
          </w:p>
        </w:tc>
        <w:tc>
          <w:tcPr/>
          <w:p>
            <w:pPr>
              <w:pStyle w:val="Compact"/>
            </w:pPr>
            <w:r>
              <w:rPr>
                <w:sz w:val="17"/>
              </w:rPr>
              <w:t xml:space="preserve">Persistance des états encore volatils (idempotence, brouillons serveur, lots terrain, boîtes in-app), clé de signature QR dédiée, secrets TOTP au coffre de secrets</w:t>
            </w:r>
          </w:p>
        </w:tc>
        <w:tc>
          <w:tcPr/>
          <w:p>
            <w:pPr>
              <w:pStyle w:val="Compact"/>
            </w:pPr>
            <w:r>
              <w:rPr>
                <w:sz w:val="17"/>
              </w:rPr>
              <w:t xml:space="preserve">Mise en production (hébergement souverain)</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Registre complet des modèles (évaluations, biais, dérive), OCR des baux, « 12 questions » par action</w:t>
            </w:r>
          </w:p>
        </w:tc>
        <w:tc>
          <w:tcPr>
            <w:shd w:val="clear" w:color="auto" w:fill="F5F7FB"/>
          </w:tcPr>
          <w:p>
            <w:pPr>
              <w:pStyle w:val="Compact"/>
            </w:pPr>
            <w:r>
              <w:rPr>
                <w:sz w:val="17"/>
              </w:rPr>
              <w:t xml:space="preserve">Gouvernance IA validée par le délégué à la protection des données</w:t>
            </w:r>
          </w:p>
        </w:tc>
      </w:tr>
    </w:tbl>
    <w:bookmarkEnd w:id="633"/>
    <w:bookmarkEnd w:id="634"/>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2026-09-27T07:10:48Z</dcterms:created>
  <dcterms:modified xsi:type="dcterms:W3CDTF">2026-09-27T07:10:48Z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