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7"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(27/09/2026) :</w:t>
      </w:r>
      <w:r>
        <w:t xml:space="preserve"> </w:t>
      </w:r>
      <w:r>
        <w:rPr>
          <w:b/>
          <w:bCs/>
        </w:rPr>
        <w:t xml:space="preserve">631 routes</w:t>
      </w:r>
      <w:r>
        <w:t xml:space="preserve"> </w:t>
      </w:r>
      <w:r>
        <w:t xml:space="preserve">(catalogue généré et vérifié en intégration continue :</w:t>
      </w:r>
      <w:r>
        <w:t xml:space="preserve"> </w:t>
      </w:r>
      <w:r>
        <w:rPr>
          <w:rStyle w:val="VerbatimChar"/>
        </w:rPr>
        <w:t xml:space="preserve">specs/routes-api.md</w:t>
      </w:r>
      <w:r>
        <w:t xml:space="preserve">), 73 écrans de modules (80 routes d’écran) en plus des écrans du socle,</w:t>
      </w:r>
      <w:r>
        <w:t xml:space="preserve"> </w:t>
      </w:r>
      <w:r>
        <w:rPr>
          <w:b/>
          <w:bCs/>
        </w:rPr>
        <w:t xml:space="preserve">548 tests backend</w:t>
      </w:r>
      <w:r>
        <w:t xml:space="preserve">, 101 tests d’interface et 32 tests du paquet partagé, tous au vert, et une analyse statique (ESLint) bloquante en intégration continue ; l’application complète (socle et 17 modules d’extension) est couverte par un test d’intégration et par la persistance sur un vrai PostgreSQL en intégration continue.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n’est accepté que si</w:t>
      </w:r>
      <w:r>
        <w:t xml:space="preserve"> </w:t>
      </w:r>
      <w:r>
        <w:rPr>
          <w:rStyle w:val="VerbatimChar"/>
        </w:rPr>
        <w:t xml:space="preserve">MOSOLO_DEMO_MODE</w:t>
      </w:r>
      <w:r>
        <w:t xml:space="preserve"> </w:t>
      </w:r>
      <w:r>
        <w:t xml:space="preserve">vaut explicitement</w:t>
      </w:r>
      <w:r>
        <w:t xml:space="preserve"> </w:t>
      </w:r>
      <w:r>
        <w:rPr>
          <w:rStyle w:val="VerbatimChar"/>
        </w:rPr>
        <w:t xml:space="preserve">true</w:t>
      </w:r>
      <w:r>
        <w:t xml:space="preserve">, et jamais lorsque</w:t>
      </w:r>
      <w:r>
        <w:t xml:space="preserve"> </w:t>
      </w:r>
      <w:r>
        <w:rPr>
          <w:rStyle w:val="VerbatimChar"/>
        </w:rPr>
        <w:t xml:space="preserve">NODE_ENV=production</w:t>
      </w:r>
      <w:r>
        <w:t xml:space="preserve"> </w:t>
      </w:r>
      <w:r>
        <w:t xml:space="preserve">(démarrage refusé). Le développement local (</w:t>
      </w:r>
      <w:r>
        <w:rPr>
          <w:rStyle w:val="VerbatimChar"/>
        </w:rPr>
        <w:t xml:space="preserve">npm run dev</w:t>
      </w:r>
      <w:r>
        <w:t xml:space="preserve">), les tests et l’intégration continue l’activent explicitement ; hors démonstration, le serveur exige les secrets réels des prestataires.</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MOSOLO_DEMO_MODE=true</w:t>
            </w:r>
            <w:r>
              <w:rPr>
                <w:sz w:val="17"/>
              </w:rPr>
              <w:t xml:space="preserve"> </w:t>
            </w:r>
            <w:r>
              <w:rPr>
                <w:sz w:val="17"/>
              </w:rPr>
              <w:t xml:space="preserve">(défaut désactivé ; refusé en production)</w:t>
            </w:r>
          </w:p>
        </w:tc>
        <w:tc>
          <w:tcPr>
            <w:shd w:val="clear" w:color="auto" w:fill="F5F7FB"/>
          </w:tcPr>
          <w:p>
            <w:pPr>
              <w:pStyle w:val="Compact"/>
            </w:pPr>
            <w:r>
              <w:rPr>
                <w:sz w:val="17"/>
              </w:rPr>
              <w:t xml:space="preserve">Désactivé par défaut</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BodyText"/>
      </w:pPr>
      <w:r>
        <w:t xml:space="preserve">Règle retenue par le maître d’ouvrage :</w:t>
      </w:r>
      <w:r>
        <w:t xml:space="preserve"> </w:t>
      </w:r>
      <w:r>
        <w:rPr>
          <w:b/>
          <w:bCs/>
        </w:rPr>
        <w:t xml:space="preserve">dans les 30 jours, seulement les agents du module ; au-delà de 30 jours, tous les agents</w:t>
      </w:r>
      <w:r>
        <w:t xml:space="preserve">.</w:t>
      </w:r>
    </w:p>
    <w:p>
      <w:pPr>
        <w:pStyle w:val="Compact"/>
        <w:numPr>
          <w:ilvl w:val="0"/>
          <w:numId w:val="1044"/>
        </w:numPr>
      </w:pPr>
      <w:r>
        <w:rPr>
          <w:b/>
          <w:bCs/>
        </w:rPr>
        <w:t xml:space="preserve">Agents du même module, à tout âge</w:t>
      </w:r>
      <w:r>
        <w:t xml:space="preserve"> </w:t>
      </w:r>
      <w:r>
        <w:t xml:space="preserve">: après un contrôle, l’agent voit les pénalités impayées de l’usager</w:t>
      </w:r>
      <w:r>
        <w:t xml:space="preserve"> </w:t>
      </w:r>
      <w:r>
        <w:rPr>
          <w:b/>
          <w:bCs/>
        </w:rPr>
        <w:t xml:space="preserve">relevant de son module</w:t>
      </w:r>
      <w:r>
        <w:t xml:space="preserve">, dès leur décision, avec leur montant (marquées « votre module »). Correspondance : contrôle de stationnement → pénalités du stationnement ; contrôle de titres ou de pass wewa → pénalités des titres ; inspection publicitaire → publicité ; scan de plaque d’objet → verticales.</w:t>
      </w:r>
    </w:p>
    <w:p>
      <w:pPr>
        <w:pStyle w:val="Compact"/>
        <w:numPr>
          <w:ilvl w:val="0"/>
          <w:numId w:val="1044"/>
        </w:numPr>
      </w:pPr>
      <w:r>
        <w:rPr>
          <w:b/>
          <w:bCs/>
        </w:rPr>
        <w:t xml:space="preserve">Agents de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stationnement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t xml:space="preserve">Le bandeau de l’écran de contrôle s’intitule selon le cas « Pénalités impayées de votre module », « … depuis plus de 30 jours » ou les deux.</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rPr>
          <w:b/>
          <w:bCs/>
        </w:rPr>
        <w:t xml:space="preserve">5. Surveillance des constats par agent (recommandation retenue).</w:t>
      </w:r>
      <w:r>
        <w:t xml:space="preserve"> </w:t>
      </w:r>
      <w:r>
        <w:t xml:space="preserve">La commission sur les pénalités crée une incitation à multiplier les constats ; l’écran « Surveillance des constats » (</w:t>
      </w:r>
      <w:r>
        <w:rPr>
          <w:rStyle w:val="VerbatimChar"/>
        </w:rPr>
        <w:t xml:space="preserve">/agents/surveillance</w:t>
      </w:r>
      <w:r>
        <w:t xml:space="preserve">) la rend visible.</w:t>
      </w:r>
    </w:p>
    <w:p>
      <w:pPr>
        <w:pStyle w:val="Compact"/>
        <w:numPr>
          <w:ilvl w:val="0"/>
          <w:numId w:val="1050"/>
        </w:numPr>
      </w:pPr>
      <w:r>
        <w:rPr>
          <w:b/>
          <w:bCs/>
        </w:rPr>
        <w:t xml:space="preserve">Compteurs par agent et par module</w:t>
      </w:r>
      <w:r>
        <w:t xml:space="preserve"> </w:t>
      </w:r>
      <w:r>
        <w:t xml:space="preserve">: contrôles, défauts relevés, constats, constats écartés à la vérification, retenus, classés sans suite, contestés, annulés, photos ou positions faibles (GPS absent, ajusté à la main ou au-delà de 50 m, horloge décalée) ; part des pénalités dans sa commission.</w:t>
      </w:r>
    </w:p>
    <w:p>
      <w:pPr>
        <w:pStyle w:val="Compact"/>
        <w:numPr>
          <w:ilvl w:val="0"/>
          <w:numId w:val="1050"/>
        </w:numPr>
      </w:pPr>
      <w:r>
        <w:rPr>
          <w:b/>
          <w:bCs/>
        </w:rPr>
        <w:t xml:space="preserve">Signaux « à examiner »</w:t>
      </w:r>
      <w:r>
        <w:t xml:space="preserve">, comparés à la</w:t>
      </w:r>
      <w:r>
        <w:t xml:space="preserve"> </w:t>
      </w:r>
      <w:r>
        <w:rPr>
          <w:b/>
          <w:bCs/>
        </w:rPr>
        <w:t xml:space="preserve">médiane des autres agents du même module</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Condition (seuils à valider par l’inspection des services)</w:t>
            </w:r>
          </w:p>
        </w:tc>
      </w:tr>
      <w:tr>
        <w:tc>
          <w:tcPr/>
          <w:p>
            <w:pPr>
              <w:pStyle w:val="Compact"/>
            </w:pPr>
            <w:r>
              <w:rPr>
                <w:sz w:val="17"/>
              </w:rPr>
              <w:t xml:space="preserve">Taux de constats élevé</w:t>
            </w:r>
          </w:p>
        </w:tc>
        <w:tc>
          <w:tcPr/>
          <w:p>
            <w:pPr>
              <w:pStyle w:val="Compact"/>
            </w:pPr>
            <w:r>
              <w:rPr>
                <w:sz w:val="17"/>
              </w:rPr>
              <w:t xml:space="preserve">Plus du double de la médiane des pairs (au moins 5 contrôles et 3 constats)</w:t>
            </w:r>
          </w:p>
        </w:tc>
      </w:tr>
      <w:tr>
        <w:tc>
          <w:tcPr>
            <w:shd w:val="clear" w:color="auto" w:fill="F5F7FB"/>
          </w:tcPr>
          <w:p>
            <w:pPr>
              <w:pStyle w:val="Compact"/>
            </w:pPr>
            <w:r>
              <w:rPr>
                <w:sz w:val="17"/>
              </w:rPr>
              <w:t xml:space="preserve">Preuves écartées</w:t>
            </w:r>
          </w:p>
        </w:tc>
        <w:tc>
          <w:tcPr>
            <w:shd w:val="clear" w:color="auto" w:fill="F5F7FB"/>
          </w:tcPr>
          <w:p>
            <w:pPr>
              <w:pStyle w:val="Compact"/>
            </w:pPr>
            <w:r>
              <w:rPr>
                <w:sz w:val="17"/>
              </w:rPr>
              <w:t xml:space="preserve">30 % ou plus des constats vérifiés écartés</w:t>
            </w:r>
          </w:p>
        </w:tc>
      </w:tr>
      <w:tr>
        <w:tc>
          <w:tcPr/>
          <w:p>
            <w:pPr>
              <w:pStyle w:val="Compact"/>
            </w:pPr>
            <w:r>
              <w:rPr>
                <w:sz w:val="17"/>
              </w:rPr>
              <w:t xml:space="preserve">Constats classés</w:t>
            </w:r>
          </w:p>
        </w:tc>
        <w:tc>
          <w:tcPr/>
          <w:p>
            <w:pPr>
              <w:pStyle w:val="Compact"/>
            </w:pPr>
            <w:r>
              <w:rPr>
                <w:sz w:val="17"/>
              </w:rPr>
              <w:t xml:space="preserve">40 % ou plus des constats décidés classés sans suite</w:t>
            </w:r>
          </w:p>
        </w:tc>
      </w:tr>
      <w:tr>
        <w:tc>
          <w:tcPr>
            <w:shd w:val="clear" w:color="auto" w:fill="F5F7FB"/>
          </w:tcPr>
          <w:p>
            <w:pPr>
              <w:pStyle w:val="Compact"/>
            </w:pPr>
            <w:r>
              <w:rPr>
                <w:sz w:val="17"/>
              </w:rPr>
              <w:t xml:space="preserve">Contestations</w:t>
            </w:r>
          </w:p>
        </w:tc>
        <w:tc>
          <w:tcPr>
            <w:shd w:val="clear" w:color="auto" w:fill="F5F7FB"/>
          </w:tcPr>
          <w:p>
            <w:pPr>
              <w:pStyle w:val="Compact"/>
            </w:pPr>
            <w:r>
              <w:rPr>
                <w:sz w:val="17"/>
              </w:rPr>
              <w:t xml:space="preserve">30 % ou plus des pénalités retenues contestées ou annulées</w:t>
            </w:r>
          </w:p>
        </w:tc>
      </w:tr>
      <w:tr>
        <w:tc>
          <w:tcPr/>
          <w:p>
            <w:pPr>
              <w:pStyle w:val="Compact"/>
            </w:pPr>
            <w:r>
              <w:rPr>
                <w:sz w:val="17"/>
              </w:rPr>
              <w:t xml:space="preserve">Preuves faibles</w:t>
            </w:r>
          </w:p>
        </w:tc>
        <w:tc>
          <w:tcPr/>
          <w:p>
            <w:pPr>
              <w:pStyle w:val="Compact"/>
            </w:pPr>
            <w:r>
              <w:rPr>
                <w:sz w:val="17"/>
              </w:rPr>
              <w:t xml:space="preserve">30 % ou plus de photos ou positions imprécises</w:t>
            </w:r>
          </w:p>
        </w:tc>
      </w:tr>
      <w:tr>
        <w:tc>
          <w:tcPr>
            <w:shd w:val="clear" w:color="auto" w:fill="F5F7FB"/>
          </w:tcPr>
          <w:p>
            <w:pPr>
              <w:pStyle w:val="Compact"/>
            </w:pPr>
            <w:r>
              <w:rPr>
                <w:sz w:val="17"/>
              </w:rPr>
              <w:t xml:space="preserve">Commission issue de pénalités</w:t>
            </w:r>
          </w:p>
        </w:tc>
        <w:tc>
          <w:tcPr>
            <w:shd w:val="clear" w:color="auto" w:fill="F5F7FB"/>
          </w:tcPr>
          <w:p>
            <w:pPr>
              <w:pStyle w:val="Compact"/>
            </w:pPr>
            <w:r>
              <w:rPr>
                <w:sz w:val="17"/>
              </w:rPr>
              <w:t xml:space="preserve">70 % ou plus (information seulement)</w:t>
            </w:r>
          </w:p>
        </w:tc>
      </w:tr>
    </w:tbl>
    <w:p>
      <w:pPr>
        <w:pStyle w:val="Compact"/>
        <w:numPr>
          <w:ilvl w:val="0"/>
          <w:numId w:val="1051"/>
        </w:numPr>
      </w:pPr>
      <w:r>
        <w:rPr>
          <w:b/>
          <w:bCs/>
        </w:rPr>
        <w:t xml:space="preserve">Un signal n’entraîne aucune mesure automatique</w:t>
      </w:r>
      <w:r>
        <w:t xml:space="preserve"> </w:t>
      </w:r>
      <w:r>
        <w:t xml:space="preserve">: il ouvre un examen humain (superviseur, contrôle mystère § 15A). Accès : Gouverneur et cabinet, direction et régies (DGIPK, DGRK), supervision de terrain, inspection, audit.</w:t>
      </w:r>
    </w:p>
    <w:p>
      <w:pPr>
        <w:pStyle w:val="FirstParagraph"/>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/v1/agents/monitoring</w:t>
            </w:r>
          </w:p>
        </w:tc>
        <w:tc>
          <w:tcPr>
            <w:shd w:val="clear" w:color="auto" w:fill="F5F7FB"/>
          </w:tcPr>
          <w:p>
            <w:pPr>
              <w:pStyle w:val="Compact"/>
            </w:pPr>
            <w:r>
              <w:rPr>
                <w:sz w:val="17"/>
              </w:rPr>
              <w:t xml:space="preserve">Surveillance des constats par agent (pilotage, régies, supervision, inspection, audit)</w:t>
            </w:r>
          </w:p>
        </w:tc>
      </w:tr>
      <w:tr>
        <w:tc>
          <w:tcPr/>
          <w:p>
            <w:pPr>
              <w:pStyle w:val="Compact"/>
            </w:pPr>
            <w:r>
              <w:rPr>
                <w:rStyle w:val="VerbatimChar"/>
                <w:sz w:val="17"/>
              </w:rPr>
              <w:t xml:space="preserve">GET /v1/parking/agents/me/earnings</w:t>
            </w:r>
          </w:p>
        </w:tc>
        <w:tc>
          <w:tcPr/>
          <w:p>
            <w:pPr>
              <w:pStyle w:val="Compact"/>
            </w:pPr>
            <w:r>
              <w:rPr>
                <w:sz w:val="17"/>
              </w:rPr>
              <w:t xml:space="preserve">Gains de l’agent (même contenu, pour les écrans du stationnement)</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 même module à tout âge, tous modules après 30 jours, jamais pour l’usager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 ;</w:t>
      </w:r>
      <w:r>
        <w:t xml:space="preserve"> </w:t>
      </w:r>
      <w:r>
        <w:t xml:space="preserve">- surveillance des constats (signal d’un agent qui multiplie les constats, droits d’accès) ;</w:t>
      </w:r>
      <w:r>
        <w:t xml:space="preserve"> </w:t>
      </w:r>
      <w:r>
        <w:t xml:space="preserve">- point ajusté à la main (source MANUEL) signalé comme position imprécise.</w:t>
      </w:r>
    </w:p>
    <w:bookmarkEnd w:id="631"/>
    <w:bookmarkStart w:id="632" w:name="X71ecabb285c682683858349c7a9d755ab50cc98"/>
    <w:p>
      <w:pPr>
        <w:pStyle w:val="Heading2"/>
      </w:pPr>
      <w:r>
        <w:t xml:space="preserve">I.16 Cartographie OpenStreetMap auto-hébergée et géolocalisation précise</w:t>
      </w:r>
    </w:p>
    <w:p>
      <w:pPr>
        <w:pStyle w:val="FirstParagraph"/>
      </w:pPr>
      <w:r>
        <w:rPr>
          <w:b/>
          <w:bCs/>
        </w:rPr>
        <w:t xml:space="preserve">Choix du maître d’ouvrage : OpenStreetMap, auto-hébergée</w:t>
      </w:r>
      <w:r>
        <w:t xml:space="preserve"> </w:t>
      </w:r>
      <w:r>
        <w:t xml:space="preserve">(plutôt que Google Maps).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Google Maps</w:t>
            </w:r>
          </w:p>
        </w:tc>
        <w:tc>
          <w:tcPr>
            <w:shd w:val="clear" w:color="auto" w:fill="232C6B"/>
          </w:tcPr>
          <w:p>
            <w:pPr>
              <w:pStyle w:val="Compact"/>
            </w:pPr>
            <w:r>
              <w:rPr>
                <w:b/>
                <w:color w:val="FFFFFF"/>
                <w:sz w:val="17"/>
              </w:rPr>
              <w:t xml:space="preserve">OpenStreetMap auto-hébergée (retenue)</w:t>
            </w:r>
          </w:p>
        </w:tc>
      </w:tr>
      <w:tr>
        <w:tc>
          <w:tcPr/>
          <w:p>
            <w:pPr>
              <w:pStyle w:val="Compact"/>
            </w:pPr>
            <w:r>
              <w:rPr>
                <w:sz w:val="17"/>
              </w:rPr>
              <w:t xml:space="preserve">Coût</w:t>
            </w:r>
          </w:p>
        </w:tc>
        <w:tc>
          <w:tcPr/>
          <w:p>
            <w:pPr>
              <w:pStyle w:val="Compact"/>
            </w:pPr>
            <w:r>
              <w:rPr>
                <w:sz w:val="17"/>
              </w:rPr>
              <w:t xml:space="preserve">Facturé à l’usage au-delà d’un quota ; montant variable avec le nombre d’agents et d’usagers</w:t>
            </w:r>
          </w:p>
        </w:tc>
        <w:tc>
          <w:tcPr/>
          <w:p>
            <w:pPr>
              <w:pStyle w:val="Compact"/>
            </w:pPr>
            <w:r>
              <w:rPr>
                <w:sz w:val="17"/>
              </w:rPr>
              <w:t xml:space="preserve">Aucune redevance ; seul l’hébergement (quelques centaines de Mo)</w:t>
            </w:r>
          </w:p>
        </w:tc>
      </w:tr>
      <w:tr>
        <w:tc>
          <w:tcPr>
            <w:shd w:val="clear" w:color="auto" w:fill="F5F7FB"/>
          </w:tcPr>
          <w:p>
            <w:pPr>
              <w:pStyle w:val="Compact"/>
            </w:pPr>
            <w:r>
              <w:rPr>
                <w:sz w:val="17"/>
              </w:rPr>
              <w:t xml:space="preserve">Souveraineté des données</w:t>
            </w:r>
          </w:p>
        </w:tc>
        <w:tc>
          <w:tcPr>
            <w:shd w:val="clear" w:color="auto" w:fill="F5F7FB"/>
          </w:tcPr>
          <w:p>
            <w:pPr>
              <w:pStyle w:val="Compact"/>
            </w:pPr>
            <w:r>
              <w:rPr>
                <w:sz w:val="17"/>
              </w:rPr>
              <w:t xml:space="preserve">Chaque affichage passe par les serveurs de Google (positions des agents, lieux contrôlés)</w:t>
            </w:r>
          </w:p>
        </w:tc>
        <w:tc>
          <w:tcPr>
            <w:shd w:val="clear" w:color="auto" w:fill="F5F7FB"/>
          </w:tcPr>
          <w:p>
            <w:pPr>
              <w:pStyle w:val="Compact"/>
            </w:pPr>
            <w:r>
              <w:rPr>
                <w:sz w:val="17"/>
              </w:rPr>
              <w:t xml:space="preserve">Tout est servi par MOSOLO : aucune position ne sort de l’infrastructure de la Ville</w:t>
            </w:r>
          </w:p>
        </w:tc>
      </w:tr>
      <w:tr>
        <w:tc>
          <w:tcPr/>
          <w:p>
            <w:pPr>
              <w:pStyle w:val="Compact"/>
            </w:pPr>
            <w:r>
              <w:rPr>
                <w:sz w:val="17"/>
              </w:rPr>
              <w:t xml:space="preserve">Hors réseau</w:t>
            </w:r>
          </w:p>
        </w:tc>
        <w:tc>
          <w:tcPr/>
          <w:p>
            <w:pPr>
              <w:pStyle w:val="Compact"/>
            </w:pPr>
            <w:r>
              <w:rPr>
                <w:sz w:val="17"/>
              </w:rPr>
              <w:t xml:space="preserve">Limité, conditions d’utilisation restrictives</w:t>
            </w:r>
          </w:p>
        </w:tc>
        <w:tc>
          <w:tcPr/>
          <w:p>
            <w:pPr>
              <w:pStyle w:val="Compact"/>
            </w:pPr>
            <w:r>
              <w:rPr>
                <w:sz w:val="17"/>
              </w:rPr>
              <w:t xml:space="preserve">Fonctionne sans réseau une fois l’application et la carte chargées</w:t>
            </w:r>
          </w:p>
        </w:tc>
      </w:tr>
      <w:tr>
        <w:tc>
          <w:tcPr>
            <w:shd w:val="clear" w:color="auto" w:fill="F5F7FB"/>
          </w:tcPr>
          <w:p>
            <w:pPr>
              <w:pStyle w:val="Compact"/>
            </w:pPr>
            <w:r>
              <w:rPr>
                <w:sz w:val="17"/>
              </w:rPr>
              <w:t xml:space="preserve">Qualité à Kinshasa</w:t>
            </w:r>
          </w:p>
        </w:tc>
        <w:tc>
          <w:tcPr>
            <w:shd w:val="clear" w:color="auto" w:fill="F5F7FB"/>
          </w:tcPr>
          <w:p>
            <w:pPr>
              <w:pStyle w:val="Compact"/>
            </w:pPr>
            <w:r>
              <w:rPr>
                <w:sz w:val="17"/>
              </w:rPr>
              <w:t xml:space="preserve">Bonne sur les grands axes</w:t>
            </w:r>
          </w:p>
        </w:tc>
        <w:tc>
          <w:tcPr>
            <w:shd w:val="clear" w:color="auto" w:fill="F5F7FB"/>
          </w:tcPr>
          <w:p>
            <w:pPr>
              <w:pStyle w:val="Compact"/>
            </w:pPr>
            <w:r>
              <w:rPr>
                <w:sz w:val="17"/>
              </w:rPr>
              <w:t xml:space="preserve">Bonne sur les axes ; les quartiers peuvent être complétés par la Ville (données ouvertes, licence ODbL)</w:t>
            </w:r>
          </w:p>
        </w:tc>
      </w:tr>
      <w:tr>
        <w:tc>
          <w:tcPr/>
          <w:p>
            <w:pPr>
              <w:pStyle w:val="Compact"/>
            </w:pPr>
            <w:r>
              <w:rPr>
                <w:sz w:val="17"/>
              </w:rPr>
              <w:t xml:space="preserve">Licence</w:t>
            </w:r>
          </w:p>
        </w:tc>
        <w:tc>
          <w:tcPr/>
          <w:p>
            <w:pPr>
              <w:pStyle w:val="Compact"/>
            </w:pPr>
            <w:r>
              <w:rPr>
                <w:sz w:val="17"/>
              </w:rPr>
              <w:t xml:space="preserve">Contrat commercial, restrictions de stockage</w:t>
            </w:r>
          </w:p>
        </w:tc>
        <w:tc>
          <w:tcPr/>
          <w:p>
            <w:pPr>
              <w:pStyle w:val="Compact"/>
            </w:pPr>
            <w:r>
              <w:rPr>
                <w:sz w:val="17"/>
              </w:rPr>
              <w:t xml:space="preserve">ODbL : mention « © contributeurs OpenStreetMap » obligatoire (affichée sur chaque carte)</w:t>
            </w:r>
          </w:p>
        </w:tc>
      </w:tr>
    </w:tbl>
    <w:p>
      <w:pPr>
        <w:pStyle w:val="BodyText"/>
      </w:pPr>
      <w:r>
        <w:rPr>
          <w:b/>
          <w:bCs/>
        </w:rPr>
        <w:t xml:space="preserve">Construction.</w:t>
      </w:r>
    </w:p>
    <w:p>
      <w:pPr>
        <w:pStyle w:val="Compact"/>
        <w:numPr>
          <w:ilvl w:val="0"/>
          <w:numId w:val="1052"/>
        </w:numPr>
      </w:pPr>
      <w:r>
        <w:rPr>
          <w:b/>
          <w:bCs/>
        </w:rPr>
        <w:t xml:space="preserve">Moteur</w:t>
      </w:r>
      <w:r>
        <w:t xml:space="preserve"> </w:t>
      </w:r>
      <w:r>
        <w:t xml:space="preserve">: MapLibre GL (libre), chargé seulement par les écrans qui affichent une carte.</w:t>
      </w:r>
    </w:p>
    <w:p>
      <w:pPr>
        <w:pStyle w:val="Compact"/>
        <w:numPr>
          <w:ilvl w:val="0"/>
          <w:numId w:val="1052"/>
        </w:numPr>
      </w:pPr>
      <w:r>
        <w:rPr>
          <w:b/>
          <w:bCs/>
        </w:rPr>
        <w:t xml:space="preserve">Fond de carte</w:t>
      </w:r>
      <w:r>
        <w:t xml:space="preserve"> </w:t>
      </w:r>
      <w:r>
        <w:t xml:space="preserve">: tuiles vectorielles de Kinshasa au format PMTiles, fichier unique</w:t>
      </w:r>
      <w:r>
        <w:t xml:space="preserve"> </w:t>
      </w:r>
      <w:r>
        <w:rPr>
          <w:rStyle w:val="VerbatimChar"/>
        </w:rPr>
        <w:t xml:space="preserve">/tiles/kinshasa.pmtiles</w:t>
      </w:r>
      <w:r>
        <w:t xml:space="preserve"> </w:t>
      </w:r>
      <w:r>
        <w:t xml:space="preserve">servi par MOSOLO, fabriqué par</w:t>
      </w:r>
      <w:r>
        <w:t xml:space="preserve"> </w:t>
      </w:r>
      <w:r>
        <w:rPr>
          <w:rStyle w:val="VerbatimChar"/>
        </w:rPr>
        <w:t xml:space="preserve">tools/maps/construire-tuiles-kinshasa.sh</w:t>
      </w:r>
      <w:r>
        <w:t xml:space="preserve"> </w:t>
      </w:r>
      <w:r>
        <w:t xml:space="preserve">(extrait Protomaps ou Geofabrik + Planetiler ; emprise 15,05–15,70 E, 4,15–4,75 S ; zoom 16). Le fichier n’est pas dans le dépôt : il se fabrique sur le serveur de la Ville. Tant qu’il manque, les cartes affichent les couches MOSOLO (points, zones, cercle de précision) sur un fond neutre, avec une note.</w:t>
      </w:r>
    </w:p>
    <w:p>
      <w:pPr>
        <w:pStyle w:val="Compact"/>
        <w:numPr>
          <w:ilvl w:val="0"/>
          <w:numId w:val="1052"/>
        </w:numPr>
      </w:pPr>
      <w:r>
        <w:rPr>
          <w:b/>
          <w:bCs/>
        </w:rPr>
        <w:t xml:space="preserve">Polices et icônes de carte</w:t>
      </w:r>
      <w:r>
        <w:t xml:space="preserve"> </w:t>
      </w:r>
      <w:r>
        <w:t xml:space="preserve">: servies par MOSOLO (</w:t>
      </w:r>
      <w:r>
        <w:rPr>
          <w:rStyle w:val="VerbatimChar"/>
        </w:rPr>
        <w:t xml:space="preserve">/map/</w:t>
      </w:r>
      <w:r>
        <w:t xml:space="preserve">), licences dans</w:t>
      </w:r>
      <w:r>
        <w:t xml:space="preserve"> </w:t>
      </w:r>
      <w:r>
        <w:rPr>
          <w:rStyle w:val="VerbatimChar"/>
        </w:rPr>
        <w:t xml:space="preserve">frontend/public/map/LICENCES.md</w:t>
      </w:r>
      <w:r>
        <w:t xml:space="preserve">.</w:t>
      </w:r>
    </w:p>
    <w:p>
      <w:pPr>
        <w:pStyle w:val="Compact"/>
        <w:numPr>
          <w:ilvl w:val="0"/>
          <w:numId w:val="1052"/>
        </w:numPr>
      </w:pPr>
      <w:r>
        <w:rPr>
          <w:b/>
          <w:bCs/>
        </w:rPr>
        <w:t xml:space="preserve">Anciens téléphones sans WebGL</w:t>
      </w:r>
      <w:r>
        <w:t xml:space="preserve"> </w:t>
      </w:r>
      <w:r>
        <w:t xml:space="preserve">: les écrans gardent leur plan schématique ; les coordonnées restent affichées et enregistrées.</w:t>
      </w:r>
    </w:p>
    <w:p>
      <w:pPr>
        <w:pStyle w:val="Compact"/>
        <w:numPr>
          <w:ilvl w:val="0"/>
          <w:numId w:val="1052"/>
        </w:numPr>
      </w:pPr>
      <w:r>
        <w:rPr>
          <w:b/>
          <w:bCs/>
        </w:rPr>
        <w:t xml:space="preserve">Application installée (PWA)</w:t>
      </w:r>
      <w:r>
        <w:t xml:space="preserve"> </w:t>
      </w:r>
      <w:r>
        <w:t xml:space="preserve">: le moteur de carte est pré-chargé ; polices et icônes sont mises en cache à la première carte ; les tuiles (lues par plages d’octets) ne passent pas par le service worker.</w:t>
      </w:r>
    </w:p>
    <w:p>
      <w:pPr>
        <w:pStyle w:val="FirstParagraph"/>
      </w:pPr>
      <w:r>
        <w:rPr>
          <w:b/>
          <w:bCs/>
        </w:rPr>
        <w:t xml:space="preserve">Géolocalisation précise, partout où elle sert.</w:t>
      </w:r>
    </w:p>
    <w:p>
      <w:pPr>
        <w:pStyle w:val="Compact"/>
        <w:numPr>
          <w:ilvl w:val="0"/>
          <w:numId w:val="1053"/>
        </w:numPr>
      </w:pPr>
      <w:r>
        <w:rPr>
          <w:b/>
          <w:bCs/>
        </w:rPr>
        <w:t xml:space="preserve">Méthode</w:t>
      </w:r>
      <w:r>
        <w:t xml:space="preserve"> </w:t>
      </w:r>
      <w:r>
        <w:t xml:space="preserve">: GPS haute précision, jamais de position en cache ; plusieurs relevés ; la position retenue est la</w:t>
      </w:r>
      <w:r>
        <w:t xml:space="preserve"> </w:t>
      </w:r>
      <w:r>
        <w:rPr>
          <w:b/>
          <w:bCs/>
        </w:rPr>
        <w:t xml:space="preserve">moyenne pondérée des meilleurs relevés récents</w:t>
      </w:r>
      <w:r>
        <w:t xml:space="preserve"> </w:t>
      </w:r>
      <w:r>
        <w:t xml:space="preserve">(précision au plus 1,5 fois la meilleure, 25 secondes au plus). La recherche s’arrête à la précision cible (10 m pour les preuves, l’enrôlement et les missions ; 15 m pour le contrôle des titres, qui ne doit pas attendre) ou au bout de 30 secondes, en gardant le meilleur résultat.</w:t>
      </w:r>
    </w:p>
    <w:p>
      <w:pPr>
        <w:pStyle w:val="Compact"/>
        <w:numPr>
          <w:ilvl w:val="0"/>
          <w:numId w:val="1053"/>
        </w:numPr>
      </w:pPr>
      <w:r>
        <w:rPr>
          <w:b/>
          <w:bCs/>
        </w:rPr>
        <w:t xml:space="preserve">Qualité affichée et transmise</w:t>
      </w:r>
      <w:r>
        <w:t xml:space="preserve"> </w:t>
      </w:r>
      <w:r>
        <w:t xml:space="preserve">: excellente (≤ 5 m), bonne (≤ 15 m), moyenne (≤ 50 m), faible au-delà ; nombre de relevés ; barre de progression.</w:t>
      </w:r>
    </w:p>
    <w:p>
      <w:pPr>
        <w:pStyle w:val="Compact"/>
        <w:numPr>
          <w:ilvl w:val="0"/>
          <w:numId w:val="1053"/>
        </w:numPr>
      </w:pPr>
      <w:r>
        <w:rPr>
          <w:b/>
          <w:bCs/>
        </w:rPr>
        <w:t xml:space="preserve">Carte de vérification</w:t>
      </w:r>
      <w:r>
        <w:t xml:space="preserve"> </w:t>
      </w:r>
      <w:r>
        <w:t xml:space="preserve">: le point et son cercle de précision sur la carte OSM. L’agent peut</w:t>
      </w:r>
      <w:r>
        <w:t xml:space="preserve"> </w:t>
      </w:r>
      <w:r>
        <w:rPr>
          <w:b/>
          <w:bCs/>
        </w:rPr>
        <w:t xml:space="preserve">ajuster le point à la main</w:t>
      </w:r>
      <w:r>
        <w:t xml:space="preserve"> </w:t>
      </w:r>
      <w:r>
        <w:t xml:space="preserve">: la position est alors marquée « MANUEL » et signalée au vérificateur ; sans GPS, la position de la zone peut être utilisée, marquée « ZONE ».</w:t>
      </w:r>
    </w:p>
    <w:p>
      <w:pPr>
        <w:pStyle w:val="Compact"/>
        <w:numPr>
          <w:ilvl w:val="0"/>
          <w:numId w:val="1053"/>
        </w:numPr>
      </w:pPr>
      <w:r>
        <w:rPr>
          <w:b/>
          <w:bCs/>
        </w:rPr>
        <w:t xml:space="preserve">Écrans concernés</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Usage de la position</w:t>
            </w:r>
          </w:p>
        </w:tc>
      </w:tr>
      <w:tr>
        <w:tc>
          <w:tcPr/>
          <w:p>
            <w:pPr>
              <w:pStyle w:val="Compact"/>
            </w:pPr>
            <w:r>
              <w:rPr>
                <w:sz w:val="17"/>
              </w:rPr>
              <w:t xml:space="preserve">Caméra de preuve (stationnement)</w:t>
            </w:r>
          </w:p>
        </w:tc>
        <w:tc>
          <w:tcPr/>
          <w:p>
            <w:pPr>
              <w:pStyle w:val="Compact"/>
            </w:pPr>
            <w:r>
              <w:rPr>
                <w:sz w:val="17"/>
              </w:rPr>
              <w:t xml:space="preserve">Incrustée dans chaque photo, avec sa précision et sa source</w:t>
            </w:r>
          </w:p>
        </w:tc>
      </w:tr>
      <w:tr>
        <w:tc>
          <w:tcPr>
            <w:shd w:val="clear" w:color="auto" w:fill="F5F7FB"/>
          </w:tcPr>
          <w:p>
            <w:pPr>
              <w:pStyle w:val="Compact"/>
            </w:pPr>
            <w:r>
              <w:rPr>
                <w:sz w:val="17"/>
              </w:rPr>
              <w:t xml:space="preserve">Constat de stationnement, inspection publicitaire, espace annonceur</w:t>
            </w:r>
          </w:p>
        </w:tc>
        <w:tc>
          <w:tcPr>
            <w:shd w:val="clear" w:color="auto" w:fill="F5F7FB"/>
          </w:tcPr>
          <w:p>
            <w:pPr>
              <w:pStyle w:val="Compact"/>
            </w:pPr>
            <w:r>
              <w:rPr>
                <w:sz w:val="17"/>
              </w:rPr>
              <w:t xml:space="preserve">Position du véhicule ou du support</w:t>
            </w:r>
          </w:p>
        </w:tc>
      </w:tr>
      <w:tr>
        <w:tc>
          <w:tcPr/>
          <w:p>
            <w:pPr>
              <w:pStyle w:val="Compact"/>
            </w:pPr>
            <w:r>
              <w:rPr>
                <w:sz w:val="17"/>
              </w:rPr>
              <w:t xml:space="preserve">Contrôle des titres et du pass wewa</w:t>
            </w:r>
          </w:p>
        </w:tc>
        <w:tc>
          <w:tcPr/>
          <w:p>
            <w:pPr>
              <w:pStyle w:val="Compact"/>
            </w:pPr>
            <w:r>
              <w:rPr>
                <w:sz w:val="17"/>
              </w:rPr>
              <w:t xml:space="preserve">Lieu du contrôle</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sz w:val="17"/>
              </w:rPr>
              <w:t xml:space="preserve">Domicile ou site de la personne enrôlée</w:t>
            </w:r>
          </w:p>
        </w:tc>
      </w:tr>
      <w:tr>
        <w:tc>
          <w:tcPr/>
          <w:p>
            <w:pPr>
              <w:pStyle w:val="Compact"/>
            </w:pPr>
            <w:r>
              <w:rPr>
                <w:sz w:val="17"/>
              </w:rPr>
              <w:t xml:space="preserve">Missions de terrain et contre-visites</w:t>
            </w:r>
          </w:p>
        </w:tc>
        <w:tc>
          <w:tcPr/>
          <w:p>
            <w:pPr>
              <w:pStyle w:val="Compact"/>
            </w:pPr>
            <w:r>
              <w:rPr>
                <w:sz w:val="17"/>
              </w:rPr>
              <w:t xml:space="preserve">Position du constat, comparée au point enregistré</w:t>
            </w:r>
          </w:p>
        </w:tc>
      </w:tr>
      <w:tr>
        <w:tc>
          <w:tcPr>
            <w:shd w:val="clear" w:color="auto" w:fill="F5F7FB"/>
          </w:tcPr>
          <w:p>
            <w:pPr>
              <w:pStyle w:val="Compact"/>
            </w:pPr>
            <w:r>
              <w:rPr>
                <w:sz w:val="17"/>
              </w:rPr>
              <w:t xml:space="preserve">Autour de moi (agents des biens et activités)</w:t>
            </w:r>
          </w:p>
        </w:tc>
        <w:tc>
          <w:tcPr>
            <w:shd w:val="clear" w:color="auto" w:fill="F5F7FB"/>
          </w:tcPr>
          <w:p>
            <w:pPr>
              <w:pStyle w:val="Compact"/>
            </w:pPr>
            <w:r>
              <w:rPr>
                <w:sz w:val="17"/>
              </w:rPr>
              <w:t xml:space="preserve">Biens et commerces proches colorés vert, ambre, rouge, dans le secteur de l’agent</w:t>
            </w:r>
          </w:p>
        </w:tc>
      </w:tr>
      <w:tr>
        <w:tc>
          <w:tcPr/>
          <w:p>
            <w:pPr>
              <w:pStyle w:val="Compact"/>
            </w:pPr>
            <w:r>
              <w:rPr>
                <w:sz w:val="17"/>
              </w:rPr>
              <w:t xml:space="preserve">Carte des zones (usager, régie), carte des supports, points de paiement</w:t>
            </w:r>
          </w:p>
        </w:tc>
        <w:tc>
          <w:tcPr/>
          <w:p>
            <w:pPr>
              <w:pStyle w:val="Compact"/>
            </w:pPr>
            <w:r>
              <w:rPr>
                <w:sz w:val="17"/>
              </w:rPr>
              <w:t xml:space="preserve">Fond OSM au lieu du plan schématique</w:t>
            </w:r>
          </w:p>
        </w:tc>
      </w:tr>
    </w:tbl>
    <w:p>
      <w:pPr>
        <w:pStyle w:val="Compact"/>
        <w:numPr>
          <w:ilvl w:val="0"/>
          <w:numId w:val="1054"/>
        </w:numPr>
      </w:pPr>
      <w:r>
        <w:rPr>
          <w:b/>
          <w:bCs/>
        </w:rPr>
        <w:t xml:space="preserve">Contrôle côté serveur</w:t>
      </w:r>
      <w:r>
        <w:t xml:space="preserve"> </w:t>
      </w:r>
      <w:r>
        <w:t xml:space="preserve">: chaque photo de preuve porte sa distance au centre de la zone ; elle est signalée si la précision dépasse 30 m, si la source n’est pas le GPS, ou si elle est à plus de 600 m de la zone. Ces signaux alimentent la surveillance des constats (§ I.15, 5).</w:t>
      </w:r>
    </w:p>
    <w:p>
      <w:pPr>
        <w:pStyle w:val="FirstParagraph"/>
      </w:pPr>
      <w:r>
        <w:rPr>
          <w:b/>
          <w:bCs/>
        </w:rPr>
        <w:t xml:space="preserve">« Autour de moi » : biens et commerces proches en vert, ambre ou rouge</w:t>
      </w:r>
      <w:r>
        <w:t xml:space="preserve"> </w:t>
      </w:r>
      <w:r>
        <w:t xml:space="preserve">(demande du maître d’ouvrage du 27/09/2026). Les agents des modules liés aux biens et aux activités physiques (propriété, locatif, entreprises, marchés, chantiers, sites, publicité) disposent de l’écran « Autour de moi » (</w:t>
      </w:r>
      <w:r>
        <w:rPr>
          <w:rStyle w:val="VerbatimChar"/>
        </w:rPr>
        <w:t xml:space="preserve">/autour-de-moi</w:t>
      </w:r>
      <w:r>
        <w:t xml:space="preserve">, route</w:t>
      </w:r>
      <w:r>
        <w:t xml:space="preserve"> </w:t>
      </w:r>
      <w:r>
        <w:rPr>
          <w:rStyle w:val="VerbatimChar"/>
        </w:rPr>
        <w:t xml:space="preserve">GET /v1/fiscal/nearby</w:t>
      </w:r>
      <w:r>
        <w:t xml:space="preserve">). Une fois sur place, ils voient les biens et commerces proches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Sens</w:t>
            </w:r>
          </w:p>
        </w:tc>
      </w:tr>
      <w:tr>
        <w:tc>
          <w:tcPr/>
          <w:p>
            <w:pPr>
              <w:pStyle w:val="Compact"/>
            </w:pPr>
            <w:r>
              <w:rPr>
                <w:sz w:val="17"/>
              </w:rPr>
              <w:t xml:space="preserve">Vert</w:t>
            </w:r>
          </w:p>
        </w:tc>
        <w:tc>
          <w:tcPr/>
          <w:p>
            <w:pPr>
              <w:pStyle w:val="Compact"/>
            </w:pPr>
            <w:r>
              <w:rPr>
                <w:sz w:val="17"/>
              </w:rPr>
              <w:t xml:space="preserve">À jour : aucune obligation exigible impayée</w:t>
            </w:r>
          </w:p>
        </w:tc>
      </w:tr>
      <w:tr>
        <w:tc>
          <w:tcPr>
            <w:shd w:val="clear" w:color="auto" w:fill="F5F7FB"/>
          </w:tcPr>
          <w:p>
            <w:pPr>
              <w:pStyle w:val="Compact"/>
            </w:pPr>
            <w:r>
              <w:rPr>
                <w:sz w:val="17"/>
              </w:rPr>
              <w:t xml:space="preserve">Ambre</w:t>
            </w:r>
          </w:p>
        </w:tc>
        <w:tc>
          <w:tcPr>
            <w:shd w:val="clear" w:color="auto" w:fill="F5F7FB"/>
          </w:tcPr>
          <w:p>
            <w:pPr>
              <w:pStyle w:val="Compact"/>
            </w:pPr>
            <w:r>
              <w:rPr>
                <w:sz w:val="17"/>
              </w:rPr>
              <w:t xml:space="preserve">Paiement partiel, échéance dans les 30 jours, paiement en rapprochement ou objet non encore validé</w:t>
            </w:r>
          </w:p>
        </w:tc>
      </w:tr>
      <w:tr>
        <w:tc>
          <w:tcPr/>
          <w:p>
            <w:pPr>
              <w:pStyle w:val="Compact"/>
            </w:pPr>
            <w:r>
              <w:rPr>
                <w:sz w:val="17"/>
              </w:rPr>
              <w:t xml:space="preserve">Rouge</w:t>
            </w:r>
          </w:p>
        </w:tc>
        <w:tc>
          <w:tcPr/>
          <w:p>
            <w:pPr>
              <w:pStyle w:val="Compact"/>
            </w:pPr>
            <w:r>
              <w:rPr>
                <w:sz w:val="17"/>
              </w:rPr>
              <w:t xml:space="preserve">En retard, sur un objet vérifié</w:t>
            </w:r>
          </w:p>
        </w:tc>
      </w:tr>
      <w:tr>
        <w:tc>
          <w:tcPr>
            <w:shd w:val="clear" w:color="auto" w:fill="F5F7FB"/>
          </w:tcPr>
          <w:p>
            <w:pPr>
              <w:pStyle w:val="Compact"/>
            </w:pPr>
            <w:r>
              <w:rPr>
                <w:sz w:val="17"/>
              </w:rPr>
              <w:t xml:space="preserve">Gris</w:t>
            </w:r>
          </w:p>
        </w:tc>
        <w:tc>
          <w:tcPr>
            <w:shd w:val="clear" w:color="auto" w:fill="F5F7FB"/>
          </w:tcPr>
          <w:p>
            <w:pPr>
              <w:pStyle w:val="Compact"/>
            </w:pPr>
            <w:r>
              <w:rPr>
                <w:sz w:val="17"/>
              </w:rPr>
              <w:t xml:space="preserve">Recensé, non encore liquidé</w:t>
            </w:r>
          </w:p>
        </w:tc>
      </w:tr>
      <w:tr>
        <w:tc>
          <w:tcPr/>
          <w:p>
            <w:pPr>
              <w:pStyle w:val="Compact"/>
            </w:pPr>
            <w:r>
              <w:rPr>
                <w:sz w:val="17"/>
              </w:rPr>
              <w:t xml:space="preserve">Bleu</w:t>
            </w:r>
          </w:p>
        </w:tc>
        <w:tc>
          <w:tcPr/>
          <w:p>
            <w:pPr>
              <w:pStyle w:val="Compact"/>
            </w:pPr>
            <w:r>
              <w:rPr>
                <w:sz w:val="17"/>
              </w:rPr>
              <w:t xml:space="preserve">En litige ou en revue</w:t>
            </w:r>
          </w:p>
        </w:tc>
      </w:tr>
    </w:tbl>
    <w:p>
      <w:pPr>
        <w:pStyle w:val="Compact"/>
        <w:numPr>
          <w:ilvl w:val="0"/>
          <w:numId w:val="1055"/>
        </w:numPr>
      </w:pPr>
      <w:r>
        <w:rPr>
          <w:b/>
          <w:bCs/>
        </w:rPr>
        <w:t xml:space="preserve">Une fois dans la zone</w:t>
      </w:r>
      <w:r>
        <w:t xml:space="preserve"> </w:t>
      </w:r>
      <w:r>
        <w:t xml:space="preserve">: la liste ne s’affiche que si la position, mesurée par le GPS (100 m de précision au plus, jamais une position saisie à la main), se trouve dans une commune du</w:t>
      </w:r>
      <w:r>
        <w:t xml:space="preserve"> </w:t>
      </w:r>
      <w:r>
        <w:rPr>
          <w:b/>
          <w:bCs/>
        </w:rPr>
        <w:t xml:space="preserve">secteur de l’agent</w:t>
      </w:r>
      <w:r>
        <w:t xml:space="preserve">. Hors secteur, rien n’est montré.</w:t>
      </w:r>
    </w:p>
    <w:p>
      <w:pPr>
        <w:pStyle w:val="Compact"/>
        <w:numPr>
          <w:ilvl w:val="0"/>
          <w:numId w:val="1055"/>
        </w:numPr>
      </w:pPr>
      <w:r>
        <w:rPr>
          <w:b/>
          <w:bCs/>
        </w:rPr>
        <w:t xml:space="preserve">Carte et liste</w:t>
      </w:r>
      <w:r>
        <w:t xml:space="preserve"> </w:t>
      </w:r>
      <w:r>
        <w:t xml:space="preserve">: la position de l’agent, le rayon choisi (100 m à 1 km) et les biens colorés sur la carte OSM ; la liste va du plus proche au plus éloigné (référence IGF, plaque posée, quartier, motif de la couleur) ; filtre par couleur ; mise à jour automatique quand l’agent se déplace de 40 m.</w:t>
      </w:r>
    </w:p>
    <w:p>
      <w:pPr>
        <w:pStyle w:val="Compact"/>
        <w:numPr>
          <w:ilvl w:val="0"/>
          <w:numId w:val="1055"/>
        </w:numPr>
      </w:pPr>
      <w:r>
        <w:rPr>
          <w:b/>
          <w:bCs/>
        </w:rPr>
        <w:t xml:space="preserve">Aucun montant ni nom de contribuable</w:t>
      </w:r>
      <w:r>
        <w:t xml:space="preserve"> </w:t>
      </w:r>
      <w:r>
        <w:t xml:space="preserve">dans la liste : la couleur oriente la visite, elle ne vaut ni constat ni sanction (circuit RW1 inchangé). L’agent ne reçoit jamais d’espèces ; il peut faire payer un bien ambre ou rouge par canal numérique (§ I.17).</w:t>
      </w:r>
    </w:p>
    <w:p>
      <w:pPr>
        <w:pStyle w:val="Compact"/>
        <w:numPr>
          <w:ilvl w:val="0"/>
          <w:numId w:val="1055"/>
        </w:numPr>
      </w:pPr>
      <w:r>
        <w:rPr>
          <w:b/>
          <w:bCs/>
        </w:rPr>
        <w:t xml:space="preserve">Journalisation</w:t>
      </w:r>
      <w:r>
        <w:t xml:space="preserve"> </w:t>
      </w:r>
      <w:r>
        <w:t xml:space="preserve">: chaque consultation est tracée (position, précision, rayon, commune, nombre de biens et de rouges montrés), ce qui alimente la surveillance des agents.</w:t>
      </w:r>
    </w:p>
    <w:p>
      <w:pPr>
        <w:pStyle w:val="Compact"/>
        <w:numPr>
          <w:ilvl w:val="0"/>
          <w:numId w:val="1055"/>
        </w:numPr>
      </w:pPr>
      <w:r>
        <w:rPr>
          <w:b/>
          <w:bCs/>
        </w:rPr>
        <w:t xml:space="preserve">Rôles</w:t>
      </w:r>
      <w:r>
        <w:t xml:space="preserve"> </w:t>
      </w:r>
      <w:r>
        <w:t xml:space="preserve">: agent de terrain, superviseur, contrôleur et sous-traitant de terrain dans leur secteur ; direction, chef de service, audit et anti-fraude partout. Les véhicules (objets mobiles) sont exclus.</w:t>
      </w:r>
    </w:p>
    <w:p>
      <w:pPr>
        <w:pStyle w:val="Compact"/>
        <w:numPr>
          <w:ilvl w:val="0"/>
          <w:numId w:val="1055"/>
        </w:numPr>
      </w:pPr>
      <w:r>
        <w:t xml:space="preserve">Tests :</w:t>
      </w:r>
      <w:r>
        <w:t xml:space="preserve"> </w:t>
      </w:r>
      <w:r>
        <w:rPr>
          <w:rStyle w:val="VerbatimChar"/>
        </w:rPr>
        <w:t xml:space="preserve">backend/test/fiscal-nearby.test.ts</w:t>
      </w:r>
      <w:r>
        <w:t xml:space="preserve"> </w:t>
      </w:r>
      <w:r>
        <w:t xml:space="preserve">(dans le secteur, hors secteur, précision insuffisante, rayon plafonné, rôles refusés).</w:t>
      </w:r>
    </w:p>
    <w:bookmarkEnd w:id="632"/>
    <w:bookmarkStart w:id="633" w:name="Xec906ea87a199ca790f21f57c16b14628218f25"/>
    <w:p>
      <w:pPr>
        <w:pStyle w:val="Heading2"/>
      </w:pPr>
      <w:r>
        <w:t xml:space="preserve">I.17 Paiement numérique assisté par l’agent : jamais d’espèces</w:t>
      </w:r>
    </w:p>
    <w:p>
      <w:pPr>
        <w:pStyle w:val="FirstParagraph"/>
      </w:pPr>
      <w:r>
        <w:t xml:space="preserve">Décision du maître d’ouvrage du 27/09/2026 :</w:t>
      </w:r>
      <w:r>
        <w:t xml:space="preserve"> </w:t>
      </w:r>
      <w:r>
        <w:rPr>
          <w:b/>
          <w:bCs/>
        </w:rPr>
        <w:t xml:space="preserve">un agent de terrain ne reçoit jamais d’espèces</w:t>
      </w:r>
      <w:r>
        <w:t xml:space="preserve">. Les espèces se paient uniquement dans les lieux prévus (point de paiement agréé, guichet bancaire MOSOLO). En revanche, l’agent peut</w:t>
      </w:r>
      <w:r>
        <w:t xml:space="preserve"> </w:t>
      </w:r>
      <w:r>
        <w:rPr>
          <w:b/>
          <w:bCs/>
        </w:rPr>
        <w:t xml:space="preserve">faire payer sur place par les canaux numériques</w:t>
      </w:r>
      <w:r>
        <w:t xml:space="preserve">, comme partout dans le système.</w:t>
      </w:r>
    </w:p>
    <w:p>
      <w:pPr>
        <w:pStyle w:val="BodyText"/>
      </w:pPr>
      <w:r>
        <w:rPr>
          <w:b/>
          <w:bCs/>
        </w:rPr>
        <w:t xml:space="preserve">Aucun circuit parallèle.</w:t>
      </w:r>
      <w:r>
        <w:t xml:space="preserve"> </w:t>
      </w:r>
      <w:r>
        <w:t xml:space="preserve">L’agent émet (ou ré-affiche) la</w:t>
      </w:r>
      <w:r>
        <w:t xml:space="preserve"> </w:t>
      </w:r>
      <w:r>
        <w:rPr>
          <w:b/>
          <w:bCs/>
        </w:rPr>
        <w:t xml:space="preserve">référence officielle du circuit commun, au nom du seul titulaire</w:t>
      </w:r>
      <w:r>
        <w:t xml:space="preserve"> </w:t>
      </w:r>
      <w:r>
        <w:t xml:space="preserve">; c’est le même ordre de paiement que dans l’application, l’USSD ou au guichet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Canal proposé par l’agent</w:t>
            </w:r>
          </w:p>
        </w:tc>
        <w:tc>
          <w:tcPr>
            <w:shd w:val="clear" w:color="auto" w:fill="232C6B"/>
          </w:tcPr>
          <w:p>
            <w:pPr>
              <w:pStyle w:val="Compact"/>
            </w:pPr>
            <w:r>
              <w:rPr>
                <w:b/>
                <w:color w:val="FFFFFF"/>
                <w:sz w:val="17"/>
              </w:rPr>
              <w:t xml:space="preserve">Ce que fait l’usager</w:t>
            </w:r>
          </w:p>
        </w:tc>
      </w:tr>
      <w:tr>
        <w:tc>
          <w:tcPr/>
          <w:p>
            <w:pPr>
              <w:pStyle w:val="Compact"/>
            </w:pPr>
            <w:r>
              <w:rPr>
                <w:sz w:val="17"/>
              </w:rPr>
              <w:t xml:space="preserve">Monnaie mobile</w:t>
            </w:r>
          </w:p>
        </w:tc>
        <w:tc>
          <w:tcPr/>
          <w:p>
            <w:pPr>
              <w:pStyle w:val="Compact"/>
            </w:pPr>
            <w:r>
              <w:rPr>
                <w:sz w:val="17"/>
              </w:rPr>
              <w:t xml:space="preserve">Paie depuis</w:t>
            </w:r>
            <w:r>
              <w:rPr>
                <w:sz w:val="17"/>
              </w:rPr>
              <w:t xml:space="preserve"> </w:t>
            </w:r>
            <w:r>
              <w:rPr>
                <w:b/>
                <w:bCs/>
                <w:sz w:val="17"/>
              </w:rPr>
              <w:t xml:space="preserve">son</w:t>
            </w:r>
            <w:r>
              <w:rPr>
                <w:sz w:val="17"/>
              </w:rPr>
              <w:t xml:space="preserve"> </w:t>
            </w:r>
            <w:r>
              <w:rPr>
                <w:sz w:val="17"/>
              </w:rPr>
              <w:t xml:space="preserve">téléphone vers le compte public, avec la référence</w:t>
            </w:r>
          </w:p>
        </w:tc>
      </w:tr>
      <w:tr>
        <w:tc>
          <w:tcPr>
            <w:shd w:val="clear" w:color="auto" w:fill="F5F7FB"/>
          </w:tcPr>
          <w:p>
            <w:pPr>
              <w:pStyle w:val="Compact"/>
            </w:pPr>
            <w:r>
              <w:rPr>
                <w:sz w:val="17"/>
              </w:rPr>
              <w:t xml:space="preserve">USSD</w:t>
            </w:r>
          </w:p>
        </w:tc>
        <w:tc>
          <w:tcPr>
            <w:shd w:val="clear" w:color="auto" w:fill="F5F7FB"/>
          </w:tcPr>
          <w:p>
            <w:pPr>
              <w:pStyle w:val="Compact"/>
            </w:pPr>
            <w:r>
              <w:rPr>
                <w:sz w:val="17"/>
              </w:rPr>
              <w:t xml:space="preserve">Compose le code USSD officiel sur</w:t>
            </w:r>
            <w:r>
              <w:rPr>
                <w:sz w:val="17"/>
              </w:rPr>
              <w:t xml:space="preserve"> </w:t>
            </w:r>
            <w:r>
              <w:rPr>
                <w:b/>
                <w:bCs/>
                <w:sz w:val="17"/>
              </w:rPr>
              <w:t xml:space="preserve">son</w:t>
            </w:r>
            <w:r>
              <w:rPr>
                <w:sz w:val="17"/>
              </w:rPr>
              <w:t xml:space="preserve"> </w:t>
            </w:r>
            <w:r>
              <w:rPr>
                <w:sz w:val="17"/>
              </w:rPr>
              <w:t xml:space="preserve">téléphone et saisit la référence (tout téléphone, sans internet)</w:t>
            </w:r>
          </w:p>
        </w:tc>
      </w:tr>
      <w:tr>
        <w:tc>
          <w:tcPr/>
          <w:p>
            <w:pPr>
              <w:pStyle w:val="Compact"/>
            </w:pPr>
            <w:r>
              <w:rPr>
                <w:sz w:val="17"/>
              </w:rPr>
              <w:t xml:space="preserve">QR</w:t>
            </w:r>
          </w:p>
        </w:tc>
        <w:tc>
          <w:tcPr/>
          <w:p>
            <w:pPr>
              <w:pStyle w:val="Compact"/>
            </w:pPr>
            <w:r>
              <w:rPr>
                <w:sz w:val="17"/>
              </w:rPr>
              <w:t xml:space="preserve">Scanne le QR du prestataire connecté avec</w:t>
            </w:r>
            <w:r>
              <w:rPr>
                <w:sz w:val="17"/>
              </w:rPr>
              <w:t xml:space="preserve"> </w:t>
            </w:r>
            <w:r>
              <w:rPr>
                <w:b/>
                <w:bCs/>
                <w:sz w:val="17"/>
              </w:rPr>
              <w:t xml:space="preserve">son</w:t>
            </w:r>
            <w:r>
              <w:rPr>
                <w:sz w:val="17"/>
              </w:rPr>
              <w:t xml:space="preserve"> </w:t>
            </w:r>
            <w:r>
              <w:rPr>
                <w:sz w:val="17"/>
              </w:rPr>
              <w:t xml:space="preserve">application ; montant et compte public déjà renseignés</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Paie par</w:t>
            </w:r>
            <w:r>
              <w:rPr>
                <w:sz w:val="17"/>
              </w:rPr>
              <w:t xml:space="preserve"> </w:t>
            </w:r>
            <w:r>
              <w:rPr>
                <w:b/>
                <w:bCs/>
                <w:sz w:val="17"/>
              </w:rPr>
              <w:t xml:space="preserve">sa</w:t>
            </w:r>
            <w:r>
              <w:rPr>
                <w:sz w:val="17"/>
              </w:rPr>
              <w:t xml:space="preserve"> </w:t>
            </w:r>
            <w:r>
              <w:rPr>
                <w:sz w:val="17"/>
              </w:rPr>
              <w:t xml:space="preserve">carte sur un terminal agréé ou dans l’application</w:t>
            </w:r>
          </w:p>
        </w:tc>
      </w:tr>
      <w:tr>
        <w:tc>
          <w:tcPr/>
          <w:p>
            <w:pPr>
              <w:pStyle w:val="Compact"/>
            </w:pPr>
            <w:r>
              <w:rPr>
                <w:sz w:val="17"/>
              </w:rPr>
              <w:t xml:space="preserve">Espèces</w:t>
            </w:r>
          </w:p>
        </w:tc>
        <w:tc>
          <w:tcPr/>
          <w:p>
            <w:pPr>
              <w:pStyle w:val="Compact"/>
            </w:pPr>
            <w:r>
              <w:rPr>
                <w:b/>
                <w:bCs/>
                <w:sz w:val="17"/>
              </w:rPr>
              <w:t xml:space="preserve">Refusées à l’agent</w:t>
            </w:r>
            <w:r>
              <w:rPr>
                <w:sz w:val="17"/>
              </w:rPr>
              <w:t xml:space="preserve"> </w:t>
            </w:r>
            <w:r>
              <w:rPr>
                <w:sz w:val="17"/>
              </w:rPr>
              <w:t xml:space="preserve">(</w:t>
            </w:r>
            <w:r>
              <w:rPr>
                <w:rStyle w:val="VerbatimChar"/>
                <w:sz w:val="17"/>
              </w:rPr>
              <w:t xml:space="preserve">CASH_NOT_ALLOWED_FOR_AGENT</w:t>
            </w:r>
            <w:r>
              <w:rPr>
                <w:sz w:val="17"/>
              </w:rPr>
              <w:t xml:space="preserve">) : l’usager va dans un point agréé ou au guichet bancaire, avec la même référence</w:t>
            </w:r>
          </w:p>
        </w:tc>
      </w:tr>
    </w:tbl>
    <w:p>
      <w:pPr>
        <w:pStyle w:val="BodyText"/>
      </w:pPr>
      <w:r>
        <w:rPr>
          <w:b/>
          <w:bCs/>
        </w:rPr>
        <w:t xml:space="preserve">Garde-fous.</w:t>
      </w:r>
    </w:p>
    <w:p>
      <w:pPr>
        <w:pStyle w:val="Compact"/>
        <w:numPr>
          <w:ilvl w:val="0"/>
          <w:numId w:val="1056"/>
        </w:numPr>
      </w:pPr>
      <w:r>
        <w:t xml:space="preserve">Le montant est le</w:t>
      </w:r>
      <w:r>
        <w:t xml:space="preserve"> </w:t>
      </w:r>
      <w:r>
        <w:rPr>
          <w:b/>
          <w:bCs/>
        </w:rPr>
        <w:t xml:space="preserve">solde de l’obligation</w:t>
      </w:r>
      <w:r>
        <w:t xml:space="preserve"> </w:t>
      </w:r>
      <w:r>
        <w:t xml:space="preserve">: il ne se saisit pas et ne se négocie pas.</w:t>
      </w:r>
    </w:p>
    <w:p>
      <w:pPr>
        <w:pStyle w:val="Compact"/>
        <w:numPr>
          <w:ilvl w:val="0"/>
          <w:numId w:val="1056"/>
        </w:numPr>
      </w:pPr>
      <w:r>
        <w:t xml:space="preserve">L’agent ne touche ni argent, ni téléphone, ni carte, ni code secret de l’usager ; l’ordre appartient au titulaire ; le bénéficiaire est le compte public.</w:t>
      </w:r>
    </w:p>
    <w:p>
      <w:pPr>
        <w:pStyle w:val="Compact"/>
        <w:numPr>
          <w:ilvl w:val="0"/>
          <w:numId w:val="1056"/>
        </w:numPr>
      </w:pPr>
      <w:r>
        <w:rPr>
          <w:b/>
          <w:bCs/>
        </w:rPr>
        <w:t xml:space="preserve">Sur place</w:t>
      </w:r>
      <w:r>
        <w:t xml:space="preserve"> </w:t>
      </w:r>
      <w:r>
        <w:t xml:space="preserve">: position GPS précise (100 m au plus) ; pour un bien fixe, 300 m au plus du bien ;</w:t>
      </w:r>
      <w:r>
        <w:t xml:space="preserve"> </w:t>
      </w:r>
      <w:r>
        <w:rPr>
          <w:b/>
          <w:bCs/>
        </w:rPr>
        <w:t xml:space="preserve">dans le secteur</w:t>
      </w:r>
      <w:r>
        <w:t xml:space="preserve"> </w:t>
      </w:r>
      <w:r>
        <w:t xml:space="preserve">de l’agent.</w:t>
      </w:r>
    </w:p>
    <w:p>
      <w:pPr>
        <w:pStyle w:val="Compact"/>
        <w:numPr>
          <w:ilvl w:val="0"/>
          <w:numId w:val="1056"/>
        </w:numPr>
      </w:pPr>
      <w:r>
        <w:rPr>
          <w:b/>
          <w:bCs/>
        </w:rPr>
        <w:t xml:space="preserve">Une seule référence active</w:t>
      </w:r>
      <w:r>
        <w:t xml:space="preserve"> </w:t>
      </w:r>
      <w:r>
        <w:t xml:space="preserve">par obligation ; une obligation déjà couverte par un paiement confirmé n’est plus proposée.</w:t>
      </w:r>
    </w:p>
    <w:p>
      <w:pPr>
        <w:pStyle w:val="Compact"/>
        <w:numPr>
          <w:ilvl w:val="0"/>
          <w:numId w:val="1056"/>
        </w:numPr>
      </w:pPr>
      <w:r>
        <w:t xml:space="preserve">La</w:t>
      </w:r>
      <w:r>
        <w:t xml:space="preserve"> </w:t>
      </w:r>
      <w:r>
        <w:rPr>
          <w:b/>
          <w:bCs/>
        </w:rPr>
        <w:t xml:space="preserve">quittance</w:t>
      </w:r>
      <w:r>
        <w:t xml:space="preserve"> </w:t>
      </w:r>
      <w:r>
        <w:t xml:space="preserve">part à l’usager dès la confirmation signée du prestataire ; l’agent voit « Paiement confirmé ».</w:t>
      </w:r>
    </w:p>
    <w:p>
      <w:pPr>
        <w:pStyle w:val="Compact"/>
        <w:numPr>
          <w:ilvl w:val="0"/>
          <w:numId w:val="1056"/>
        </w:numPr>
      </w:pPr>
      <w:r>
        <w:t xml:space="preserve">Chaque référence assistée est</w:t>
      </w:r>
      <w:r>
        <w:t xml:space="preserve"> </w:t>
      </w:r>
      <w:r>
        <w:rPr>
          <w:b/>
          <w:bCs/>
        </w:rPr>
        <w:t xml:space="preserve">journalisée</w:t>
      </w:r>
      <w:r>
        <w:t xml:space="preserve"> </w:t>
      </w:r>
      <w:r>
        <w:t xml:space="preserve">(agent, position, distance au bien, canal, référence). La commission reste régie par § I.15.</w:t>
      </w:r>
    </w:p>
    <w:p>
      <w:pPr>
        <w:pStyle w:val="FirstParagraph"/>
      </w:pPr>
      <w:r>
        <w:t xml:space="preserve">Où : pénalités au contrôle du stationnement, bandeau des pénalités impayées, biens ambre ou rouges de « Autour de moi », scan d’une plaque de verticale, supports publicitaires aux droits impayés. Routes :</w:t>
      </w:r>
      <w:r>
        <w:t xml:space="preserve"> </w:t>
      </w:r>
      <w:r>
        <w:rPr>
          <w:rStyle w:val="VerbatimChar"/>
        </w:rPr>
        <w:t xml:space="preserve">GET /v1/agents/assist/payables</w:t>
      </w:r>
      <w:r>
        <w:t xml:space="preserve">,</w:t>
      </w:r>
      <w:r>
        <w:t xml:space="preserve"> </w:t>
      </w:r>
      <w:r>
        <w:rPr>
          <w:rStyle w:val="VerbatimChar"/>
        </w:rPr>
        <w:t xml:space="preserve">POST /v1/agents/assist/payment-orders</w:t>
      </w:r>
      <w:r>
        <w:t xml:space="preserve">,</w:t>
      </w:r>
      <w:r>
        <w:t xml:space="preserve"> </w:t>
      </w:r>
      <w:r>
        <w:rPr>
          <w:rStyle w:val="VerbatimChar"/>
        </w:rPr>
        <w:t xml:space="preserve">GET /v1/agents/assist/payment-orders/:reference</w:t>
      </w:r>
      <w:r>
        <w:t xml:space="preserve">. Tests :</w:t>
      </w:r>
      <w:r>
        <w:t xml:space="preserve"> </w:t>
      </w:r>
      <w:r>
        <w:rPr>
          <w:rStyle w:val="VerbatimChar"/>
        </w:rPr>
        <w:t xml:space="preserve">backend/test/assisted-payment.test.ts</w:t>
      </w:r>
      <w:r>
        <w:t xml:space="preserve">.</w:t>
      </w:r>
    </w:p>
    <w:bookmarkEnd w:id="633"/>
    <w:bookmarkStart w:id="634" w:name="X62042ed964553d92b4f219ca282f6f0aa0f23e1"/>
    <w:p>
      <w:pPr>
        <w:pStyle w:val="Heading2"/>
      </w:pPr>
      <w:r>
        <w:t xml:space="preserve">I.18 KIN PUB CONTROL sur le terrain : « Autour de moi », enseignes, commerces, publicité mobile</w:t>
      </w:r>
    </w:p>
    <w:p>
      <w:pPr>
        <w:pStyle w:val="FirstParagraph"/>
      </w:pPr>
      <w:r>
        <w:t xml:space="preserve">Construit</w:t>
      </w:r>
      <w:r>
        <w:t xml:space="preserve"> </w:t>
      </w:r>
      <w:r>
        <w:rPr>
          <w:b/>
          <w:bCs/>
        </w:rPr>
        <w:t xml:space="preserve">dans le module de publicité existant</w:t>
      </w:r>
      <w:r>
        <w:t xml:space="preserve">. Les supports restent rattachés au registre fiscal une fois leur exploitant identifié.</w:t>
      </w:r>
    </w:p>
    <w:p>
      <w:pPr>
        <w:pStyle w:val="BodyText"/>
      </w:pPr>
      <w:r>
        <w:rPr>
          <w:b/>
          <w:bCs/>
        </w:rPr>
        <w:t xml:space="preserve">Tout ce qui s’affiche est assujetti.</w:t>
      </w:r>
      <w:r>
        <w:t xml:space="preserve"> </w:t>
      </w:r>
      <w:r>
        <w:t xml:space="preserve">Chaque support porte son</w:t>
      </w:r>
      <w:r>
        <w:t xml:space="preserve"> </w:t>
      </w:r>
      <w:r>
        <w:rPr>
          <w:b/>
          <w:bCs/>
        </w:rPr>
        <w:t xml:space="preserve">emplacement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Emplacement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Support dédié</w:t>
            </w:r>
          </w:p>
        </w:tc>
        <w:tc>
          <w:tcPr/>
          <w:p>
            <w:pPr>
              <w:pStyle w:val="Compact"/>
            </w:pPr>
            <w:r>
              <w:rPr>
                <w:sz w:val="17"/>
              </w:rPr>
              <w:t xml:space="preserve">Panneau, écran, bâche,</w:t>
            </w:r>
            <w:r>
              <w:rPr>
                <w:sz w:val="17"/>
              </w:rPr>
              <w:t xml:space="preserve"> </w:t>
            </w:r>
            <w:r>
              <w:rPr>
                <w:b/>
                <w:bCs/>
                <w:sz w:val="17"/>
              </w:rPr>
              <w:t xml:space="preserve">banderole</w:t>
            </w:r>
          </w:p>
        </w:tc>
        <w:tc>
          <w:tcPr/>
          <w:p>
            <w:pPr>
              <w:pStyle w:val="Compact"/>
            </w:pPr>
            <w:r>
              <w:rPr>
                <w:sz w:val="17"/>
              </w:rPr>
              <w:t xml:space="preserve">Sur place (position)</w:t>
            </w:r>
          </w:p>
        </w:tc>
      </w:tr>
      <w:tr>
        <w:tc>
          <w:tcPr>
            <w:shd w:val="clear" w:color="auto" w:fill="F5F7FB"/>
          </w:tcPr>
          <w:p>
            <w:pPr>
              <w:pStyle w:val="Compact"/>
            </w:pPr>
            <w:r>
              <w:rPr>
                <w:sz w:val="17"/>
              </w:rPr>
              <w:t xml:space="preserve">Façade ou porte d’un commerce</w:t>
            </w:r>
          </w:p>
        </w:tc>
        <w:tc>
          <w:tcPr>
            <w:shd w:val="clear" w:color="auto" w:fill="F5F7FB"/>
          </w:tcPr>
          <w:p>
            <w:pPr>
              <w:pStyle w:val="Compact"/>
            </w:pPr>
            <w:r>
              <w:rPr>
                <w:b/>
                <w:bCs/>
                <w:sz w:val="17"/>
              </w:rPr>
              <w:t xml:space="preserve">Enseigne</w:t>
            </w:r>
            <w:r>
              <w:rPr>
                <w:sz w:val="17"/>
              </w:rPr>
              <w:t xml:space="preserve"> </w:t>
            </w:r>
            <w:r>
              <w:rPr>
                <w:sz w:val="17"/>
              </w:rPr>
              <w:t xml:space="preserve">du commerce</w:t>
            </w:r>
          </w:p>
        </w:tc>
        <w:tc>
          <w:tcPr>
            <w:shd w:val="clear" w:color="auto" w:fill="F5F7FB"/>
          </w:tcPr>
          <w:p>
            <w:pPr>
              <w:pStyle w:val="Compact"/>
            </w:pPr>
            <w:r>
              <w:rPr>
                <w:sz w:val="17"/>
              </w:rPr>
              <w:t xml:space="preserve">Sur place, lié à l’établissement enregistré</w:t>
            </w:r>
          </w:p>
        </w:tc>
      </w:tr>
      <w:tr>
        <w:tc>
          <w:tcPr/>
          <w:p>
            <w:pPr>
              <w:pStyle w:val="Compact"/>
            </w:pPr>
            <w:r>
              <w:rPr>
                <w:sz w:val="17"/>
              </w:rPr>
              <w:t xml:space="preserve">Devant un commerce</w:t>
            </w:r>
          </w:p>
        </w:tc>
        <w:tc>
          <w:tcPr/>
          <w:p>
            <w:pPr>
              <w:pStyle w:val="Compact"/>
            </w:pPr>
            <w:r>
              <w:rPr>
                <w:b/>
                <w:bCs/>
                <w:sz w:val="17"/>
              </w:rPr>
              <w:t xml:space="preserve">Chevalet</w:t>
            </w:r>
            <w:r>
              <w:rPr>
                <w:sz w:val="17"/>
              </w:rPr>
              <w:t xml:space="preserve">, kakémono sur le trottoir</w:t>
            </w:r>
          </w:p>
        </w:tc>
        <w:tc>
          <w:tcPr/>
          <w:p>
            <w:pPr>
              <w:pStyle w:val="Compact"/>
            </w:pPr>
            <w:r>
              <w:rPr>
                <w:sz w:val="17"/>
              </w:rPr>
              <w:t xml:space="preserve">Sur place, lié à l’établissement</w:t>
            </w:r>
          </w:p>
        </w:tc>
      </w:tr>
      <w:tr>
        <w:tc>
          <w:tcPr>
            <w:shd w:val="clear" w:color="auto" w:fill="F5F7FB"/>
          </w:tcPr>
          <w:p>
            <w:pPr>
              <w:pStyle w:val="Compact"/>
            </w:pPr>
            <w:r>
              <w:rPr>
                <w:sz w:val="17"/>
              </w:rPr>
              <w:t xml:space="preserve">Véhicule ou objet mobile</w:t>
            </w:r>
          </w:p>
        </w:tc>
        <w:tc>
          <w:tcPr>
            <w:shd w:val="clear" w:color="auto" w:fill="F5F7FB"/>
          </w:tcPr>
          <w:p>
            <w:pPr>
              <w:pStyle w:val="Compact"/>
            </w:pPr>
            <w:r>
              <w:rPr>
                <w:b/>
                <w:bCs/>
                <w:sz w:val="17"/>
              </w:rPr>
              <w:t xml:space="preserve">Publicité sur véhicule</w:t>
            </w:r>
            <w:r>
              <w:rPr>
                <w:sz w:val="17"/>
              </w:rPr>
              <w:t xml:space="preserve"> </w:t>
            </w:r>
            <w:r>
              <w:rPr>
                <w:sz w:val="17"/>
              </w:rPr>
              <w:t xml:space="preserve">: voiture, taxi, bus, camion, moto, tricycle, remorque</w:t>
            </w:r>
          </w:p>
        </w:tc>
        <w:tc>
          <w:tcPr>
            <w:shd w:val="clear" w:color="auto" w:fill="F5F7FB"/>
          </w:tcPr>
          <w:p>
            <w:pPr>
              <w:pStyle w:val="Compact"/>
            </w:pPr>
            <w:r>
              <w:rPr>
                <w:b/>
                <w:bCs/>
                <w:sz w:val="17"/>
              </w:rPr>
              <w:t xml:space="preserve">Par la plaque du véhicule</w:t>
            </w:r>
            <w:r>
              <w:rPr>
                <w:sz w:val="17"/>
              </w:rPr>
              <w:t xml:space="preserve">, où qu’il soit</w:t>
            </w:r>
          </w:p>
        </w:tc>
      </w:tr>
    </w:tbl>
    <w:p>
      <w:pPr>
        <w:pStyle w:val="BodyText"/>
      </w:pPr>
      <w:r>
        <w:rPr>
          <w:b/>
          <w:bCs/>
        </w:rPr>
        <w:t xml:space="preserve">« Autour de moi » de l’inspecteur</w:t>
      </w:r>
      <w:r>
        <w:t xml:space="preserve"> </w:t>
      </w:r>
      <w:r>
        <w:t xml:space="preserve">: sur place, dans son secteur, position GPS précise ; supports en</w:t>
      </w:r>
      <w:r>
        <w:t xml:space="preserve"> </w:t>
      </w:r>
      <w:r>
        <w:rPr>
          <w:b/>
          <w:bCs/>
        </w:rPr>
        <w:t xml:space="preserve">rouge</w:t>
      </w:r>
      <w:r>
        <w:t xml:space="preserve"> </w:t>
      </w:r>
      <w:r>
        <w:t xml:space="preserve">(affiché sans autorisation, autorisation expirée, droits impayés),</w:t>
      </w:r>
      <w:r>
        <w:t xml:space="preserve"> </w:t>
      </w:r>
      <w:r>
        <w:rPr>
          <w:b/>
          <w:bCs/>
        </w:rPr>
        <w:t xml:space="preserve">ambre</w:t>
      </w:r>
      <w:r>
        <w:t xml:space="preserve"> </w:t>
      </w:r>
      <w:r>
        <w:t xml:space="preserve">(demande en cours, échéance proche, barème non publié),</w:t>
      </w:r>
      <w:r>
        <w:t xml:space="preserve"> </w:t>
      </w:r>
      <w:r>
        <w:rPr>
          <w:b/>
          <w:bCs/>
        </w:rPr>
        <w:t xml:space="preserve">vert</w:t>
      </w:r>
      <w:r>
        <w:t xml:space="preserve"> </w:t>
      </w:r>
      <w:r>
        <w:t xml:space="preserve">(autorisé et à jour) ; commerces enregistrés</w:t>
      </w:r>
      <w:r>
        <w:t xml:space="preserve"> </w:t>
      </w:r>
      <w:r>
        <w:rPr>
          <w:b/>
          <w:bCs/>
        </w:rPr>
        <w:t xml:space="preserve">sans enseigne déclarée, à vérifier</w:t>
      </w:r>
      <w:r>
        <w:t xml:space="preserve"> </w:t>
      </w:r>
      <w:r>
        <w:t xml:space="preserve">(jamais présumés en infraction), avec constat pré-rempli.</w:t>
      </w:r>
      <w:r>
        <w:t xml:space="preserve"> </w:t>
      </w:r>
      <w:r>
        <w:rPr>
          <w:b/>
          <w:bCs/>
        </w:rPr>
        <w:t xml:space="preserve">Publicité mobile</w:t>
      </w:r>
      <w:r>
        <w:t xml:space="preserve"> </w:t>
      </w:r>
      <w:r>
        <w:t xml:space="preserve">: onglet « Véhicules », plaque saisie ou lue à la caméra. Droits impayés : « Faire payer (numérique) » (§ I.17).</w:t>
      </w:r>
    </w:p>
    <w:p>
      <w:pPr>
        <w:pStyle w:val="BodyText"/>
      </w:pPr>
      <w:r>
        <w:rPr>
          <w:b/>
          <w:bCs/>
        </w:rPr>
        <w:t xml:space="preserve">Tarifs : rien n’est inventé.</w:t>
      </w:r>
      <w:r>
        <w:t xml:space="preserve"> </w:t>
      </w:r>
      <w:r>
        <w:t xml:space="preserve">Supports fixes, enseignes et chevalets : règle existante (taxe au m², fictive de démonstration), à confirmer par l’acte pour les enseignes. Publicité sur véhicule : règle distincte ; sans acte publié, l’autorisation est « acte requis »</w:t>
      </w:r>
      <w:r>
        <w:t xml:space="preserve"> </w:t>
      </w:r>
      <w:r>
        <w:rPr>
          <w:b/>
          <w:bCs/>
        </w:rPr>
        <w:t xml:space="preserve">sans montant</w:t>
      </w:r>
      <w:r>
        <w:t xml:space="preserve">, puis liquidée en double validation dès que la règle devient active.</w:t>
      </w:r>
    </w:p>
    <w:p>
      <w:pPr>
        <w:pStyle w:val="BodyText"/>
      </w:pPr>
      <w:r>
        <w:t xml:space="preserve">Routes :</w:t>
      </w:r>
      <w:r>
        <w:t xml:space="preserve"> </w:t>
      </w:r>
      <w:r>
        <w:rPr>
          <w:rStyle w:val="VerbatimChar"/>
        </w:rPr>
        <w:t xml:space="preserve">GET /v1/publicite/nearby</w:t>
      </w:r>
      <w:r>
        <w:t xml:space="preserve">,</w:t>
      </w:r>
      <w:r>
        <w:t xml:space="preserve"> </w:t>
      </w:r>
      <w:r>
        <w:rPr>
          <w:rStyle w:val="VerbatimChar"/>
        </w:rPr>
        <w:t xml:space="preserve">GET /v1/publicite/vehicles/:plate</w:t>
      </w:r>
      <w:r>
        <w:t xml:space="preserve">. Tests :</w:t>
      </w:r>
      <w:r>
        <w:t xml:space="preserve"> </w:t>
      </w:r>
      <w:r>
        <w:rPr>
          <w:rStyle w:val="VerbatimChar"/>
        </w:rPr>
        <w:t xml:space="preserve">backend/test/publicite-terrain.test.ts</w:t>
      </w:r>
      <w:r>
        <w:t xml:space="preserve">.</w:t>
      </w:r>
    </w:p>
    <w:bookmarkEnd w:id="634"/>
    <w:bookmarkStart w:id="635" w:name="X3997bfed5e45c6ac60077c35d95a721598db0e9"/>
    <w:p>
      <w:pPr>
        <w:pStyle w:val="Heading2"/>
      </w:pPr>
      <w:r>
        <w:t xml:space="preserve">I.19 Verrouillage de la fraude et des fuites financières</w:t>
      </w:r>
    </w:p>
    <w:p>
      <w:pPr>
        <w:pStyle w:val="FirstParagraph"/>
      </w:pPr>
      <w:r>
        <w:t xml:space="preserve">Demande du maître d’ouvrage du 27/09/2026 : « que la fraude et les fuites financières soient complètement verrouillées ». Six revues de code puis trois revues adverses (flux de l’argent de bout en bout ; fraude interne, agents et collusion ; fuites par les données, les réductions, le rapprochement et l’audit) ont été menées sur l’ensemble du système. Chaque chemin trouvé a été fermé (</w:t>
      </w:r>
      <w:r>
        <w:rPr>
          <w:b/>
          <w:bCs/>
        </w:rPr>
        <w:t xml:space="preserve">bloqué</w:t>
      </w:r>
      <w:r>
        <w:t xml:space="preserve">) ou rendu visible (</w:t>
      </w:r>
      <w:r>
        <w:rPr>
          <w:b/>
          <w:bCs/>
        </w:rPr>
        <w:t xml:space="preserve">détecté</w:t>
      </w:r>
      <w:r>
        <w:t xml:space="preserve"> </w:t>
      </w:r>
      <w:r>
        <w:t xml:space="preserve">: alerte, exception, signal d’examen), et un test automatisé</w:t>
      </w:r>
      <w:r>
        <w:t xml:space="preserve"> </w:t>
      </w:r>
      <w:r>
        <w:rPr>
          <w:b/>
          <w:bCs/>
        </w:rPr>
        <w:t xml:space="preserve">rejoue l’attaque</w:t>
      </w:r>
      <w:r>
        <w:t xml:space="preserve"> </w:t>
      </w:r>
      <w:r>
        <w:t xml:space="preserve">pour prouver qu’elle échoue. Aucun système n’est inviolable : l’objectif est qu’aucune personne seule ne puisse détourner, effacer ou réduire une recette, et qu’aucune collusion ne passe inaperçue.</w:t>
      </w:r>
    </w:p>
    <w:p>
      <w:pPr>
        <w:pStyle w:val="BodyText"/>
      </w:pPr>
      <w:r>
        <w:rPr>
          <w:b/>
          <w:bCs/>
        </w:rPr>
        <w:t xml:space="preserve">Principes appliqués partout.</w:t>
      </w:r>
    </w:p>
    <w:p>
      <w:pPr>
        <w:pStyle w:val="Compact"/>
        <w:numPr>
          <w:ilvl w:val="0"/>
          <w:numId w:val="1057"/>
        </w:numPr>
      </w:pPr>
      <w:r>
        <w:rPr>
          <w:b/>
          <w:bCs/>
        </w:rPr>
        <w:t xml:space="preserve">Une personne physique, un compte de travail</w:t>
      </w:r>
      <w:r>
        <w:t xml:space="preserve"> </w:t>
      </w:r>
      <w:r>
        <w:t xml:space="preserve">: chaque compte est lié à l’empreinte (jamais le numéro en clair) de la pièce d’identité ; un second compte pour la même personne est refusé et signalé ; la séparation des tâches (auteur ≠ vérificateur ≠ décideur) s’applique</w:t>
      </w:r>
      <w:r>
        <w:t xml:space="preserve"> </w:t>
      </w:r>
      <w:r>
        <w:rPr>
          <w:b/>
          <w:bCs/>
        </w:rPr>
        <w:t xml:space="preserve">par personne</w:t>
      </w:r>
      <w:r>
        <w:t xml:space="preserve">, pas par compte.</w:t>
      </w:r>
    </w:p>
    <w:p>
      <w:pPr>
        <w:pStyle w:val="Compact"/>
        <w:numPr>
          <w:ilvl w:val="0"/>
          <w:numId w:val="1057"/>
        </w:numPr>
      </w:pPr>
      <w:r>
        <w:rPr>
          <w:b/>
          <w:bCs/>
        </w:rPr>
        <w:t xml:space="preserve">Conflit d’intérêts</w:t>
      </w:r>
      <w:r>
        <w:t xml:space="preserve"> </w:t>
      </w:r>
      <w:r>
        <w:t xml:space="preserve">: nul ne vérifie, ne décide ni n’accorde ce qui profite à un contribuable auquel il est lié.</w:t>
      </w:r>
    </w:p>
    <w:p>
      <w:pPr>
        <w:pStyle w:val="Compact"/>
        <w:numPr>
          <w:ilvl w:val="0"/>
          <w:numId w:val="1057"/>
        </w:numPr>
      </w:pPr>
      <w:r>
        <w:rPr>
          <w:b/>
          <w:bCs/>
        </w:rPr>
        <w:t xml:space="preserve">Jamais d’espèces à un agent</w:t>
      </w:r>
      <w:r>
        <w:t xml:space="preserve"> </w:t>
      </w:r>
      <w:r>
        <w:t xml:space="preserve">: un opérateur de point agréé (R32) ne peut détenir aucun rôle d’agent public ; les agents font payer uniquement par canal numérique, au nom du titulaire, vers le compte public (§ I.17).</w:t>
      </w:r>
    </w:p>
    <w:p>
      <w:pPr>
        <w:pStyle w:val="Compact"/>
        <w:numPr>
          <w:ilvl w:val="0"/>
          <w:numId w:val="1057"/>
        </w:numPr>
      </w:pPr>
      <w:r>
        <w:rPr>
          <w:b/>
          <w:bCs/>
        </w:rPr>
        <w:t xml:space="preserve">Montants jamais saisis</w:t>
      </w:r>
      <w:r>
        <w:t xml:space="preserve"> </w:t>
      </w:r>
      <w:r>
        <w:t xml:space="preserve">: un montant vient d’une règle ACTIVE certifiée ; les taux certifiés ne peuvent pas être remplacés par une donnée de la requête.</w:t>
      </w:r>
    </w:p>
    <w:p>
      <w:pPr>
        <w:pStyle w:val="Compact"/>
        <w:numPr>
          <w:ilvl w:val="0"/>
          <w:numId w:val="1057"/>
        </w:numPr>
      </w:pPr>
      <w:r>
        <w:rPr>
          <w:b/>
          <w:bCs/>
        </w:rPr>
        <w:t xml:space="preserve">Double validation</w:t>
      </w:r>
      <w:r>
        <w:t xml:space="preserve"> </w:t>
      </w:r>
      <w:r>
        <w:t xml:space="preserve">pour toute opération qui touche l’argent ou les recettes : remboursement, restitution, contrepassation, contre-écriture, changement de compte bénéficiaire (avec veto pendant le délai de carence), suspension ou levée d’une règle, remise, admission en non-valeur, correction à la baisse, correction d’un objet, dérogation de clôture, rapprochement d’un versement de point agréé.</w:t>
      </w:r>
    </w:p>
    <w:p>
      <w:pPr>
        <w:pStyle w:val="FirstParagraph"/>
      </w:pPr>
      <w:r>
        <w:rPr>
          <w:b/>
          <w:bCs/>
        </w:rPr>
        <w:t xml:space="preserve">Menaces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Nature</w:t>
            </w:r>
          </w:p>
        </w:tc>
      </w:tr>
      <w:tr>
        <w:tc>
          <w:tcPr/>
          <w:p>
            <w:pPr>
              <w:pStyle w:val="Compact"/>
            </w:pPr>
            <w:r>
              <w:rPr>
                <w:sz w:val="17"/>
              </w:rPr>
              <w:t xml:space="preserve">Confirmation de paiement forgée (secret public)</w:t>
            </w:r>
          </w:p>
        </w:tc>
        <w:tc>
          <w:tcPr/>
          <w:p>
            <w:pPr>
              <w:pStyle w:val="Compact"/>
            </w:pPr>
            <w:r>
              <w:rPr>
                <w:sz w:val="17"/>
              </w:rPr>
              <w:t xml:space="preserve">Secrets des prestataires obligatoires hors démonstration ; valeurs de démonstration refusées ; webhooks désactivés sans secret réel</w:t>
            </w:r>
          </w:p>
        </w:tc>
        <w:tc>
          <w:tcPr/>
          <w:p>
            <w:pPr>
              <w:pStyle w:val="Compact"/>
            </w:pPr>
            <w:r>
              <w:rPr>
                <w:sz w:val="17"/>
              </w:rPr>
              <w:t xml:space="preserve">Bloqué</w:t>
            </w:r>
          </w:p>
        </w:tc>
      </w:tr>
      <w:tr>
        <w:tc>
          <w:tcPr>
            <w:shd w:val="clear" w:color="auto" w:fill="F5F7FB"/>
          </w:tcPr>
          <w:p>
            <w:pPr>
              <w:pStyle w:val="Compact"/>
            </w:pPr>
            <w:r>
              <w:rPr>
                <w:sz w:val="17"/>
              </w:rPr>
              <w:t xml:space="preserve">Données de démonstration en production</w:t>
            </w:r>
          </w:p>
        </w:tc>
        <w:tc>
          <w:tcPr>
            <w:shd w:val="clear" w:color="auto" w:fill="F5F7FB"/>
          </w:tcPr>
          <w:p>
            <w:pPr>
              <w:pStyle w:val="Compact"/>
            </w:pPr>
            <w:r>
              <w:rPr>
                <w:sz w:val="17"/>
              </w:rPr>
              <w:t xml:space="preserve">Aucun amorçage hors démonstration ; installation par fichier d’amorçage qui n’écrase jamais un compte</w:t>
            </w:r>
          </w:p>
        </w:tc>
        <w:tc>
          <w:tcPr>
            <w:shd w:val="clear" w:color="auto" w:fill="F5F7FB"/>
          </w:tcPr>
          <w:p>
            <w:pPr>
              <w:pStyle w:val="Compact"/>
            </w:pPr>
            <w:r>
              <w:rPr>
                <w:sz w:val="17"/>
              </w:rPr>
              <w:t xml:space="preserve">Bloqué</w:t>
            </w:r>
          </w:p>
        </w:tc>
      </w:tr>
      <w:tr>
        <w:tc>
          <w:tcPr/>
          <w:p>
            <w:pPr>
              <w:pStyle w:val="Compact"/>
            </w:pPr>
            <w:r>
              <w:rPr>
                <w:sz w:val="17"/>
              </w:rPr>
              <w:t xml:space="preserve">Référence expirée, double paiement, paiement sur obligation annulée</w:t>
            </w:r>
          </w:p>
        </w:tc>
        <w:tc>
          <w:tcPr/>
          <w:p>
            <w:pPr>
              <w:pStyle w:val="Compact"/>
            </w:pPr>
            <w:r>
              <w:rPr>
                <w:sz w:val="17"/>
              </w:rPr>
              <w:t xml:space="preserve">Référence expirée close ; paiement tardif ou en double porté en compte d’attente, sans quittance, remboursable une seule fois</w:t>
            </w:r>
          </w:p>
        </w:tc>
        <w:tc>
          <w:tcPr/>
          <w:p>
            <w:pPr>
              <w:pStyle w:val="Compact"/>
            </w:pPr>
            <w:r>
              <w:rPr>
                <w:sz w:val="17"/>
              </w:rPr>
              <w:t xml:space="preserve">Bloqué + détecté</w:t>
            </w:r>
          </w:p>
        </w:tc>
      </w:tr>
      <w:tr>
        <w:tc>
          <w:tcPr>
            <w:shd w:val="clear" w:color="auto" w:fill="F5F7FB"/>
          </w:tcPr>
          <w:p>
            <w:pPr>
              <w:pStyle w:val="Compact"/>
            </w:pPr>
            <w:r>
              <w:rPr>
                <w:sz w:val="17"/>
              </w:rPr>
              <w:t xml:space="preserve">Montant arrondi à la baisse (149,995)</w:t>
            </w:r>
          </w:p>
        </w:tc>
        <w:tc>
          <w:tcPr>
            <w:shd w:val="clear" w:color="auto" w:fill="F5F7FB"/>
          </w:tcPr>
          <w:p>
            <w:pPr>
              <w:pStyle w:val="Compact"/>
            </w:pPr>
            <w:r>
              <w:rPr>
                <w:sz w:val="17"/>
              </w:rPr>
              <w:t xml:space="preserve">Montants à plus de décimales que la devise refusés</w:t>
            </w:r>
          </w:p>
        </w:tc>
        <w:tc>
          <w:tcPr>
            <w:shd w:val="clear" w:color="auto" w:fill="F5F7FB"/>
          </w:tcPr>
          <w:p>
            <w:pPr>
              <w:pStyle w:val="Compact"/>
            </w:pPr>
            <w:r>
              <w:rPr>
                <w:sz w:val="17"/>
              </w:rPr>
              <w:t xml:space="preserve">Bloqué</w:t>
            </w:r>
          </w:p>
        </w:tc>
      </w:tr>
      <w:tr>
        <w:tc>
          <w:tcPr/>
          <w:p>
            <w:pPr>
              <w:pStyle w:val="Compact"/>
            </w:pPr>
            <w:r>
              <w:rPr>
                <w:sz w:val="17"/>
              </w:rPr>
              <w:t xml:space="preserve">Doublon remboursé deux fois</w:t>
            </w:r>
          </w:p>
        </w:tc>
        <w:tc>
          <w:tcPr/>
          <w:p>
            <w:pPr>
              <w:pStyle w:val="Compact"/>
            </w:pPr>
            <w:r>
              <w:rPr>
                <w:sz w:val="17"/>
              </w:rPr>
              <w:t xml:space="preserve">Ligne de relevé rapprochée du paiement non affecté ; une restitution par unité d’argent</w:t>
            </w:r>
          </w:p>
        </w:tc>
        <w:tc>
          <w:tcPr/>
          <w:p>
            <w:pPr>
              <w:pStyle w:val="Compact"/>
            </w:pPr>
            <w:r>
              <w:rPr>
                <w:sz w:val="17"/>
              </w:rPr>
              <w:t xml:space="preserve">Bloqué</w:t>
            </w:r>
          </w:p>
        </w:tc>
      </w:tr>
      <w:tr>
        <w:tc>
          <w:tcPr>
            <w:shd w:val="clear" w:color="auto" w:fill="F5F7FB"/>
          </w:tcPr>
          <w:p>
            <w:pPr>
              <w:pStyle w:val="Compact"/>
            </w:pPr>
            <w:r>
              <w:rPr>
                <w:sz w:val="17"/>
              </w:rPr>
              <w:t xml:space="preserve">Crédit bancaire orphelin ou règlement manquant « classé »</w:t>
            </w:r>
          </w:p>
        </w:tc>
        <w:tc>
          <w:tcPr>
            <w:shd w:val="clear" w:color="auto" w:fill="F5F7FB"/>
          </w:tcPr>
          <w:p>
            <w:pPr>
              <w:pStyle w:val="Compact"/>
            </w:pPr>
            <w:r>
              <w:rPr>
                <w:sz w:val="17"/>
              </w:rPr>
              <w:t xml:space="preserve">Exception d’argent close seulement par suspens, rapprochement ou opération exécutée, avec justificatif ; créances prestataires vieillies, alerte à 3 jours, clôture bloquée</w:t>
            </w:r>
          </w:p>
        </w:tc>
        <w:tc>
          <w:tcPr>
            <w:shd w:val="clear" w:color="auto" w:fill="F5F7FB"/>
          </w:tcPr>
          <w:p>
            <w:pPr>
              <w:pStyle w:val="Compact"/>
            </w:pPr>
            <w:r>
              <w:rPr>
                <w:sz w:val="17"/>
              </w:rPr>
              <w:t xml:space="preserve">Bloqué + détecté</w:t>
            </w:r>
          </w:p>
        </w:tc>
      </w:tr>
      <w:tr>
        <w:tc>
          <w:tcPr/>
          <w:p>
            <w:pPr>
              <w:pStyle w:val="Compact"/>
            </w:pPr>
            <w:r>
              <w:rPr>
                <w:sz w:val="17"/>
              </w:rPr>
              <w:t xml:space="preserve">Contre-écriture qui efface une recette</w:t>
            </w:r>
          </w:p>
        </w:tc>
        <w:tc>
          <w:tcPr/>
          <w:p>
            <w:pPr>
              <w:pStyle w:val="Compact"/>
            </w:pPr>
            <w:r>
              <w:rPr>
                <w:sz w:val="17"/>
              </w:rPr>
              <w:t xml:space="preserve">Interdite sur les écritures liées à un paiement, une obligation ou un suspens ; contrôle de cohérence grand livre ↔ états métier avec alerte</w:t>
            </w:r>
          </w:p>
        </w:tc>
        <w:tc>
          <w:tcPr/>
          <w:p>
            <w:pPr>
              <w:pStyle w:val="Compact"/>
            </w:pPr>
            <w:r>
              <w:rPr>
                <w:sz w:val="17"/>
              </w:rPr>
              <w:t xml:space="preserve">Bloqué + détecté</w:t>
            </w:r>
          </w:p>
        </w:tc>
      </w:tr>
      <w:tr>
        <w:tc>
          <w:tcPr>
            <w:shd w:val="clear" w:color="auto" w:fill="F5F7FB"/>
          </w:tcPr>
          <w:p>
            <w:pPr>
              <w:pStyle w:val="Compact"/>
            </w:pPr>
            <w:r>
              <w:rPr>
                <w:sz w:val="17"/>
              </w:rPr>
              <w:t xml:space="preserve">Remboursement vers un autre compte</w:t>
            </w:r>
          </w:p>
        </w:tc>
        <w:tc>
          <w:tcPr>
            <w:shd w:val="clear" w:color="auto" w:fill="F5F7FB"/>
          </w:tcPr>
          <w:p>
            <w:pPr>
              <w:pStyle w:val="Compact"/>
            </w:pPr>
            <w:r>
              <w:rPr>
                <w:sz w:val="17"/>
              </w:rPr>
              <w:t xml:space="preserve">Destination = instrument d’origine seulement ; référence du remboursement et pièce obligatoires ; troisième approbation au-delà d’un seuil</w:t>
            </w:r>
          </w:p>
        </w:tc>
        <w:tc>
          <w:tcPr>
            <w:shd w:val="clear" w:color="auto" w:fill="F5F7FB"/>
          </w:tcPr>
          <w:p>
            <w:pPr>
              <w:pStyle w:val="Compact"/>
            </w:pPr>
            <w:r>
              <w:rPr>
                <w:sz w:val="17"/>
              </w:rPr>
              <w:t xml:space="preserve">Bloqué</w:t>
            </w:r>
          </w:p>
        </w:tc>
      </w:tr>
      <w:tr>
        <w:tc>
          <w:tcPr/>
          <w:p>
            <w:pPr>
              <w:pStyle w:val="Compact"/>
            </w:pPr>
            <w:r>
              <w:rPr>
                <w:sz w:val="17"/>
              </w:rPr>
              <w:t xml:space="preserve">Détournement du compte bénéficiaire</w:t>
            </w:r>
          </w:p>
        </w:tc>
        <w:tc>
          <w:tcPr/>
          <w:p>
            <w:pPr>
              <w:pStyle w:val="Compact"/>
            </w:pPr>
            <w:r>
              <w:rPr>
                <w:sz w:val="17"/>
              </w:rPr>
              <w:t xml:space="preserve">Double validation, délai de carence avec veto, version du compte enregistrée sur chaque ordre et chaque ligne de relevé</w:t>
            </w:r>
          </w:p>
        </w:tc>
        <w:tc>
          <w:tcPr/>
          <w:p>
            <w:pPr>
              <w:pStyle w:val="Compact"/>
            </w:pPr>
            <w:r>
              <w:rPr>
                <w:sz w:val="17"/>
              </w:rPr>
              <w:t xml:space="preserve">Bloqué + détecté</w:t>
            </w:r>
          </w:p>
        </w:tc>
      </w:tr>
      <w:tr>
        <w:tc>
          <w:tcPr>
            <w:shd w:val="clear" w:color="auto" w:fill="F5F7FB"/>
          </w:tcPr>
          <w:p>
            <w:pPr>
              <w:pStyle w:val="Compact"/>
            </w:pPr>
            <w:r>
              <w:rPr>
                <w:sz w:val="17"/>
              </w:rPr>
              <w:t xml:space="preserve">Espèces gardées par un point agréé, faux bordereau</w:t>
            </w:r>
          </w:p>
        </w:tc>
        <w:tc>
          <w:tcPr>
            <w:shd w:val="clear" w:color="auto" w:fill="F5F7FB"/>
          </w:tcPr>
          <w:p>
            <w:pPr>
              <w:pStyle w:val="Compact"/>
            </w:pPr>
            <w:r>
              <w:rPr>
                <w:sz w:val="17"/>
              </w:rPr>
              <w:t xml:space="preserve">Délai compté depuis la fin de la journée de caisse ; versement « déclaré » jusqu’au rapprochement bancaire en double validation ; bordereau unique ; contrôle horaire des retards</w:t>
            </w:r>
          </w:p>
        </w:tc>
        <w:tc>
          <w:tcPr>
            <w:shd w:val="clear" w:color="auto" w:fill="F5F7FB"/>
          </w:tcPr>
          <w:p>
            <w:pPr>
              <w:pStyle w:val="Compact"/>
            </w:pPr>
            <w:r>
              <w:rPr>
                <w:sz w:val="17"/>
              </w:rPr>
              <w:t xml:space="preserve">Bloqué + détecté</w:t>
            </w:r>
          </w:p>
        </w:tc>
      </w:tr>
      <w:tr>
        <w:tc>
          <w:tcPr/>
          <w:p>
            <w:pPr>
              <w:pStyle w:val="Compact"/>
            </w:pPr>
            <w:r>
              <w:rPr>
                <w:sz w:val="17"/>
              </w:rPr>
              <w:t xml:space="preserve">Espèces sur une obligation annulée</w:t>
            </w:r>
          </w:p>
        </w:tc>
        <w:tc>
          <w:tcPr/>
          <w:p>
            <w:pPr>
              <w:pStyle w:val="Compact"/>
            </w:pPr>
            <w:r>
              <w:rPr>
                <w:sz w:val="17"/>
              </w:rPr>
              <w:t xml:space="preserve">Référence close à l’annulation ; encaissement refusé</w:t>
            </w:r>
          </w:p>
        </w:tc>
        <w:tc>
          <w:tcPr/>
          <w:p>
            <w:pPr>
              <w:pStyle w:val="Compact"/>
            </w:pPr>
            <w:r>
              <w:rPr>
                <w:sz w:val="17"/>
              </w:rPr>
              <w:t xml:space="preserve">Bloqué</w:t>
            </w:r>
          </w:p>
        </w:tc>
      </w:tr>
      <w:tr>
        <w:tc>
          <w:tcPr>
            <w:shd w:val="clear" w:color="auto" w:fill="F5F7FB"/>
          </w:tcPr>
          <w:p>
            <w:pPr>
              <w:pStyle w:val="Compact"/>
            </w:pPr>
            <w:r>
              <w:rPr>
                <w:sz w:val="17"/>
              </w:rPr>
              <w:t xml:space="preserve">Point suspendu rétabli par complicité</w:t>
            </w:r>
          </w:p>
        </w:tc>
        <w:tc>
          <w:tcPr>
            <w:shd w:val="clear" w:color="auto" w:fill="F5F7FB"/>
          </w:tcPr>
          <w:p>
            <w:pPr>
              <w:pStyle w:val="Compact"/>
            </w:pPr>
            <w:r>
              <w:rPr>
                <w:sz w:val="17"/>
              </w:rPr>
              <w:t xml:space="preserve">Rétablissement et rejet de proposition en double validation</w:t>
            </w:r>
          </w:p>
        </w:tc>
        <w:tc>
          <w:tcPr>
            <w:shd w:val="clear" w:color="auto" w:fill="F5F7FB"/>
          </w:tcPr>
          <w:p>
            <w:pPr>
              <w:pStyle w:val="Compact"/>
            </w:pPr>
            <w:r>
              <w:rPr>
                <w:sz w:val="17"/>
              </w:rPr>
              <w:t xml:space="preserve">Bloqué</w:t>
            </w:r>
          </w:p>
        </w:tc>
      </w:tr>
      <w:tr>
        <w:tc>
          <w:tcPr/>
          <w:p>
            <w:pPr>
              <w:pStyle w:val="Compact"/>
            </w:pPr>
            <w:r>
              <w:rPr>
                <w:sz w:val="17"/>
              </w:rPr>
              <w:t xml:space="preserve">Dette réduite à zéro par une seule personne</w:t>
            </w:r>
          </w:p>
        </w:tc>
        <w:tc>
          <w:tcPr/>
          <w:p>
            <w:pPr>
              <w:pStyle w:val="Compact"/>
            </w:pPr>
            <w:r>
              <w:rPr>
                <w:sz w:val="17"/>
              </w:rPr>
              <w:t xml:space="preserve">Remise calculée depuis le taux certifié, plafond cumulé sur toute la chaîne, instruction puis décision par des personnes distinctes ; mise à zéro seulement par admission en non-valeur, jamais « soldée »</w:t>
            </w:r>
          </w:p>
        </w:tc>
        <w:tc>
          <w:tcPr/>
          <w:p>
            <w:pPr>
              <w:pStyle w:val="Compact"/>
            </w:pPr>
            <w:r>
              <w:rPr>
                <w:sz w:val="17"/>
              </w:rPr>
              <w:t xml:space="preserve">Bloqué</w:t>
            </w:r>
          </w:p>
        </w:tc>
      </w:tr>
      <w:tr>
        <w:tc>
          <w:tcPr>
            <w:shd w:val="clear" w:color="auto" w:fill="F5F7FB"/>
          </w:tcPr>
          <w:p>
            <w:pPr>
              <w:pStyle w:val="Compact"/>
            </w:pPr>
            <w:r>
              <w:rPr>
                <w:sz w:val="17"/>
              </w:rPr>
              <w:t xml:space="preserve">Réclamation, correction de déclaration, exonération complaisantes</w:t>
            </w:r>
          </w:p>
        </w:tc>
        <w:tc>
          <w:tcPr>
            <w:shd w:val="clear" w:color="auto" w:fill="F5F7FB"/>
          </w:tcPr>
          <w:p>
            <w:pPr>
              <w:pStyle w:val="Compact"/>
            </w:pPr>
            <w:r>
              <w:rPr>
                <w:sz w:val="17"/>
              </w:rPr>
              <w:t xml:space="preserve">Montant justifié, instructeur ≠ décideur, conflit d’intérêts, taux plafonné par la règle, double validation des baisses</w:t>
            </w:r>
          </w:p>
        </w:tc>
        <w:tc>
          <w:tcPr>
            <w:shd w:val="clear" w:color="auto" w:fill="F5F7FB"/>
          </w:tcPr>
          <w:p>
            <w:pPr>
              <w:pStyle w:val="Compact"/>
            </w:pPr>
            <w:r>
              <w:rPr>
                <w:sz w:val="17"/>
              </w:rPr>
              <w:t xml:space="preserve">Bloqué</w:t>
            </w:r>
          </w:p>
        </w:tc>
      </w:tr>
      <w:tr>
        <w:tc>
          <w:tcPr/>
          <w:p>
            <w:pPr>
              <w:pStyle w:val="Compact"/>
            </w:pPr>
            <w:r>
              <w:rPr>
                <w:sz w:val="17"/>
              </w:rPr>
              <w:t xml:space="preserve">Rang de localité ou base d’imposition minorés</w:t>
            </w:r>
          </w:p>
        </w:tc>
        <w:tc>
          <w:tcPr/>
          <w:p>
            <w:pPr>
              <w:pStyle w:val="Compact"/>
            </w:pPr>
            <w:r>
              <w:rPr>
                <w:sz w:val="17"/>
              </w:rPr>
              <w:t xml:space="preserve">Rang déclaré provisoire, confirmé par une autre personne, re-liquidation ; base inférieure aux données connues soumise à approbation</w:t>
            </w:r>
          </w:p>
        </w:tc>
        <w:tc>
          <w:tcPr/>
          <w:p>
            <w:pPr>
              <w:pStyle w:val="Compact"/>
            </w:pPr>
            <w:r>
              <w:rPr>
                <w:sz w:val="17"/>
              </w:rPr>
              <w:t xml:space="preserve">Bloqué + détecté</w:t>
            </w:r>
          </w:p>
        </w:tc>
      </w:tr>
      <w:tr>
        <w:tc>
          <w:tcPr>
            <w:shd w:val="clear" w:color="auto" w:fill="F5F7FB"/>
          </w:tcPr>
          <w:p>
            <w:pPr>
              <w:pStyle w:val="Compact"/>
            </w:pPr>
            <w:r>
              <w:rPr>
                <w:sz w:val="17"/>
              </w:rPr>
              <w:t xml:space="preserve">Plan d’échelonnement abandonné</w:t>
            </w:r>
          </w:p>
        </w:tc>
        <w:tc>
          <w:tcPr>
            <w:shd w:val="clear" w:color="auto" w:fill="F5F7FB"/>
          </w:tcPr>
          <w:p>
            <w:pPr>
              <w:pStyle w:val="Compact"/>
            </w:pPr>
            <w:r>
              <w:rPr>
                <w:sz w:val="17"/>
              </w:rPr>
              <w:t xml:space="preserve">Défaut proposé automatiquement, alerte, obligation en retard à la dernière échéance</w:t>
            </w:r>
          </w:p>
        </w:tc>
        <w:tc>
          <w:tcPr>
            <w:shd w:val="clear" w:color="auto" w:fill="F5F7FB"/>
          </w:tcPr>
          <w:p>
            <w:pPr>
              <w:pStyle w:val="Compact"/>
            </w:pPr>
            <w:r>
              <w:rPr>
                <w:sz w:val="17"/>
              </w:rPr>
              <w:t xml:space="preserve">Détecté</w:t>
            </w:r>
          </w:p>
        </w:tc>
      </w:tr>
      <w:tr>
        <w:tc>
          <w:tcPr/>
          <w:p>
            <w:pPr>
              <w:pStyle w:val="Compact"/>
            </w:pPr>
            <w:r>
              <w:rPr>
                <w:sz w:val="17"/>
              </w:rPr>
              <w:t xml:space="preserve">Suspension d’un barème pour « oublier » des pénalités</w:t>
            </w:r>
          </w:p>
        </w:tc>
        <w:tc>
          <w:tcPr/>
          <w:p>
            <w:pPr>
              <w:pStyle w:val="Compact"/>
            </w:pPr>
            <w:r>
              <w:rPr>
                <w:sz w:val="17"/>
              </w:rPr>
              <w:t xml:space="preserve">Suspension et levée en double validation ; alerte si courte ou si des décisions ont eu lieu pendant la suspension</w:t>
            </w:r>
          </w:p>
        </w:tc>
        <w:tc>
          <w:tcPr/>
          <w:p>
            <w:pPr>
              <w:pStyle w:val="Compact"/>
            </w:pPr>
            <w:r>
              <w:rPr>
                <w:sz w:val="17"/>
              </w:rPr>
              <w:t xml:space="preserve">Bloqué + détecté</w:t>
            </w:r>
          </w:p>
        </w:tc>
      </w:tr>
      <w:tr>
        <w:tc>
          <w:tcPr>
            <w:shd w:val="clear" w:color="auto" w:fill="F5F7FB"/>
          </w:tcPr>
          <w:p>
            <w:pPr>
              <w:pStyle w:val="Compact"/>
            </w:pPr>
            <w:r>
              <w:rPr>
                <w:sz w:val="17"/>
              </w:rPr>
              <w:t xml:space="preserve">Commission sur de faux constats ou des paiements spontanés</w:t>
            </w:r>
          </w:p>
        </w:tc>
        <w:tc>
          <w:tcPr>
            <w:shd w:val="clear" w:color="auto" w:fill="F5F7FB"/>
          </w:tcPr>
          <w:p>
            <w:pPr>
              <w:pStyle w:val="Compact"/>
            </w:pPr>
            <w:r>
              <w:rPr>
                <w:sz w:val="17"/>
              </w:rPr>
              <w:t xml:space="preserve">Commission seulement sur dossiers retenus et constats validés avec photo ; présence GPS et délai de grâce ; premier contrôle classé à l’heure serveur ; attribution figée après rapprochement</w:t>
            </w:r>
          </w:p>
        </w:tc>
        <w:tc>
          <w:tcPr>
            <w:shd w:val="clear" w:color="auto" w:fill="F5F7FB"/>
          </w:tcPr>
          <w:p>
            <w:pPr>
              <w:pStyle w:val="Compact"/>
            </w:pPr>
            <w:r>
              <w:rPr>
                <w:sz w:val="17"/>
              </w:rPr>
              <w:t xml:space="preserve">Bloqué</w:t>
            </w:r>
          </w:p>
        </w:tc>
      </w:tr>
      <w:tr>
        <w:tc>
          <w:tcPr/>
          <w:p>
            <w:pPr>
              <w:pStyle w:val="Compact"/>
            </w:pPr>
            <w:r>
              <w:rPr>
                <w:sz w:val="17"/>
              </w:rPr>
              <w:t xml:space="preserve">Agent qui multiplie les constats</w:t>
            </w:r>
          </w:p>
        </w:tc>
        <w:tc>
          <w:tcPr/>
          <w:p>
            <w:pPr>
              <w:pStyle w:val="Compact"/>
            </w:pPr>
            <w:r>
              <w:rPr>
                <w:sz w:val="17"/>
              </w:rPr>
              <w:t xml:space="preserve">Signaux comparés aux pairs, alertes, contre-vérification aléatoire de 5 % des constats retenus</w:t>
            </w:r>
          </w:p>
        </w:tc>
        <w:tc>
          <w:tcPr/>
          <w:p>
            <w:pPr>
              <w:pStyle w:val="Compact"/>
            </w:pPr>
            <w:r>
              <w:rPr>
                <w:sz w:val="17"/>
              </w:rPr>
              <w:t xml:space="preserve">Détecté</w:t>
            </w:r>
          </w:p>
        </w:tc>
      </w:tr>
      <w:tr>
        <w:tc>
          <w:tcPr>
            <w:shd w:val="clear" w:color="auto" w:fill="F5F7FB"/>
          </w:tcPr>
          <w:p>
            <w:pPr>
              <w:pStyle w:val="Compact"/>
            </w:pPr>
            <w:r>
              <w:rPr>
                <w:sz w:val="17"/>
              </w:rPr>
              <w:t xml:space="preserve">Journal d’audit tronqué ou sauvegarde ancienne restaurée</w:t>
            </w:r>
          </w:p>
        </w:tc>
        <w:tc>
          <w:tcPr>
            <w:shd w:val="clear" w:color="auto" w:fill="F5F7FB"/>
          </w:tcPr>
          <w:p>
            <w:pPr>
              <w:pStyle w:val="Compact"/>
            </w:pPr>
            <w:r>
              <w:rPr>
                <w:sz w:val="17"/>
              </w:rPr>
              <w:t xml:space="preserve">Tête de la chaîne ancrée hors base ; démarrage refusé si la chaîne est plus courte ou différente ; restauration tracée, retour arrière sur confirmation explicite ; déclencheur d’ajout seul non contournable</w:t>
            </w:r>
          </w:p>
        </w:tc>
        <w:tc>
          <w:tcPr>
            <w:shd w:val="clear" w:color="auto" w:fill="F5F7FB"/>
          </w:tcPr>
          <w:p>
            <w:pPr>
              <w:pStyle w:val="Compact"/>
            </w:pPr>
            <w:r>
              <w:rPr>
                <w:sz w:val="17"/>
              </w:rPr>
              <w:t xml:space="preserve">Bloqué + détecté</w:t>
            </w:r>
          </w:p>
        </w:tc>
      </w:tr>
      <w:tr>
        <w:tc>
          <w:tcPr/>
          <w:p>
            <w:pPr>
              <w:pStyle w:val="Compact"/>
            </w:pPr>
            <w:r>
              <w:rPr>
                <w:sz w:val="17"/>
              </w:rPr>
              <w:t xml:space="preserve">Réductions dispersées, invisibles</w:t>
            </w:r>
          </w:p>
        </w:tc>
        <w:tc>
          <w:tcPr/>
          <w:p>
            <w:pPr>
              <w:pStyle w:val="Compact"/>
            </w:pPr>
            <w:r>
              <w:rPr>
                <w:sz w:val="17"/>
              </w:rPr>
              <w:t xml:space="preserve">Rapport des réductions de recettes (brut, réductions par type et par décideur, net, recouvré, rapproché au centime) ; alertes de concentration ; recettes potentielles non liquidées (sans montant inventé)</w:t>
            </w:r>
          </w:p>
        </w:tc>
        <w:tc>
          <w:tcPr/>
          <w:p>
            <w:pPr>
              <w:pStyle w:val="Compact"/>
            </w:pPr>
            <w:r>
              <w:rPr>
                <w:sz w:val="17"/>
              </w:rPr>
              <w:t xml:space="preserve">Détecté</w:t>
            </w:r>
          </w:p>
        </w:tc>
      </w:tr>
      <w:tr>
        <w:tc>
          <w:tcPr>
            <w:shd w:val="clear" w:color="auto" w:fill="F5F7FB"/>
          </w:tcPr>
          <w:p>
            <w:pPr>
              <w:pStyle w:val="Compact"/>
            </w:pPr>
            <w:r>
              <w:rPr>
                <w:sz w:val="17"/>
              </w:rPr>
              <w:t xml:space="preserve">Confirmation de paiement rejouée ou interceptée</w:t>
            </w:r>
          </w:p>
        </w:tc>
        <w:tc>
          <w:tcPr>
            <w:shd w:val="clear" w:color="auto" w:fill="F5F7FB"/>
          </w:tcPr>
          <w:p>
            <w:pPr>
              <w:pStyle w:val="Compact"/>
            </w:pPr>
            <w:r>
              <w:rPr>
                <w:sz w:val="17"/>
              </w:rPr>
              <w:t xml:space="preserve">Signature v2 couvrant horodatage, nonce et corps ; fenêtre de ± 5 min ; nonce déjà vu refusé, même après redémarrage (registre persisté) ; rotation des secrets par identifiant de clé</w:t>
            </w:r>
          </w:p>
        </w:tc>
        <w:tc>
          <w:tcPr>
            <w:shd w:val="clear" w:color="auto" w:fill="F5F7FB"/>
          </w:tcPr>
          <w:p>
            <w:pPr>
              <w:pStyle w:val="Compact"/>
            </w:pPr>
            <w:r>
              <w:rPr>
                <w:sz w:val="17"/>
              </w:rPr>
              <w:t xml:space="preserve">Bloqué</w:t>
            </w:r>
          </w:p>
        </w:tc>
      </w:tr>
      <w:tr>
        <w:tc>
          <w:tcPr/>
          <w:p>
            <w:pPr>
              <w:pStyle w:val="Compact"/>
            </w:pPr>
            <w:r>
              <w:rPr>
                <w:sz w:val="17"/>
              </w:rPr>
              <w:t xml:space="preserve">Paiement sur une référence restée ouverte après solde, annulation ou non-valeur</w:t>
            </w:r>
          </w:p>
        </w:tc>
        <w:tc>
          <w:tcPr/>
          <w:p>
            <w:pPr>
              <w:pStyle w:val="Compact"/>
            </w:pPr>
            <w:r>
              <w:rPr>
                <w:sz w:val="17"/>
              </w:rPr>
              <w:t xml:space="preserve">Références actives closes automatiquement dès que l’obligation n’est plus payable ; tout versement tardif porté en paiement non affecté, sans quittance</w:t>
            </w:r>
          </w:p>
        </w:tc>
        <w:tc>
          <w:tcPr/>
          <w:p>
            <w:pPr>
              <w:pStyle w:val="Compact"/>
            </w:pPr>
            <w:r>
              <w:rPr>
                <w:sz w:val="17"/>
              </w:rPr>
              <w:t xml:space="preserve">Bloqué</w:t>
            </w:r>
          </w:p>
        </w:tc>
      </w:tr>
      <w:tr>
        <w:tc>
          <w:tcPr>
            <w:shd w:val="clear" w:color="auto" w:fill="F5F7FB"/>
          </w:tcPr>
          <w:p>
            <w:pPr>
              <w:pStyle w:val="Compact"/>
            </w:pPr>
            <w:r>
              <w:rPr>
                <w:sz w:val="17"/>
              </w:rPr>
              <w:t xml:space="preserve">Versement de point agréé jamais rapproché</w:t>
            </w:r>
          </w:p>
        </w:tc>
        <w:tc>
          <w:tcPr>
            <w:shd w:val="clear" w:color="auto" w:fill="F5F7FB"/>
          </w:tcPr>
          <w:p>
            <w:pPr>
              <w:pStyle w:val="Compact"/>
            </w:pPr>
            <w:r>
              <w:rPr>
                <w:sz w:val="17"/>
              </w:rPr>
              <w:t xml:space="preserve">Rapprochement automatique à l’import du relevé du Trésor ou à la déclaration du versement ; écart de montant, mauvais compte ou double crédit → exception du Trésor ; crédits orphelins résolus avec référence, jamais supprimés</w:t>
            </w:r>
          </w:p>
        </w:tc>
        <w:tc>
          <w:tcPr>
            <w:shd w:val="clear" w:color="auto" w:fill="F5F7FB"/>
          </w:tcPr>
          <w:p>
            <w:pPr>
              <w:pStyle w:val="Compact"/>
            </w:pPr>
            <w:r>
              <w:rPr>
                <w:sz w:val="17"/>
              </w:rPr>
              <w:t xml:space="preserve">Bloqué + détecté</w:t>
            </w:r>
          </w:p>
        </w:tc>
      </w:tr>
      <w:tr>
        <w:tc>
          <w:tcPr/>
          <w:p>
            <w:pPr>
              <w:pStyle w:val="Compact"/>
            </w:pPr>
            <w:r>
              <w:rPr>
                <w:sz w:val="17"/>
              </w:rPr>
              <w:t xml:space="preserve">Commission versée sans contrôle humain</w:t>
            </w:r>
          </w:p>
        </w:tc>
        <w:tc>
          <w:tcPr/>
          <w:p>
            <w:pPr>
              <w:pStyle w:val="Compact"/>
            </w:pPr>
            <w:r>
              <w:rPr>
                <w:sz w:val="17"/>
              </w:rPr>
              <w:t xml:space="preserve">Commission payable seulement après validation par un superviseur distinct de l’agent et du vérificateur du constat ; montant recalculé à la validation</w:t>
            </w:r>
          </w:p>
        </w:tc>
        <w:tc>
          <w:tcPr/>
          <w:p>
            <w:pPr>
              <w:pStyle w:val="Compact"/>
            </w:pPr>
            <w:r>
              <w:rPr>
                <w:sz w:val="17"/>
              </w:rPr>
              <w:t xml:space="preserve">Bloqué</w:t>
            </w:r>
          </w:p>
        </w:tc>
      </w:tr>
      <w:tr>
        <w:tc>
          <w:tcPr>
            <w:shd w:val="clear" w:color="auto" w:fill="F5F7FB"/>
          </w:tcPr>
          <w:p>
            <w:pPr>
              <w:pStyle w:val="Compact"/>
            </w:pPr>
            <w:r>
              <w:rPr>
                <w:sz w:val="17"/>
              </w:rPr>
              <w:t xml:space="preserve">Binôme complice sous double validation</w:t>
            </w:r>
          </w:p>
        </w:tc>
        <w:tc>
          <w:tcPr>
            <w:shd w:val="clear" w:color="auto" w:fill="F5F7FB"/>
          </w:tcPr>
          <w:p>
            <w:pPr>
              <w:pStyle w:val="Compact"/>
            </w:pPr>
            <w:r>
              <w:rPr>
                <w:sz w:val="17"/>
              </w:rPr>
              <w:t xml:space="preserve">Détecteur de collusion (paires récurrentes, validations éclair, hors heures, approbateur qui ne refuse jamais) sur 17 circuits, exécuté chaque jour et à la demande ; rotation obligatoire activable</w:t>
            </w:r>
          </w:p>
        </w:tc>
        <w:tc>
          <w:tcPr>
            <w:shd w:val="clear" w:color="auto" w:fill="F5F7FB"/>
          </w:tcPr>
          <w:p>
            <w:pPr>
              <w:pStyle w:val="Compact"/>
            </w:pPr>
            <w:r>
              <w:rPr>
                <w:sz w:val="17"/>
              </w:rPr>
              <w:t xml:space="preserve">Détecté (bloquable)</w:t>
            </w:r>
          </w:p>
        </w:tc>
      </w:tr>
      <w:tr>
        <w:tc>
          <w:tcPr/>
          <w:p>
            <w:pPr>
              <w:pStyle w:val="Compact"/>
            </w:pPr>
            <w:r>
              <w:rPr>
                <w:sz w:val="17"/>
              </w:rPr>
              <w:t xml:space="preserve">Clé absente, de démonstration ou partagée entre deux usages</w:t>
            </w:r>
          </w:p>
        </w:tc>
        <w:tc>
          <w:tcPr/>
          <w:p>
            <w:pPr>
              <w:pStyle w:val="Compact"/>
            </w:pPr>
            <w:r>
              <w:rPr>
                <w:sz w:val="17"/>
              </w:rPr>
              <w:t xml:space="preserve">Démarrage refusé hors démonstration ; écran de santé des clés (empreinte, âge, alertes), sans jamais révéler un secret</w:t>
            </w:r>
          </w:p>
        </w:tc>
        <w:tc>
          <w:tcPr/>
          <w:p>
            <w:pPr>
              <w:pStyle w:val="Compact"/>
            </w:pPr>
            <w:r>
              <w:rPr>
                <w:sz w:val="17"/>
              </w:rPr>
              <w:t xml:space="preserve">Bloqué + détecté</w:t>
            </w:r>
          </w:p>
        </w:tc>
      </w:tr>
      <w:tr>
        <w:tc>
          <w:tcPr>
            <w:shd w:val="clear" w:color="auto" w:fill="F5F7FB"/>
          </w:tcPr>
          <w:p>
            <w:pPr>
              <w:pStyle w:val="Compact"/>
            </w:pPr>
            <w:r>
              <w:rPr>
                <w:sz w:val="17"/>
              </w:rPr>
              <w:t xml:space="preserve">Journées comptées en UTC (écart d’un jour à 23 h)</w:t>
            </w:r>
          </w:p>
        </w:tc>
        <w:tc>
          <w:tcPr>
            <w:shd w:val="clear" w:color="auto" w:fill="F5F7FB"/>
          </w:tcPr>
          <w:p>
            <w:pPr>
              <w:pStyle w:val="Compact"/>
            </w:pPr>
            <w:r>
              <w:rPr>
                <w:sz w:val="17"/>
              </w:rPr>
              <w:t xml:space="preserve">Échéances, journées de caisse, indicateurs du jour, transparence et rapports en journées de Kinshasa (UTC+1)</w:t>
            </w:r>
          </w:p>
        </w:tc>
        <w:tc>
          <w:tcPr>
            <w:shd w:val="clear" w:color="auto" w:fill="F5F7FB"/>
          </w:tcPr>
          <w:p>
            <w:pPr>
              <w:pStyle w:val="Compact"/>
            </w:pPr>
            <w:r>
              <w:rPr>
                <w:sz w:val="17"/>
              </w:rPr>
              <w:t xml:space="preserve">Bloqué</w:t>
            </w:r>
          </w:p>
        </w:tc>
      </w:tr>
    </w:tbl>
    <w:p>
      <w:pPr>
        <w:pStyle w:val="BodyText"/>
      </w:pPr>
      <w:r>
        <w:rPr>
          <w:b/>
          <w:bCs/>
        </w:rPr>
        <w:t xml:space="preserve">Mise en production : paramètres obligatoires.</w:t>
      </w:r>
      <w:r>
        <w:t xml:space="preserve"> </w:t>
      </w:r>
      <w:r>
        <w:t xml:space="preserve">Hors démonstration, le serveur refuse de démarrer sans : secrets des prestataires (</w:t>
      </w:r>
      <w:r>
        <w:rPr>
          <w:rStyle w:val="VerbatimChar"/>
        </w:rPr>
        <w:t xml:space="preserve">MOSOLO_PROVIDER_SECRET_*</w:t>
      </w:r>
      <w:r>
        <w:t xml:space="preserve">), clés de signature des quittances et des clôtures (</w:t>
      </w:r>
      <w:r>
        <w:rPr>
          <w:rStyle w:val="VerbatimChar"/>
        </w:rPr>
        <w:t xml:space="preserve">MOSOLO_RECEIPT_SIGNING_KEY</w:t>
      </w:r>
      <w:r>
        <w:t xml:space="preserve">,</w:t>
      </w:r>
      <w:r>
        <w:t xml:space="preserve"> </w:t>
      </w:r>
      <w:r>
        <w:rPr>
          <w:rStyle w:val="VerbatimChar"/>
        </w:rPr>
        <w:t xml:space="preserve">MOSOLO_CLOSURE_SIGNING_KEY</w:t>
      </w:r>
      <w:r>
        <w:t xml:space="preserve">), clé et ancre de l’audit (</w:t>
      </w:r>
      <w:r>
        <w:rPr>
          <w:rStyle w:val="VerbatimChar"/>
        </w:rPr>
        <w:t xml:space="preserve">MOSOLO_AUDIT_HMAC_KEY</w:t>
      </w:r>
      <w:r>
        <w:t xml:space="preserve">,</w:t>
      </w:r>
      <w:r>
        <w:t xml:space="preserve"> </w:t>
      </w:r>
      <w:r>
        <w:rPr>
          <w:rStyle w:val="VerbatimChar"/>
        </w:rPr>
        <w:t xml:space="preserve">MOSOLO_AUDIT_ANCHOR_PATH</w:t>
      </w:r>
      <w:r>
        <w:t xml:space="preserve">), adresse publique (</w:t>
      </w:r>
      <w:r>
        <w:rPr>
          <w:rStyle w:val="VerbatimChar"/>
        </w:rPr>
        <w:t xml:space="preserve">MOSOLO_PUBLIC_URL</w:t>
      </w:r>
      <w:r>
        <w:t xml:space="preserve">), origines autorisées (</w:t>
      </w:r>
      <w:r>
        <w:rPr>
          <w:rStyle w:val="VerbatimChar"/>
        </w:rPr>
        <w:t xml:space="preserve">MOSOLO_CORS_ORIGINS</w:t>
      </w:r>
      <w:r>
        <w:t xml:space="preserve">), clé des jetons (</w:t>
      </w:r>
      <w:r>
        <w:rPr>
          <w:rStyle w:val="VerbatimChar"/>
        </w:rPr>
        <w:t xml:space="preserve">MOSOLO_JWT_PRIVATE_KEY</w:t>
      </w:r>
      <w:r>
        <w:t xml:space="preserve">) et clé des sauvegardes (</w:t>
      </w:r>
      <w:r>
        <w:rPr>
          <w:rStyle w:val="VerbatimChar"/>
        </w:rPr>
        <w:t xml:space="preserve">MOSOLO_BACKUP_KEY</w:t>
      </w:r>
      <w:r>
        <w:t xml:space="preserve">) ; il refuse aussi une clé de démonstration, trop courte, éphémère ou réutilisée pour deux usages. Rotation sans interruption :</w:t>
      </w:r>
      <w:r>
        <w:t xml:space="preserve"> </w:t>
      </w:r>
      <w:r>
        <w:rPr>
          <w:rStyle w:val="VerbatimChar"/>
        </w:rPr>
        <w:t xml:space="preserve">MOSOLO_PROVIDER_SECRET_&lt;PRESTATAIRE&gt;=kid:secret,kid:secret</w:t>
      </w:r>
      <w:r>
        <w:t xml:space="preserve"> </w:t>
      </w:r>
      <w:r>
        <w:t xml:space="preserve">(la première clé signe, les suivantes restent acceptées) et</w:t>
      </w:r>
      <w:r>
        <w:t xml:space="preserve"> </w:t>
      </w:r>
      <w:r>
        <w:rPr>
          <w:rStyle w:val="VerbatimChar"/>
        </w:rPr>
        <w:t xml:space="preserve">MOSOLO_RECEIPT_VERIFY_KEYS</w:t>
      </w:r>
      <w:r>
        <w:t xml:space="preserve"> </w:t>
      </w:r>
      <w:r>
        <w:t xml:space="preserve">pour les clés publiques retirées des quittances ; âge des clés déclaré par</w:t>
      </w:r>
      <w:r>
        <w:t xml:space="preserve"> </w:t>
      </w:r>
      <w:r>
        <w:rPr>
          <w:rStyle w:val="VerbatimChar"/>
        </w:rPr>
        <w:t xml:space="preserve">MOSOLO_KEY_DATES</w:t>
      </w:r>
      <w:r>
        <w:t xml:space="preserve">. Le détail figure dans</w:t>
      </w:r>
      <w:r>
        <w:t xml:space="preserve"> </w:t>
      </w:r>
      <w:r>
        <w:rPr>
          <w:rStyle w:val="VerbatimChar"/>
        </w:rPr>
        <w:t xml:space="preserve">backend/README.md</w:t>
      </w:r>
      <w:r>
        <w:t xml:space="preserve">.</w:t>
      </w:r>
    </w:p>
    <w:p>
      <w:pPr>
        <w:pStyle w:val="BodyText"/>
      </w:pPr>
      <w:r>
        <w:rPr>
          <w:b/>
          <w:bCs/>
        </w:rPr>
        <w:t xml:space="preserve">Risques organisationnels : ce que le logiciel outille.</w:t>
      </w:r>
      <w:r>
        <w:t xml:space="preserve"> </w:t>
      </w:r>
      <w:r>
        <w:t xml:space="preserve">Le logiciel ne peut pas supprimer une complicité humaine ; il la rend coûteuse et visible :</w:t>
      </w:r>
    </w:p>
    <w:p>
      <w:pPr>
        <w:pStyle w:val="Compact"/>
        <w:numPr>
          <w:ilvl w:val="0"/>
          <w:numId w:val="1058"/>
        </w:numPr>
      </w:pPr>
      <w:r>
        <w:rPr>
          <w:b/>
          <w:bCs/>
        </w:rPr>
        <w:t xml:space="preserve">Collusion sous double validation</w:t>
      </w:r>
      <w:r>
        <w:t xml:space="preserve"> </w:t>
      </w:r>
      <w:r>
        <w:t xml:space="preserve">— détecteur quotidien sur tous les circuits à deux personnes (écran « Collusion », module Intégrité) ; alertes à l’audit interne, jamais de sanction automatique ; une personne ne voit jamais les signaux la concernant.</w:t>
      </w:r>
      <w:r>
        <w:t xml:space="preserve"> </w:t>
      </w:r>
      <w:r>
        <w:rPr>
          <w:b/>
          <w:bCs/>
        </w:rPr>
        <w:t xml:space="preserve">Rotation obligatoire</w:t>
      </w:r>
      <w:r>
        <w:t xml:space="preserve"> </w:t>
      </w:r>
      <w:r>
        <w:t xml:space="preserve">des binômes activable par une décision à deux (désactivée par défaut).</w:t>
      </w:r>
    </w:p>
    <w:p>
      <w:pPr>
        <w:pStyle w:val="Compact"/>
        <w:numPr>
          <w:ilvl w:val="0"/>
          <w:numId w:val="1058"/>
        </w:numPr>
      </w:pPr>
      <w:r>
        <w:rPr>
          <w:b/>
          <w:bCs/>
        </w:rPr>
        <w:t xml:space="preserve">Seuils anti-fraude</w:t>
      </w:r>
      <w:r>
        <w:t xml:space="preserve"> </w:t>
      </w:r>
      <w:r>
        <w:t xml:space="preserve">— registre unique de 58 paramètres (valeur, unité, fichier source) : chacun est « PAR_DÉFAUT — à confirmer par le maître d’ouvrage » tant qu’un acte n’est pas enregistré par une double validation ; un écart entre le code et la valeur confirmée le fait revenir à « PAR_DÉFAUT ».</w:t>
      </w:r>
    </w:p>
    <w:p>
      <w:pPr>
        <w:pStyle w:val="Compact"/>
        <w:numPr>
          <w:ilvl w:val="0"/>
          <w:numId w:val="1058"/>
        </w:numPr>
      </w:pPr>
      <w:r>
        <w:rPr>
          <w:b/>
          <w:bCs/>
        </w:rPr>
        <w:t xml:space="preserve">Gestion des clés</w:t>
      </w:r>
      <w:r>
        <w:t xml:space="preserve"> </w:t>
      </w:r>
      <w:r>
        <w:t xml:space="preserve">— écran de santé des clés et refus de démarrage sur toute anomalie critique ; rotation par identifiant de clé.</w:t>
      </w:r>
    </w:p>
    <w:p>
      <w:pPr>
        <w:pStyle w:val="FirstParagraph"/>
      </w:pPr>
      <w:r>
        <w:rPr>
          <w:b/>
          <w:bCs/>
        </w:rPr>
        <w:t xml:space="preserve">Risques résiduels (hors logiciel).</w:t>
      </w:r>
      <w:r>
        <w:t xml:space="preserve"> </w:t>
      </w:r>
      <w:r>
        <w:t xml:space="preserve">Collusion de trois personnes habilitées ou plus ; fausses pièces d’identité à l’enrôlement ; complicité au sein d’un prestataire de paiement ou d’une banque ; accès physique aux serveurs ; garde des clés. Parades : rotation des agents, contrôles mystère, inspection des services, revue des alertes par l’audit interne, ancrage externe de l’audit conservé par une autorité distincte, coffre de secrets, contrats et audits des prestataires.</w:t>
      </w:r>
    </w:p>
    <w:p>
      <w:pPr>
        <w:pStyle w:val="BodyText"/>
      </w:pPr>
      <w:r>
        <w:t xml:space="preserve">Tests :</w:t>
      </w:r>
      <w:r>
        <w:t xml:space="preserve"> </w:t>
      </w:r>
      <w:r>
        <w:rPr>
          <w:rStyle w:val="VerbatimChar"/>
        </w:rPr>
        <w:t xml:space="preserve">backend/test/{tresor-fuites,fraude-agents,reductions,reductions-gouvernance,plateforme-integrite,securite,money-path,commissions-terrain,callback-hmac,obligation-closure,kinshasa-dates,canaux-releve,integrite-gouvernance,commissions-validation}.test.ts</w:t>
      </w:r>
      <w:r>
        <w:t xml:space="preserve"> </w:t>
      </w:r>
      <w:r>
        <w:t xml:space="preserve">et ajouts dans</w:t>
      </w:r>
      <w:r>
        <w:t xml:space="preserve"> </w:t>
      </w:r>
      <w:r>
        <w:rPr>
          <w:rStyle w:val="VerbatimChar"/>
        </w:rPr>
        <w:t xml:space="preserve">acces</w:t>
      </w:r>
      <w:r>
        <w:t xml:space="preserve">,</w:t>
      </w:r>
      <w:r>
        <w:t xml:space="preserve"> </w:t>
      </w:r>
      <w:r>
        <w:rPr>
          <w:rStyle w:val="VerbatimChar"/>
        </w:rPr>
        <w:t xml:space="preserve">canaux</w:t>
      </w:r>
      <w:r>
        <w:t xml:space="preserve">,</w:t>
      </w:r>
      <w:r>
        <w:t xml:space="preserve"> </w:t>
      </w:r>
      <w:r>
        <w:rPr>
          <w:rStyle w:val="VerbatimChar"/>
        </w:rPr>
        <w:t xml:space="preserve">titres</w:t>
      </w:r>
      <w:r>
        <w:t xml:space="preserve">.</w:t>
      </w:r>
    </w:p>
    <w:bookmarkEnd w:id="635"/>
    <w:bookmarkStart w:id="636" w:name="i.20-ce-qui-reste-ouvert"/>
    <w:p>
      <w:pPr>
        <w:pStyle w:val="Heading2"/>
      </w:pPr>
      <w:r>
        <w:t xml:space="preserve">I.20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Commission et surveillance</w:t>
            </w:r>
          </w:p>
        </w:tc>
        <w:tc>
          <w:tcPr/>
          <w:p>
            <w:pPr>
              <w:pStyle w:val="Compact"/>
            </w:pPr>
            <w:r>
              <w:rPr>
                <w:sz w:val="17"/>
              </w:rPr>
              <w:t xml:space="preserve">Arrêté fixant le taux de 10 % ; validation des seuils de surveillance des constats</w:t>
            </w:r>
          </w:p>
        </w:tc>
        <w:tc>
          <w:tcPr/>
          <w:p>
            <w:pPr>
              <w:pStyle w:val="Compact"/>
            </w:pPr>
            <w:r>
              <w:rPr>
                <w:sz w:val="17"/>
              </w:rPr>
              <w:t xml:space="preserve">Arrêté du Gouverneur ; avis de l’inspection des services</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Barème de la publicité sur véhicule ; régime des enseignes (taxe au m² ou barème propre)</w:t>
            </w:r>
          </w:p>
        </w:tc>
        <w:tc>
          <w:tcPr>
            <w:shd w:val="clear" w:color="auto" w:fill="F5F7FB"/>
          </w:tcPr>
          <w:p>
            <w:pPr>
              <w:pStyle w:val="Compact"/>
            </w:pPr>
            <w:r>
              <w:rPr>
                <w:sz w:val="17"/>
              </w:rPr>
              <w:t xml:space="preserve">Actes de l’Hôtel de Ville et fiches de règles certifiées</w:t>
            </w:r>
          </w:p>
        </w:tc>
      </w:tr>
      <w:tr>
        <w:tc>
          <w:tcPr/>
          <w:p>
            <w:pPr>
              <w:pStyle w:val="Compact"/>
            </w:pPr>
            <w:r>
              <w:rPr>
                <w:sz w:val="17"/>
              </w:rPr>
              <w:t xml:space="preserve">Contrôles anti-fraude</w:t>
            </w:r>
          </w:p>
        </w:tc>
        <w:tc>
          <w:tcPr/>
          <w:p>
            <w:pPr>
              <w:pStyle w:val="Compact"/>
            </w:pPr>
            <w:r>
              <w:rPr>
                <w:sz w:val="17"/>
              </w:rPr>
              <w:t xml:space="preserve">Confirmation des 58 seuils du registre anti-fraude (remboursement, alertes, grâce de stationnement, rayon de présence, contre-vérification, collusion, rotation) et des taux maximaux de remise par règle ; décision d’activer la rotation obligatoire des binômes ; table certifiée des rangs de localité</w:t>
            </w:r>
          </w:p>
        </w:tc>
        <w:tc>
          <w:tcPr/>
          <w:p>
            <w:pPr>
              <w:pStyle w:val="Compact"/>
            </w:pPr>
            <w:r>
              <w:rPr>
                <w:sz w:val="17"/>
              </w:rPr>
              <w:t xml:space="preserve">Acte enregistré dans le registre (double validation) ; inspection des services, Trésor, acte fixant les rangs</w:t>
            </w:r>
          </w:p>
        </w:tc>
      </w:tr>
      <w:tr>
        <w:tc>
          <w:tcPr>
            <w:shd w:val="clear" w:color="auto" w:fill="F5F7FB"/>
          </w:tcPr>
          <w:p>
            <w:pPr>
              <w:pStyle w:val="Compact"/>
            </w:pPr>
            <w:r>
              <w:rPr>
                <w:sz w:val="17"/>
              </w:rPr>
              <w:t xml:space="preserve">Prestataires de paiement</w:t>
            </w:r>
          </w:p>
        </w:tc>
        <w:tc>
          <w:tcPr>
            <w:shd w:val="clear" w:color="auto" w:fill="F5F7FB"/>
          </w:tcPr>
          <w:p>
            <w:pPr>
              <w:pStyle w:val="Compact"/>
            </w:pPr>
            <w:r>
              <w:rPr>
                <w:sz w:val="17"/>
              </w:rPr>
              <w:t xml:space="preserve">Passage des prestataires réels à la signature v2 (horodatage, nonce, identifiant de clé)</w:t>
            </w:r>
          </w:p>
        </w:tc>
        <w:tc>
          <w:tcPr>
            <w:shd w:val="clear" w:color="auto" w:fill="F5F7FB"/>
          </w:tcPr>
          <w:p>
            <w:pPr>
              <w:pStyle w:val="Compact"/>
            </w:pPr>
            <w:r>
              <w:rPr>
                <w:sz w:val="17"/>
              </w:rPr>
              <w:t xml:space="preserve">Avenant technique aux conventions ; l’ancienne signature est refusée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p>
            <w:pPr>
              <w:pStyle w:val="Compact"/>
            </w:pPr>
            <w:r>
              <w:rPr>
                <w:sz w:val="17"/>
              </w:rPr>
              <w:t xml:space="preserve">Conventions opérateurs (J29), contrat du fournisseur WhatsApp, avis de l’autorité de protection des données</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 ; installation du fond OSM de Kinshasa sur le serveur de la Ville (</w:t>
            </w:r>
            <w:r>
              <w:rPr>
                <w:rStyle w:val="VerbatimChar"/>
                <w:sz w:val="17"/>
              </w:rPr>
              <w:t xml:space="preserve">tools/maps/construire-tuiles-kinshasa.sh</w:t>
            </w:r>
            <w:r>
              <w:rPr>
                <w:sz w:val="17"/>
              </w:rPr>
              <w:t xml:space="preserve">) et complétion des quartiers</w:t>
            </w:r>
          </w:p>
        </w:tc>
        <w:tc>
          <w:tcPr>
            <w:shd w:val="clear" w:color="auto" w:fill="F5F7FB"/>
          </w:tcPr>
          <w:p>
            <w:pPr>
              <w:pStyle w:val="Compact"/>
            </w:pPr>
            <w:r>
              <w:rPr>
                <w:sz w:val="17"/>
              </w:rPr>
              <w:t xml:space="preserve">Protocoles de données et référentiel arrêté ; accès réseau à</w:t>
            </w:r>
            <w:r>
              <w:rPr>
                <w:sz w:val="17"/>
              </w:rPr>
              <w:t xml:space="preserve"> </w:t>
            </w:r>
            <w:r>
              <w:rPr>
                <w:rStyle w:val="VerbatimChar"/>
                <w:sz w:val="17"/>
              </w:rPr>
              <w:t xml:space="preserve">build.protomaps.com</w:t>
            </w:r>
            <w:r>
              <w:rPr>
                <w:sz w:val="17"/>
              </w:rPr>
              <w:t xml:space="preserve"> </w:t>
            </w:r>
            <w:r>
              <w:rPr>
                <w:sz w:val="17"/>
              </w:rPr>
              <w:t xml:space="preserve">ou</w:t>
            </w:r>
            <w:r>
              <w:rPr>
                <w:sz w:val="17"/>
              </w:rPr>
              <w:t xml:space="preserve"> </w:t>
            </w:r>
            <w:r>
              <w:rPr>
                <w:rStyle w:val="VerbatimChar"/>
                <w:sz w:val="17"/>
              </w:rPr>
              <w:t xml:space="preserve">download.geofabrik.de</w:t>
            </w:r>
            <w:r>
              <w:rPr>
                <w:sz w:val="17"/>
              </w:rPr>
              <w:t xml:space="preserve"> </w:t>
            </w:r>
            <w:r>
              <w:rPr>
                <w:sz w:val="17"/>
              </w:rPr>
              <w:t xml:space="preserve">depuis le serveur</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6"/>
    <w:bookmarkEnd w:id="637"/>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2026-09-27T10:59:24Z</dcterms:created>
  <dcterms:modified xsi:type="dcterms:W3CDTF">2026-09-27T10:59:24Z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