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w:t>
      </w:r>
      <w:r>
        <w:t xml:space="preserve"> </w:t>
      </w:r>
      <w:r>
        <w:rPr>
          <w:b/>
          <w:bCs/>
        </w:rPr>
        <w:t xml:space="preserve">uniquement</w:t>
      </w:r>
      <w:r>
        <w:t xml:space="preserve"> </w:t>
      </w:r>
      <w:r>
        <w:t xml:space="preserve">« plaque authentique, bâtiment enregistré, commune, quartier ». 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b/>
                <w:bCs/>
                <w:sz w:val="17"/>
              </w:rPr>
              <w:t xml:space="preserve">Uniquement</w:t>
            </w:r>
            <w:r>
              <w:rPr>
                <w:sz w:val="17"/>
              </w:rPr>
              <w:t xml:space="preserve"> </w:t>
            </w:r>
            <w:r>
              <w:rPr>
                <w:sz w:val="17"/>
              </w:rPr>
              <w:t xml:space="preserve">« plaque authentique, bâtiment enregistré, commune, quartier » (§ 16.8) — le statut « payé / non payé » n’est pas affiché publiquement pour un bâtiment identifiable (ARB-76, P14)</w:t>
            </w:r>
          </w:p>
        </w:tc>
        <w:tc>
          <w:tcPr/>
          <w:p>
            <w:pPr>
              <w:pStyle w:val="Compact"/>
            </w:pPr>
            <w:r>
              <w:rPr>
                <w:sz w:val="17"/>
              </w:rPr>
              <w:t xml:space="preserve">v3.0 prévaut sur la source (« statut minimal »)</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payé / non payé</w:t>
            </w:r>
          </w:p>
        </w:tc>
        <w:tc>
          <w:tcPr/>
          <w:p>
            <w:pPr>
              <w:pStyle w:val="Compact"/>
            </w:pPr>
            <w:r>
              <w:rPr>
                <w:sz w:val="17"/>
              </w:rPr>
              <w:t xml:space="preserve">Authenticité, enregistrement, commune, quartier uniquement</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1"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w:t>
      </w:r>
      <w:r>
        <w:t xml:space="preserve"> </w:t>
      </w:r>
      <w:r>
        <w:rPr>
          <w:b/>
          <w:bCs/>
        </w:rPr>
        <w:t xml:space="preserve">555 routes</w:t>
      </w:r>
      <w:r>
        <w:t xml:space="preserve"> </w:t>
      </w:r>
      <w:r>
        <w:t xml:space="preserve">(catalogue :</w:t>
      </w:r>
      <w:r>
        <w:t xml:space="preserve"> </w:t>
      </w:r>
      <w:r>
        <w:rPr>
          <w:rStyle w:val="VerbatimChar"/>
        </w:rPr>
        <w:t xml:space="preserve">specs/routes-api.md</w:t>
      </w:r>
      <w:r>
        <w:t xml:space="preserve">),</w:t>
      </w:r>
      <w:r>
        <w:t xml:space="preserve"> </w:t>
      </w:r>
      <w:r>
        <w:rPr>
          <w:b/>
          <w:bCs/>
        </w:rPr>
        <w:t xml:space="preserve">70 écrans</w:t>
      </w:r>
      <w:r>
        <w:t xml:space="preserve"> </w:t>
      </w:r>
      <w:r>
        <w:t xml:space="preserve">en plus des 13 écrans du socle,</w:t>
      </w:r>
      <w:r>
        <w:t xml:space="preserve"> </w:t>
      </w:r>
      <w:r>
        <w:rPr>
          <w:b/>
          <w:bCs/>
        </w:rPr>
        <w:t xml:space="preserve">335 tests backend</w:t>
      </w:r>
      <w:r>
        <w:t xml:space="preserve">, 37 tests d’interface et 16 tests du paquet partagé, tous au vert ; l’application complète (socle et 14 modules) est couverte par un test d’intégration.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reste accepté tant que</w:t>
      </w:r>
      <w:r>
        <w:t xml:space="preserve"> </w:t>
      </w:r>
      <w:r>
        <w:rPr>
          <w:rStyle w:val="VerbatimChar"/>
        </w:rPr>
        <w:t xml:space="preserve">MOSOLO_DEMO_MODE</w:t>
      </w:r>
      <w:r>
        <w:t xml:space="preserve"> </w:t>
      </w:r>
      <w:r>
        <w:t xml:space="preserve">ne vaut pas</w:t>
      </w:r>
      <w:r>
        <w:t xml:space="preserve"> </w:t>
      </w:r>
      <w:r>
        <w:rPr>
          <w:rStyle w:val="VerbatimChar"/>
        </w:rPr>
        <w:t xml:space="preserve">false</w:t>
      </w:r>
      <w:r>
        <w:t xml:space="preserve">. Les tests existants et les écrans de démonstration continuent donc de fonctionner.</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w:t>
            </w:r>
            <w:r>
              <w:rPr>
                <w:sz w:val="17"/>
              </w:rPr>
              <w:t xml:space="preserve"> </w:t>
            </w:r>
            <w:r>
              <w:rPr>
                <w:sz w:val="17"/>
              </w:rPr>
              <w:t xml:space="preserve">(défaut actif)</w:t>
            </w:r>
          </w:p>
        </w:tc>
        <w:tc>
          <w:tcPr>
            <w:shd w:val="clear" w:color="auto" w:fill="F5F7FB"/>
          </w:tcPr>
          <w:p>
            <w:pPr>
              <w:pStyle w:val="Compact"/>
            </w:pPr>
            <w:r>
              <w:rPr>
                <w:sz w:val="17"/>
              </w:rPr>
              <w:t xml:space="preserve">Désactivation en production</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seulement (ARB-76)</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i.14-ce-qui-reste-ouvert"/>
    <w:p>
      <w:pPr>
        <w:pStyle w:val="Heading2"/>
      </w:pPr>
      <w:r>
        <w:t xml:space="preserve">I.14 Ce qui reste ouvert</w:t>
      </w:r>
    </w:p>
    <w:p>
      <w:pPr>
        <w:pStyle w:val="FirstParagraph"/>
      </w:pPr>
      <w:r>
        <w:t xml:space="preserve">Les points suivants ne relèvent pas du logiciel seul ou attendent un acte, un protocole ou une convention ; ils sont signalés dans les écrans concernés et ne produisent aucun effet financier tant qu’ils ne sont pas levés.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Point ouvert</w:t>
            </w:r>
          </w:p>
        </w:tc>
        <w:tc>
          <w:tcPr>
            <w:shd w:val="clear" w:color="auto" w:fill="232C6B"/>
          </w:tcPr>
          <w:p>
            <w:pPr>
              <w:pStyle w:val="Compact"/>
            </w:pPr>
            <w:r>
              <w:rPr>
                <w:b/>
                <w:color w:val="FFFFFF"/>
                <w:sz w:val="17"/>
              </w:rPr>
              <w:t xml:space="preserve">Condition de levée</w:t>
            </w:r>
          </w:p>
        </w:tc>
      </w:tr>
      <w:tr>
        <w:tc>
          <w:tcPr/>
          <w:p>
            <w:pPr>
              <w:pStyle w:val="Compact"/>
            </w:pPr>
            <w:r>
              <w:rPr>
                <w:sz w:val="17"/>
              </w:rPr>
              <w:t xml:space="preserve">Tarifs et assiettes</w:t>
            </w:r>
          </w:p>
        </w:tc>
        <w:tc>
          <w:tcPr/>
          <w:p>
            <w:pPr>
              <w:pStyle w:val="Compact"/>
            </w:pPr>
            <w:r>
              <w:rPr>
                <w:sz w:val="17"/>
              </w:rPr>
              <w:t xml:space="preserve">Tarifs réels du pass wewa, du stationnement, des titres de transport, de la publicité, des redevances AVIA et portuaires, de la contribution plastique</w:t>
            </w:r>
          </w:p>
        </w:tc>
        <w:tc>
          <w:tcPr/>
          <w:p>
            <w:pPr>
              <w:pStyle w:val="Compact"/>
            </w:pPr>
            <w:r>
              <w:rPr>
                <w:sz w:val="17"/>
              </w:rPr>
              <w:t xml:space="preserve">Actes J21, J23, J24, J25, J28 et fiches de règles certifiées (quatre visas)</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Effet bloquant sur les mutations et services</w:t>
            </w:r>
          </w:p>
        </w:tc>
        <w:tc>
          <w:tcPr>
            <w:shd w:val="clear" w:color="auto" w:fill="F5F7FB"/>
          </w:tcPr>
          <w:p>
            <w:pPr>
              <w:pStyle w:val="Compact"/>
            </w:pPr>
            <w:r>
              <w:rPr>
                <w:sz w:val="17"/>
              </w:rPr>
              <w:t xml:space="preserve">Acte J6 ; le quitus reste informatif jusque-là</w:t>
            </w:r>
          </w:p>
        </w:tc>
      </w:tr>
      <w:tr>
        <w:tc>
          <w:tcPr/>
          <w:p>
            <w:pPr>
              <w:pStyle w:val="Compact"/>
            </w:pPr>
            <w:r>
              <w:rPr>
                <w:sz w:val="17"/>
              </w:rPr>
              <w:t xml:space="preserve">Répartition</w:t>
            </w:r>
          </w:p>
        </w:tc>
        <w:tc>
          <w:tcPr/>
          <w:p>
            <w:pPr>
              <w:pStyle w:val="Compact"/>
            </w:pPr>
            <w:r>
              <w:rPr>
                <w:sz w:val="17"/>
              </w:rPr>
              <w:t xml:space="preserve">Parts légales éventuelles entre entités</w:t>
            </w:r>
          </w:p>
        </w:tc>
        <w:tc>
          <w:tcPr/>
          <w:p>
            <w:pPr>
              <w:pStyle w:val="Compact"/>
            </w:pPr>
            <w:r>
              <w:rPr>
                <w:sz w:val="17"/>
              </w:rPr>
              <w:t xml:space="preserve">Lecture de l’OL 18/004 et actes provinciaux ; aucune clé paramétrée</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Clés d’accès FIDO2 (passkeys), récupération de compte</w:t>
            </w:r>
          </w:p>
        </w:tc>
        <w:tc>
          <w:tcPr>
            <w:shd w:val="clear" w:color="auto" w:fill="F5F7FB"/>
          </w:tcPr>
          <w:p>
            <w:pPr>
              <w:pStyle w:val="Compact"/>
            </w:pPr>
            <w:r>
              <w:rPr>
                <w:sz w:val="17"/>
              </w:rPr>
              <w:t xml:space="preserve">Raccordement WebAuthn ; procédure de récupération validée</w:t>
            </w:r>
          </w:p>
        </w:tc>
      </w:tr>
      <w:tr>
        <w:tc>
          <w:tcPr/>
          <w:p>
            <w:pPr>
              <w:pStyle w:val="Compact"/>
            </w:pPr>
            <w:r>
              <w:rPr>
                <w:sz w:val="17"/>
              </w:rPr>
              <w:t xml:space="preserve">Canaux</w:t>
            </w:r>
          </w:p>
        </w:tc>
        <w:tc>
          <w:tcPr/>
          <w:p>
            <w:pPr>
              <w:pStyle w:val="Compact"/>
            </w:pPr>
            <w:r>
              <w:rPr>
                <w:sz w:val="17"/>
              </w:rPr>
              <w:t xml:space="preserve">Passerelles USSD, SMS, SVI et courrier réelles ; code court et numéro vert</w:t>
            </w:r>
          </w:p>
        </w:tc>
        <w:tc>
          <w:tcPr/>
          <w:p>
            <w:pPr>
              <w:pStyle w:val="Compact"/>
            </w:pPr>
            <w:r>
              <w:rPr>
                <w:sz w:val="17"/>
              </w:rPr>
              <w:t xml:space="preserve">Conventions opérateurs (J29)</w:t>
            </w:r>
          </w:p>
        </w:tc>
      </w:tr>
      <w:tr>
        <w:tc>
          <w:tcPr>
            <w:shd w:val="clear" w:color="auto" w:fill="F5F7FB"/>
          </w:tcPr>
          <w:p>
            <w:pPr>
              <w:pStyle w:val="Compact"/>
            </w:pPr>
            <w:r>
              <w:rPr>
                <w:sz w:val="17"/>
              </w:rPr>
              <w:t xml:space="preserve">Données géographiques</w:t>
            </w:r>
          </w:p>
        </w:tc>
        <w:tc>
          <w:tcPr>
            <w:shd w:val="clear" w:color="auto" w:fill="F5F7FB"/>
          </w:tcPr>
          <w:p>
            <w:pPr>
              <w:pStyle w:val="Compact"/>
            </w:pPr>
            <w:r>
              <w:rPr>
                <w:sz w:val="17"/>
              </w:rPr>
              <w:t xml:space="preserve">Géométries PostGIS, référentiel officiel des codes de communes, cartographie de la population</w:t>
            </w:r>
          </w:p>
        </w:tc>
        <w:tc>
          <w:tcPr>
            <w:shd w:val="clear" w:color="auto" w:fill="F5F7FB"/>
          </w:tcPr>
          <w:p>
            <w:pPr>
              <w:pStyle w:val="Compact"/>
            </w:pPr>
            <w:r>
              <w:rPr>
                <w:sz w:val="17"/>
              </w:rPr>
              <w:t xml:space="preserve">Protocoles de données et référentiel arrêté</w:t>
            </w:r>
          </w:p>
        </w:tc>
      </w:tr>
      <w:tr>
        <w:tc>
          <w:tcPr/>
          <w:p>
            <w:pPr>
              <w:pStyle w:val="Compact"/>
            </w:pPr>
            <w:r>
              <w:rPr>
                <w:sz w:val="17"/>
              </w:rPr>
              <w:t xml:space="preserve">Partenaires</w:t>
            </w:r>
          </w:p>
        </w:tc>
        <w:tc>
          <w:tcPr/>
          <w:p>
            <w:pPr>
              <w:pStyle w:val="Compact"/>
            </w:pPr>
            <w:r>
              <w:rPr>
                <w:sz w:val="17"/>
              </w:rPr>
              <w:t xml:space="preserve">Connecteurs BSP/GDS et IFA (AVIA), passerelle bancaire réelle (CALCU), immatriculations nationales</w:t>
            </w:r>
          </w:p>
        </w:tc>
        <w:tc>
          <w:tcPr/>
          <w:p>
            <w:pPr>
              <w:pStyle w:val="Compact"/>
            </w:pPr>
            <w:r>
              <w:rPr>
                <w:sz w:val="17"/>
              </w:rPr>
              <w:t xml:space="preserve">Accords et protocoles avec le pouvoir central et les partenaires</w:t>
            </w:r>
          </w:p>
        </w:tc>
      </w:tr>
      <w:tr>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Persistance des états encore volatils (idempotence, brouillons serveur, lots terrain, boîtes in-app), clé de signature QR dédiée, secrets TOTP au coffre de secrets</w:t>
            </w:r>
          </w:p>
        </w:tc>
        <w:tc>
          <w:tcPr>
            <w:shd w:val="clear" w:color="auto" w:fill="F5F7FB"/>
          </w:tcPr>
          <w:p>
            <w:pPr>
              <w:pStyle w:val="Compact"/>
            </w:pPr>
            <w:r>
              <w:rPr>
                <w:sz w:val="17"/>
              </w:rPr>
              <w:t xml:space="preserve">Mise en production (hébergement souverain)</w:t>
            </w:r>
          </w:p>
        </w:tc>
      </w:tr>
      <w:tr>
        <w:tc>
          <w:tcPr/>
          <w:p>
            <w:pPr>
              <w:pStyle w:val="Compact"/>
            </w:pPr>
            <w:r>
              <w:rPr>
                <w:sz w:val="17"/>
              </w:rPr>
              <w:t xml:space="preserve">IA</w:t>
            </w:r>
          </w:p>
        </w:tc>
        <w:tc>
          <w:tcPr/>
          <w:p>
            <w:pPr>
              <w:pStyle w:val="Compact"/>
            </w:pPr>
            <w:r>
              <w:rPr>
                <w:sz w:val="17"/>
              </w:rPr>
              <w:t xml:space="preserve">Registre complet des modèles (évaluations, biais, dérive), OCR des baux, « 12 questions » par action</w:t>
            </w:r>
          </w:p>
        </w:tc>
        <w:tc>
          <w:tcPr/>
          <w:p>
            <w:pPr>
              <w:pStyle w:val="Compact"/>
            </w:pPr>
            <w:r>
              <w:rPr>
                <w:sz w:val="17"/>
              </w:rPr>
              <w:t xml:space="preserve">Gouvernance IA validée par le délégué à la protection des données</w:t>
            </w:r>
          </w:p>
        </w:tc>
      </w:tr>
    </w:tbl>
    <w:bookmarkEnd w:id="630"/>
    <w:bookmarkEnd w:id="631"/>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2026-09-26T17:25:30Z</dcterms:created>
  <dcterms:modified xsi:type="dcterms:W3CDTF">2026-09-26T17:25:30Z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